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14"/>
      </w:tblGrid>
      <w:tr w:rsidR="00052895" w:rsidRPr="00052895" w:rsidTr="00486FAC">
        <w:trPr>
          <w:trHeight w:val="100"/>
        </w:trPr>
        <w:tc>
          <w:tcPr>
            <w:tcW w:w="9214" w:type="dxa"/>
          </w:tcPr>
          <w:p w:rsidR="00052895" w:rsidRPr="00052895" w:rsidRDefault="00052895" w:rsidP="0005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04D20CE5" wp14:editId="0945726E">
                  <wp:simplePos x="0" y="0"/>
                  <wp:positionH relativeFrom="column">
                    <wp:posOffset>2761615</wp:posOffset>
                  </wp:positionH>
                  <wp:positionV relativeFrom="paragraph">
                    <wp:posOffset>103505</wp:posOffset>
                  </wp:positionV>
                  <wp:extent cx="471805" cy="626110"/>
                  <wp:effectExtent l="0" t="0" r="4445" b="254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52895" w:rsidRPr="00052895" w:rsidRDefault="0042049E" w:rsidP="0005289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52895" w:rsidRPr="00052895" w:rsidRDefault="00052895" w:rsidP="0005289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 МУНИЦИПАЛЬНОГО  ОКРУГА</w:t>
      </w:r>
    </w:p>
    <w:p w:rsidR="00052895" w:rsidRPr="00052895" w:rsidRDefault="00052895" w:rsidP="0005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052895" w:rsidRPr="00052895" w:rsidRDefault="00052895" w:rsidP="0005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895" w:rsidRPr="00052895" w:rsidRDefault="00052895" w:rsidP="00CA05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5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2895" w:rsidRPr="00052895" w:rsidRDefault="00052895" w:rsidP="0005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52895" w:rsidRPr="00CA05E7" w:rsidRDefault="00052895" w:rsidP="0005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От</w:t>
      </w:r>
      <w:r w:rsidR="00CA05E7" w:rsidRPr="00CA05E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27</w:t>
      </w:r>
      <w:r w:rsidR="00275829" w:rsidRPr="00CA05E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.06</w:t>
      </w:r>
      <w:r w:rsidRPr="00CA05E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.2024  №</w:t>
      </w:r>
      <w:r w:rsidR="00CA05E7" w:rsidRPr="00CA05E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417</w:t>
      </w:r>
    </w:p>
    <w:p w:rsidR="00052895" w:rsidRPr="00CA05E7" w:rsidRDefault="00052895" w:rsidP="000528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2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proofErr w:type="spellStart"/>
      <w:r w:rsidRPr="00CA05E7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CA05E7">
        <w:rPr>
          <w:rFonts w:ascii="Times New Roman" w:eastAsia="Times New Roman" w:hAnsi="Times New Roman" w:cs="Times New Roman"/>
          <w:lang w:eastAsia="ru-RU"/>
        </w:rPr>
        <w:t>.Ш</w:t>
      </w:r>
      <w:proofErr w:type="gramEnd"/>
      <w:r w:rsidRPr="00CA05E7">
        <w:rPr>
          <w:rFonts w:ascii="Times New Roman" w:eastAsia="Times New Roman" w:hAnsi="Times New Roman" w:cs="Times New Roman"/>
          <w:lang w:eastAsia="ru-RU"/>
        </w:rPr>
        <w:t>уйское</w:t>
      </w:r>
      <w:proofErr w:type="spellEnd"/>
    </w:p>
    <w:p w:rsidR="00052895" w:rsidRDefault="00052895" w:rsidP="0005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0BF" w:rsidRPr="00052895" w:rsidRDefault="00D120BF" w:rsidP="0005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5E7" w:rsidRDefault="00257096" w:rsidP="008E1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E1111" w:rsidRPr="00E8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реализации полномочий администраторов </w:t>
      </w:r>
    </w:p>
    <w:p w:rsidR="00CA05E7" w:rsidRDefault="008E1111" w:rsidP="008E1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Междуреченского муниципального округа </w:t>
      </w:r>
    </w:p>
    <w:p w:rsidR="007244B7" w:rsidRPr="00E8019D" w:rsidRDefault="00CA05E7" w:rsidP="008E1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111" w:rsidRPr="00E8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взысканию дебиторской задолженности по платежам в бюджет, </w:t>
      </w:r>
    </w:p>
    <w:p w:rsidR="006A64E5" w:rsidRPr="00E8019D" w:rsidRDefault="008E1111" w:rsidP="008E1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пеням и штрафам по ним</w:t>
      </w:r>
    </w:p>
    <w:p w:rsidR="004C23CA" w:rsidRPr="00E8019D" w:rsidRDefault="004C23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23CA" w:rsidRPr="00E8019D" w:rsidRDefault="004C2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19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8019D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E801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D120BF" w:rsidRPr="00E8019D">
          <w:rPr>
            <w:rFonts w:ascii="Times New Roman" w:hAnsi="Times New Roman" w:cs="Times New Roman"/>
            <w:sz w:val="28"/>
            <w:szCs w:val="28"/>
          </w:rPr>
          <w:t>приказом Министерства финансов</w:t>
        </w:r>
      </w:hyperlink>
      <w:r w:rsidR="00D120BF" w:rsidRPr="00E8019D">
        <w:rPr>
          <w:rFonts w:ascii="Times New Roman" w:hAnsi="Times New Roman" w:cs="Times New Roman"/>
          <w:sz w:val="28"/>
          <w:szCs w:val="28"/>
        </w:rPr>
        <w:t xml:space="preserve"> Российской Федерации от 18</w:t>
      </w:r>
      <w:r w:rsidR="00164821" w:rsidRPr="00E8019D">
        <w:rPr>
          <w:rFonts w:ascii="Times New Roman" w:hAnsi="Times New Roman" w:cs="Times New Roman"/>
          <w:sz w:val="28"/>
          <w:szCs w:val="28"/>
        </w:rPr>
        <w:t xml:space="preserve"> ноября 2022 года </w:t>
      </w:r>
      <w:r w:rsidR="00CA05E7">
        <w:rPr>
          <w:rFonts w:ascii="Times New Roman" w:hAnsi="Times New Roman" w:cs="Times New Roman"/>
          <w:sz w:val="28"/>
          <w:szCs w:val="28"/>
        </w:rPr>
        <w:t>№</w:t>
      </w:r>
      <w:r w:rsidR="00164821" w:rsidRPr="00E8019D">
        <w:rPr>
          <w:rFonts w:ascii="Times New Roman" w:hAnsi="Times New Roman" w:cs="Times New Roman"/>
          <w:sz w:val="28"/>
          <w:szCs w:val="28"/>
        </w:rPr>
        <w:t xml:space="preserve"> 172н</w:t>
      </w:r>
      <w:r w:rsidRPr="00E8019D">
        <w:rPr>
          <w:rFonts w:ascii="Times New Roman" w:hAnsi="Times New Roman" w:cs="Times New Roman"/>
          <w:sz w:val="28"/>
          <w:szCs w:val="28"/>
        </w:rPr>
        <w:t xml:space="preserve"> </w:t>
      </w:r>
      <w:r w:rsidR="00CA05E7">
        <w:rPr>
          <w:rFonts w:ascii="Times New Roman" w:hAnsi="Times New Roman" w:cs="Times New Roman"/>
          <w:sz w:val="28"/>
          <w:szCs w:val="28"/>
        </w:rPr>
        <w:t>«</w:t>
      </w:r>
      <w:r w:rsidRPr="00E8019D">
        <w:rPr>
          <w:rFonts w:ascii="Times New Roman" w:hAnsi="Times New Roman" w:cs="Times New Roman"/>
          <w:sz w:val="28"/>
          <w:szCs w:val="28"/>
        </w:rPr>
        <w:t xml:space="preserve">Об </w:t>
      </w:r>
      <w:r w:rsidR="00164821" w:rsidRPr="00E8019D">
        <w:rPr>
          <w:rFonts w:ascii="Times New Roman" w:hAnsi="Times New Roman" w:cs="Times New Roman"/>
          <w:sz w:val="28"/>
          <w:szCs w:val="28"/>
        </w:rPr>
        <w:t xml:space="preserve">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</w:t>
      </w:r>
      <w:r w:rsidR="00ED391D" w:rsidRPr="00E8019D">
        <w:rPr>
          <w:rFonts w:ascii="Times New Roman" w:hAnsi="Times New Roman" w:cs="Times New Roman"/>
          <w:sz w:val="28"/>
          <w:szCs w:val="28"/>
        </w:rPr>
        <w:t>задолженностью и принятие своевременных</w:t>
      </w:r>
      <w:proofErr w:type="gramEnd"/>
      <w:r w:rsidR="00ED391D" w:rsidRPr="00E8019D">
        <w:rPr>
          <w:rFonts w:ascii="Times New Roman" w:hAnsi="Times New Roman" w:cs="Times New Roman"/>
          <w:sz w:val="28"/>
          <w:szCs w:val="28"/>
        </w:rPr>
        <w:t xml:space="preserve"> мер по взысканию просроченной дебиторской задолженности,</w:t>
      </w:r>
    </w:p>
    <w:p w:rsidR="00ED391D" w:rsidRPr="00E8019D" w:rsidRDefault="00ED3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2CF" w:rsidRPr="00E8019D" w:rsidRDefault="003E32CF" w:rsidP="00CA05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A05E7">
        <w:rPr>
          <w:rFonts w:ascii="Times New Roman" w:hAnsi="Times New Roman" w:cs="Times New Roman"/>
          <w:sz w:val="28"/>
          <w:szCs w:val="28"/>
        </w:rPr>
        <w:t>А</w:t>
      </w:r>
      <w:r w:rsidR="00CA05E7">
        <w:rPr>
          <w:rFonts w:ascii="Times New Roman" w:hAnsi="Times New Roman" w:cs="Times New Roman"/>
          <w:sz w:val="28"/>
          <w:szCs w:val="28"/>
        </w:rPr>
        <w:t xml:space="preserve">дминистрация округа  </w:t>
      </w:r>
      <w:r w:rsidRPr="00E8019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23CA" w:rsidRPr="00E8019D" w:rsidRDefault="004C23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19D">
        <w:rPr>
          <w:rFonts w:ascii="Times New Roman" w:hAnsi="Times New Roman" w:cs="Times New Roman"/>
          <w:sz w:val="28"/>
          <w:szCs w:val="28"/>
        </w:rPr>
        <w:t xml:space="preserve">1. </w:t>
      </w:r>
      <w:r w:rsidRPr="0028666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="00E8019D" w:rsidRPr="0028666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86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19D" w:rsidRPr="0028666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8019D">
        <w:rPr>
          <w:rFonts w:ascii="Times New Roman" w:hAnsi="Times New Roman" w:cs="Times New Roman"/>
          <w:sz w:val="28"/>
          <w:szCs w:val="28"/>
        </w:rPr>
        <w:t>полномочий администраторов доходов бюджета Междуреченского муниципального округа</w:t>
      </w:r>
      <w:proofErr w:type="gramEnd"/>
      <w:r w:rsidR="00E8019D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</w:t>
      </w:r>
      <w:r w:rsidRPr="00E8019D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275829" w:rsidRPr="00E8019D">
        <w:rPr>
          <w:rFonts w:ascii="Times New Roman" w:hAnsi="Times New Roman" w:cs="Times New Roman"/>
          <w:sz w:val="28"/>
          <w:szCs w:val="28"/>
        </w:rPr>
        <w:t>постановлению</w:t>
      </w:r>
      <w:r w:rsidRPr="00E8019D">
        <w:rPr>
          <w:rFonts w:ascii="Times New Roman" w:hAnsi="Times New Roman" w:cs="Times New Roman"/>
          <w:sz w:val="28"/>
          <w:szCs w:val="28"/>
        </w:rPr>
        <w:t>.</w:t>
      </w:r>
    </w:p>
    <w:p w:rsidR="005D4C28" w:rsidRPr="00E8019D" w:rsidRDefault="003E32CF" w:rsidP="003E3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19D">
        <w:rPr>
          <w:rFonts w:ascii="Times New Roman" w:hAnsi="Times New Roman" w:cs="Times New Roman"/>
          <w:sz w:val="28"/>
          <w:szCs w:val="28"/>
        </w:rPr>
        <w:t>2</w:t>
      </w:r>
      <w:r w:rsidR="008A7CF3" w:rsidRPr="00E8019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75829" w:rsidRPr="00E8019D">
        <w:rPr>
          <w:rFonts w:ascii="Times New Roman" w:hAnsi="Times New Roman" w:cs="Times New Roman"/>
          <w:sz w:val="28"/>
          <w:szCs w:val="28"/>
        </w:rPr>
        <w:t>постановление</w:t>
      </w:r>
      <w:r w:rsidR="008A7CF3" w:rsidRPr="00E8019D">
        <w:rPr>
          <w:rFonts w:ascii="Times New Roman" w:hAnsi="Times New Roman" w:cs="Times New Roman"/>
          <w:sz w:val="28"/>
          <w:szCs w:val="28"/>
        </w:rPr>
        <w:t xml:space="preserve"> </w:t>
      </w:r>
      <w:r w:rsidR="005D4C28" w:rsidRPr="00E8019D">
        <w:rPr>
          <w:rFonts w:ascii="Times New Roman" w:hAnsi="Times New Roman" w:cs="Times New Roman"/>
          <w:sz w:val="28"/>
          <w:szCs w:val="28"/>
        </w:rPr>
        <w:t xml:space="preserve"> </w:t>
      </w:r>
      <w:r w:rsidR="004C23CA" w:rsidRPr="00E8019D">
        <w:rPr>
          <w:rFonts w:ascii="Times New Roman" w:hAnsi="Times New Roman" w:cs="Times New Roman"/>
          <w:sz w:val="28"/>
          <w:szCs w:val="28"/>
        </w:rPr>
        <w:t xml:space="preserve"> </w:t>
      </w:r>
      <w:r w:rsidRPr="00E8019D">
        <w:rPr>
          <w:rFonts w:ascii="Times New Roman" w:hAnsi="Times New Roman" w:cs="Times New Roman"/>
          <w:sz w:val="28"/>
          <w:szCs w:val="28"/>
        </w:rPr>
        <w:t>подлежит официальному опубликованию в газете «Междуречье» и размещено на официальном сайте Междуреченского муниципального округа в информационно-телекоммуникационной сети «Интернет»</w:t>
      </w:r>
      <w:r w:rsidR="004C23CA" w:rsidRPr="00E8019D">
        <w:rPr>
          <w:rFonts w:ascii="Times New Roman" w:hAnsi="Times New Roman" w:cs="Times New Roman"/>
          <w:sz w:val="28"/>
          <w:szCs w:val="28"/>
        </w:rPr>
        <w:t>.</w:t>
      </w:r>
    </w:p>
    <w:p w:rsidR="00C85AAE" w:rsidRDefault="00C85A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5AAE" w:rsidRDefault="00C85A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05E7" w:rsidRDefault="00CA05E7" w:rsidP="00CA05E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A12006" w:rsidRDefault="00CA05E7" w:rsidP="00CA05E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округа</w:t>
      </w:r>
      <w:r w:rsidR="00040C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С.Н. Киселёв</w:t>
      </w:r>
      <w:r w:rsidR="00040C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A05E7" w:rsidRDefault="00A12006" w:rsidP="00040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E788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05E7" w:rsidRDefault="00CA05E7" w:rsidP="00040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05E7" w:rsidRDefault="00CA05E7" w:rsidP="00040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A05E7" w:rsidTr="00CA05E7">
        <w:tc>
          <w:tcPr>
            <w:tcW w:w="3284" w:type="dxa"/>
          </w:tcPr>
          <w:p w:rsidR="00CA05E7" w:rsidRDefault="00CA05E7" w:rsidP="00040C5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CA05E7" w:rsidRDefault="00CA05E7" w:rsidP="00040C5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A05E7" w:rsidRPr="00EF67F6" w:rsidRDefault="00CA05E7" w:rsidP="00CA05E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A05E7" w:rsidRPr="00EF67F6" w:rsidRDefault="00CA05E7" w:rsidP="00CA0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67F6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CA05E7" w:rsidRPr="00EF67F6" w:rsidRDefault="00CA05E7" w:rsidP="00CA0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67F6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7F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CA05E7" w:rsidRPr="00EF67F6" w:rsidRDefault="00CA05E7" w:rsidP="00CA0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7F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27.06.2024 </w:t>
            </w:r>
            <w:r w:rsidRPr="00EF67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  <w:p w:rsidR="00CA05E7" w:rsidRDefault="00CA05E7" w:rsidP="00040C5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141" w:rsidRPr="008F4141" w:rsidRDefault="008F4141" w:rsidP="008F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End w:id="0"/>
      <w:r w:rsidRPr="008F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реализации полномочий </w:t>
      </w:r>
    </w:p>
    <w:p w:rsidR="008F4141" w:rsidRPr="008F4141" w:rsidRDefault="008F4141" w:rsidP="008F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администраторов доходов бюджета Междуреченского </w:t>
      </w:r>
    </w:p>
    <w:p w:rsidR="008F4141" w:rsidRPr="008F4141" w:rsidRDefault="008F4141" w:rsidP="008F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по взысканию </w:t>
      </w:r>
      <w:proofErr w:type="gramStart"/>
      <w:r w:rsidRPr="008F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дебиторской</w:t>
      </w:r>
      <w:proofErr w:type="gramEnd"/>
      <w:r w:rsidRPr="008F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664F" w:rsidRPr="00932901" w:rsidRDefault="008F4141" w:rsidP="00932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 по платежам в бюджет</w:t>
      </w:r>
      <w:r w:rsidRPr="00E8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пеням и штрафам по ним</w:t>
      </w:r>
    </w:p>
    <w:p w:rsidR="004C23CA" w:rsidRPr="00EF67F6" w:rsidRDefault="004C23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23CA" w:rsidRDefault="004C23CA" w:rsidP="007D4C83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67F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D4C83" w:rsidRDefault="007D4C83" w:rsidP="007D4C83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Регламент реализации полномочий </w:t>
      </w:r>
      <w:r w:rsidR="00B72EEF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бюджета Междуреченского муниципального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 (далее соответственно - Регламент, </w:t>
      </w:r>
      <w:r w:rsidR="00B72EEF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доходов,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задолженность по доходам) устанавливает перечень мероприятий по реализации </w:t>
      </w:r>
      <w:r w:rsidR="00D9320A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администраторами доходов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направленных на взыскание дебиторской задолженности по доходам, сроки реализации полномочий, направленных на взыскание дебиторской задолженности по доходам, перечень </w:t>
      </w:r>
      <w:r w:rsidR="00D9320A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</w:t>
      </w:r>
      <w:proofErr w:type="gramEnd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с дебиторской задолженностью по доходам, порядок обмена информацией (первичными учетными документами) между структурными подразделениями и сотрудниками.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Действие настоящего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Дебиторская задолженность, возникшая в связи с </w:t>
      </w:r>
      <w:r w:rsidR="004254EB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причинением ущерба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="004254EB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подлежащая отражению в уче</w:t>
      </w:r>
      <w:r w:rsidR="004254EB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Управлением финансов администрации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дебиторской </w:t>
      </w:r>
      <w:r w:rsidR="004254EB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задолженностью казны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4254EB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возникает в результате осуществлен</w:t>
      </w:r>
      <w:r w:rsidR="004254EB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текущей деятельности Администрации Междуреченского муниципального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C83" w:rsidRPr="007D4C83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Мероприятия по недопущению образования </w:t>
      </w:r>
      <w:proofErr w:type="gramStart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просроченной</w:t>
      </w:r>
      <w:proofErr w:type="gramEnd"/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дебиторской задолженности по доходам, выявлению факторов,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влияющих</w:t>
      </w:r>
      <w:proofErr w:type="gramEnd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образование просроченной дебиторской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задолженности по доходам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42B4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 доходов бюджета Междуреченского муниципального округа,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</w:t>
      </w:r>
      <w:hyperlink w:anchor="Par102" w:tooltip="VI. Перечень структурных подразделений Департамента," w:history="1">
        <w:r w:rsidRPr="00CA05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VI</w:t>
        </w:r>
      </w:hyperlink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осуществляют: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proofErr w:type="gramStart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ществления платежей в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пеней и штрафов по ним, по закрепленным источникам 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доходов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фактическим з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ачислением платежей в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размерах и сроки установленные законодательством Российской Федерации, договором (государственным контрактом);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погашением (квитированием) начислений соответствующими платежами, являющимися источниками 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доходов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Государственной информационной системе о государственных и муниципальных платежах, предусмотренной Федеральным </w:t>
      </w:r>
      <w:hyperlink r:id="rId10" w:history="1">
        <w:r w:rsidRPr="00CA05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ГИС ГМП), за исключением платежей, являющихся ис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точниками формирования доходов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информация, необходимая для уплаты которых, включая подлежащую уплате сумму, не размещается</w:t>
      </w:r>
      <w:proofErr w:type="gramEnd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ГИС ГМП, </w:t>
      </w:r>
      <w:hyperlink r:id="rId11" w:history="1">
        <w:r w:rsidRPr="00CA05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утвержден приказом Министерства финансов Российской Федерации от 25 декабря 2019 года 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250н 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 уплаты платежей в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начислением процентов за предоставленную отсрочку или рассрочку и пени (штрафы) за просрочку уплаты плате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жей в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и случаях, предусмотренных законодательством Российской Федерации;</w:t>
      </w:r>
      <w:proofErr w:type="gramEnd"/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своевременным начислением неустойки (штрафов, пени);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бюджетном учете специалисту,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осуществляющему ведение бюджетного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(бухгалтерского)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r w:rsidR="00185752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«Центр бюджетного учета и отчетности»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инвентаризацию расчетов с должниками, включая свер</w:t>
      </w:r>
      <w:r w:rsidR="00F06F6A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данных по доходам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06F6A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доходам, признания дебиторской задолженности по доходам сомнительной;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мониторинг финансового (платежного) состояния должников, в том числе при проведении мероприятий по инвентаризации деби</w:t>
      </w:r>
      <w:r w:rsidR="00F06F6A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торской задолженности по доходам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на предмет: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сведений о взыскании с должника денежных сре</w:t>
      </w:r>
      <w:proofErr w:type="gramStart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исполнительного производства;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сведений о возбуждении в отношении должника дела о банкротстве;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инвентаризацию расчетов дебиторской задолженности, возникшей в связи с при</w:t>
      </w:r>
      <w:r w:rsidR="00F06F6A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чинением ущерба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="00F06F6A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направления запросов в органы исполнительной государственной власти области, являющиеся главными распорядителями средств, которыми принято расходное обязательство, реализация которого впоследствии повлекла причинен</w:t>
      </w:r>
      <w:r w:rsidR="00F06F6A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ущерба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="00F06F6A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проводятся ежемесячно, ежеквартально, не реже одного раза в год в зависимости от вида доходов, путем анализа информации в ГИС ГМП, направления должнику писем, уведомлений, а также в органы исполнительной государственной власти области, органы принудительного исполнения.</w:t>
      </w:r>
      <w:proofErr w:type="gramEnd"/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Мероприятия по урегулированию дебиторской задолженности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доходам в досудебном порядке (со дня истечения срока</w:t>
      </w:r>
      <w:proofErr w:type="gramEnd"/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уплаты соответствующего платежа в областной бюджет (пеней,</w:t>
      </w:r>
      <w:proofErr w:type="gramEnd"/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штрафов) до начала работы по их принудительному взысканию)</w:t>
      </w:r>
      <w:proofErr w:type="gramEnd"/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Мероприятия по урегулированию дебиторской задолженности по доходам в досудебном порядке (со дня истечения срока уплаты соотв</w:t>
      </w:r>
      <w:r w:rsidR="003F1AB4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етствующего платежа в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3F1AB4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пеней, штрафов до начала работы по их принудительному взысканию) включают в себя: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- урегулирования в случае, когда претензионный порядок урегулирования спора предусмотрен процессуальным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Федерации, договором (контрактом);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рассмотрение вопроса о возможности растор</w:t>
      </w:r>
      <w:r w:rsidR="00710559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договора (муниципального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мероприятие осуществляется до принятия решения о принудительном взыскании дебиторской задолженности по доходам;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обязательствам, уведомлений о наличии задолженности по обязательным платежам или о задолженности по денежным обязательствам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мероприятие осуществляется в срок, установленный законодательством Российской Федерации;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иные мероприятия, проводимые в целях погашения (урегулирования) дебиторской задолженности по доходам в досудебном порядке.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почте заказным письмом с уведомлением и дополнительно по электронной почте, указанной в договорах (контрактах) и иных документах, с использованием опции 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прочтении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1" w:name="_GoBack"/>
      <w:bookmarkEnd w:id="1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сообщения;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путем направления требования (претензии) с использованием единой информационной системы в сфере закупок, в порядке, установленном Федеральным </w:t>
      </w:r>
      <w:hyperlink r:id="rId12" w:history="1">
        <w:r w:rsidRPr="00CA05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добровольном исполнении должником обязатель</w:t>
      </w:r>
      <w:proofErr w:type="gramStart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ср</w:t>
      </w:r>
      <w:proofErr w:type="gramEnd"/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указанный в требовании (претензии), претензионная работа я отношении должника прекращается.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Мероприятия по принудительному взысканию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дебиторской задолженности по доходам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отсутствии добровольного исполнения требования (претензии)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должником в установленный для погашения задолженности срок взыскание задолженности производится в судебном порядке, либо, в порядке</w:t>
      </w:r>
      <w:r w:rsidR="00710559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законодательством об административных правонарушениях.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Взыскание просроченной дебиторской задолженности в судебном порядке осуществляется в сроки и в порядке, установленные действующим законодательством Российской Федерации, а штрафы по результатам рассмотрения дел об административных правонарушениях </w:t>
      </w:r>
      <w:r w:rsidR="00A217A9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hyperlink r:id="rId13" w:history="1">
        <w:r w:rsidRPr="00CA05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Документы о ходе исковой работы по взысканию задолженности, в том числе судебные акты</w:t>
      </w:r>
      <w:r w:rsidR="00067784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</w:t>
      </w:r>
      <w:r w:rsidR="002D5623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юридическом</w:t>
      </w:r>
      <w:r w:rsidR="00067784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Администрации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иные документы, проводимые в рамках мероприятий по принудительному взысканию </w:t>
      </w:r>
      <w:r w:rsidR="00A217A9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7A9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</w:t>
      </w:r>
      <w:r w:rsidR="00067784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подразделениях Администрации округа, согласно администрируемых доходов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принятии судом решения о полном (частичном) отказе в удовлетворении </w:t>
      </w:r>
      <w:r w:rsidR="002D5623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заявленных требований юридическим</w:t>
      </w:r>
      <w:r w:rsidR="007750AF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Администрации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со структурн</w:t>
      </w:r>
      <w:r w:rsidR="007750AF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подразделениями Администрации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 вступления в законную силу судебного акта, удовлетворяющего исковые требования (частичн</w:t>
      </w:r>
      <w:r w:rsidR="007750AF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в полном объеме),</w:t>
      </w:r>
      <w:r w:rsidR="002D5623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</w:t>
      </w:r>
      <w:r w:rsidR="007750AF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Администрации округа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со структурными подразделениями </w:t>
      </w:r>
      <w:r w:rsidR="007750AF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исполнительные документы на исполнение в порядке, установленном законодательством Российской Федерации.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Мероприятия по взысканию </w:t>
      </w:r>
      <w:proofErr w:type="gramStart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просроченной</w:t>
      </w:r>
      <w:proofErr w:type="gramEnd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дебиторском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задолженности в рамках исполнительного производства,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наблюдению (в том числе за возможностью взыскания</w:t>
      </w:r>
      <w:proofErr w:type="gramEnd"/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дебиторской задолженности по доходам в случае изменения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имущественного положения должника) за платежеспособностью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должника в целях обеспечения исполнения </w:t>
      </w:r>
      <w:proofErr w:type="gramStart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дебиторской</w:t>
      </w:r>
      <w:proofErr w:type="gramEnd"/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задолженности по доходам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стадии принудительного исполнения судебных актов о взыскании просроченной дебиторской з</w:t>
      </w:r>
      <w:r w:rsidR="00F14DF5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с должника юридический</w:t>
      </w:r>
      <w:r w:rsidR="007177D4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Администрации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взаимодействие с Федеральной службой судебных приставов Российской Федерации, включающее в себя предоставление информации о ходе исполнительного производства, в том числе: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мероприятиях, проведенных судебным приставом-исполнителем, по принудительному исполнению судебных актов на стадии исполнительного 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производства;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сумме непогашенной задолженности по исполнительному документу;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данных об объявлении розыска должника, его имущества;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состояния счета/счетов должника, имуществе к их правам имущественного характера должника на дату запроса.</w:t>
      </w:r>
    </w:p>
    <w:p w:rsidR="007D4C83" w:rsidRPr="00CA05E7" w:rsidRDefault="00A217A9" w:rsidP="007D4C8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C83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необходимости получения дополнительной информации о сумме в</w:t>
      </w:r>
      <w:r w:rsidR="007177D4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озмещения ущерба бюджету о</w:t>
      </w:r>
      <w:r w:rsidR="00F14DF5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круга, юридический</w:t>
      </w:r>
      <w:r w:rsidR="007D4C83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7D4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Администрации округа</w:t>
      </w:r>
      <w:r w:rsidR="007D4C83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подготовку запроса в органы исполнительной государственной власти области, принявшие расходное обязательство.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102"/>
      <w:bookmarkEnd w:id="2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Перечень структ</w:t>
      </w:r>
      <w:r w:rsidR="00CA492F"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урных подразделений Администрации округа</w:t>
      </w: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ответственных</w:t>
      </w:r>
      <w:proofErr w:type="gramEnd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работу с дебиторской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задолженностью по доходам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работу с дебиторской задолженностью по доходам являются </w:t>
      </w:r>
      <w:r w:rsidR="00286669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администрации Междуреченского муниципального округа, Администрация Междуреченского муниципального округа в лице отдела имущественных отношений.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</w:t>
      </w:r>
      <w:proofErr w:type="gramStart"/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обмена информацией (первичными учетными</w:t>
      </w:r>
      <w:proofErr w:type="gramEnd"/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документами) между структурными подразделениями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сотрудниками </w:t>
      </w:r>
      <w:r w:rsidR="006E4F6E" w:rsidRPr="00CA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округа</w:t>
      </w: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83" w:rsidRPr="00CA05E7" w:rsidRDefault="007D4C83" w:rsidP="007D4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Обмен информацией между структурными подразделениями </w:t>
      </w:r>
      <w:r w:rsidR="006E4F6E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округа, специалистами Администрации округа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 осуществляющими мероприятия, предусмотренные настоящим регламентом, осуществляется на бумажном носителе, </w:t>
      </w:r>
      <w:r w:rsidR="006E4F6E"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электронной почты</w:t>
      </w:r>
      <w:r w:rsidRPr="00CA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3CA" w:rsidRPr="00CA05E7" w:rsidRDefault="004C23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C23CA" w:rsidRPr="00CA05E7" w:rsidSect="00CA05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F64E1"/>
    <w:multiLevelType w:val="hybridMultilevel"/>
    <w:tmpl w:val="C724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CA"/>
    <w:rsid w:val="00000970"/>
    <w:rsid w:val="0003155B"/>
    <w:rsid w:val="00035C7D"/>
    <w:rsid w:val="00040C5B"/>
    <w:rsid w:val="00052895"/>
    <w:rsid w:val="00067784"/>
    <w:rsid w:val="00094DF9"/>
    <w:rsid w:val="000A288A"/>
    <w:rsid w:val="000A7D29"/>
    <w:rsid w:val="000B42F7"/>
    <w:rsid w:val="0012020B"/>
    <w:rsid w:val="00124627"/>
    <w:rsid w:val="00145609"/>
    <w:rsid w:val="00164821"/>
    <w:rsid w:val="00184D0E"/>
    <w:rsid w:val="00185752"/>
    <w:rsid w:val="00194014"/>
    <w:rsid w:val="001A0E9E"/>
    <w:rsid w:val="001D604F"/>
    <w:rsid w:val="001E4439"/>
    <w:rsid w:val="001E7DE3"/>
    <w:rsid w:val="001F3C16"/>
    <w:rsid w:val="00237F4C"/>
    <w:rsid w:val="00257096"/>
    <w:rsid w:val="00275829"/>
    <w:rsid w:val="0028664F"/>
    <w:rsid w:val="00286669"/>
    <w:rsid w:val="002902D0"/>
    <w:rsid w:val="002932E4"/>
    <w:rsid w:val="002B33AF"/>
    <w:rsid w:val="002B45EC"/>
    <w:rsid w:val="002D02D1"/>
    <w:rsid w:val="002D46F1"/>
    <w:rsid w:val="002D5623"/>
    <w:rsid w:val="002D78C5"/>
    <w:rsid w:val="002E05CF"/>
    <w:rsid w:val="00302DCF"/>
    <w:rsid w:val="0030409E"/>
    <w:rsid w:val="0031749D"/>
    <w:rsid w:val="003428F5"/>
    <w:rsid w:val="003454D3"/>
    <w:rsid w:val="00357E48"/>
    <w:rsid w:val="00367BC3"/>
    <w:rsid w:val="00375EBB"/>
    <w:rsid w:val="00392ACD"/>
    <w:rsid w:val="00396F2A"/>
    <w:rsid w:val="00397276"/>
    <w:rsid w:val="003B4D3E"/>
    <w:rsid w:val="003B5D0C"/>
    <w:rsid w:val="003C6047"/>
    <w:rsid w:val="003D55FF"/>
    <w:rsid w:val="003E32CF"/>
    <w:rsid w:val="003F1AB4"/>
    <w:rsid w:val="0042049E"/>
    <w:rsid w:val="004251AB"/>
    <w:rsid w:val="004254EB"/>
    <w:rsid w:val="00487D11"/>
    <w:rsid w:val="004C23CA"/>
    <w:rsid w:val="004E34A2"/>
    <w:rsid w:val="00513A2F"/>
    <w:rsid w:val="00516813"/>
    <w:rsid w:val="00545EDE"/>
    <w:rsid w:val="00580AA8"/>
    <w:rsid w:val="00583BC5"/>
    <w:rsid w:val="00585C5A"/>
    <w:rsid w:val="005A2806"/>
    <w:rsid w:val="005B07A9"/>
    <w:rsid w:val="005C3A9A"/>
    <w:rsid w:val="005C7683"/>
    <w:rsid w:val="005D4C28"/>
    <w:rsid w:val="005D632B"/>
    <w:rsid w:val="005F79FF"/>
    <w:rsid w:val="00652EAE"/>
    <w:rsid w:val="00685295"/>
    <w:rsid w:val="006861AC"/>
    <w:rsid w:val="006A3DD6"/>
    <w:rsid w:val="006A64E5"/>
    <w:rsid w:val="006C06D7"/>
    <w:rsid w:val="006E4F6E"/>
    <w:rsid w:val="00703CFE"/>
    <w:rsid w:val="0070748A"/>
    <w:rsid w:val="00710559"/>
    <w:rsid w:val="007177D4"/>
    <w:rsid w:val="007244B7"/>
    <w:rsid w:val="007750AF"/>
    <w:rsid w:val="0078518C"/>
    <w:rsid w:val="00787179"/>
    <w:rsid w:val="00793F08"/>
    <w:rsid w:val="007D1B6A"/>
    <w:rsid w:val="007D4C83"/>
    <w:rsid w:val="00813D24"/>
    <w:rsid w:val="00820D53"/>
    <w:rsid w:val="00823A48"/>
    <w:rsid w:val="00840C13"/>
    <w:rsid w:val="008524A9"/>
    <w:rsid w:val="0086593C"/>
    <w:rsid w:val="00866583"/>
    <w:rsid w:val="0087190C"/>
    <w:rsid w:val="008842B4"/>
    <w:rsid w:val="0089732B"/>
    <w:rsid w:val="008A7CF3"/>
    <w:rsid w:val="008B6B7E"/>
    <w:rsid w:val="008C3591"/>
    <w:rsid w:val="008C3D5B"/>
    <w:rsid w:val="008C408A"/>
    <w:rsid w:val="008C427C"/>
    <w:rsid w:val="008D3ABD"/>
    <w:rsid w:val="008E1111"/>
    <w:rsid w:val="008F376C"/>
    <w:rsid w:val="008F4141"/>
    <w:rsid w:val="00924B0F"/>
    <w:rsid w:val="00932901"/>
    <w:rsid w:val="00932BBB"/>
    <w:rsid w:val="00952901"/>
    <w:rsid w:val="00957B1E"/>
    <w:rsid w:val="00967669"/>
    <w:rsid w:val="009961AB"/>
    <w:rsid w:val="00996B3D"/>
    <w:rsid w:val="009A157F"/>
    <w:rsid w:val="009A6C97"/>
    <w:rsid w:val="009B2BA6"/>
    <w:rsid w:val="009D1233"/>
    <w:rsid w:val="009D581A"/>
    <w:rsid w:val="009F224F"/>
    <w:rsid w:val="00A10C36"/>
    <w:rsid w:val="00A12006"/>
    <w:rsid w:val="00A15B2B"/>
    <w:rsid w:val="00A217A9"/>
    <w:rsid w:val="00A23846"/>
    <w:rsid w:val="00A50726"/>
    <w:rsid w:val="00A52BA5"/>
    <w:rsid w:val="00A55565"/>
    <w:rsid w:val="00A5650F"/>
    <w:rsid w:val="00A60D8D"/>
    <w:rsid w:val="00A6699C"/>
    <w:rsid w:val="00A71ECA"/>
    <w:rsid w:val="00AA2D39"/>
    <w:rsid w:val="00AA540B"/>
    <w:rsid w:val="00AC09DC"/>
    <w:rsid w:val="00AC4ED9"/>
    <w:rsid w:val="00AC53D6"/>
    <w:rsid w:val="00AE2D94"/>
    <w:rsid w:val="00B015A9"/>
    <w:rsid w:val="00B117B4"/>
    <w:rsid w:val="00B50209"/>
    <w:rsid w:val="00B72EEF"/>
    <w:rsid w:val="00BD2E57"/>
    <w:rsid w:val="00C05F03"/>
    <w:rsid w:val="00C36D79"/>
    <w:rsid w:val="00C56E3B"/>
    <w:rsid w:val="00C608A8"/>
    <w:rsid w:val="00C645D8"/>
    <w:rsid w:val="00C734E9"/>
    <w:rsid w:val="00C85AAE"/>
    <w:rsid w:val="00CA05E7"/>
    <w:rsid w:val="00CA492F"/>
    <w:rsid w:val="00CB6C45"/>
    <w:rsid w:val="00CD146F"/>
    <w:rsid w:val="00CF06BB"/>
    <w:rsid w:val="00CF2340"/>
    <w:rsid w:val="00CF6315"/>
    <w:rsid w:val="00D02C90"/>
    <w:rsid w:val="00D06271"/>
    <w:rsid w:val="00D120BF"/>
    <w:rsid w:val="00D17831"/>
    <w:rsid w:val="00D45D00"/>
    <w:rsid w:val="00D474F8"/>
    <w:rsid w:val="00D77A7C"/>
    <w:rsid w:val="00D9320A"/>
    <w:rsid w:val="00DA3F2F"/>
    <w:rsid w:val="00DB203E"/>
    <w:rsid w:val="00DB61B7"/>
    <w:rsid w:val="00DD07CA"/>
    <w:rsid w:val="00DE0DBB"/>
    <w:rsid w:val="00DE7889"/>
    <w:rsid w:val="00DF4B87"/>
    <w:rsid w:val="00E473F4"/>
    <w:rsid w:val="00E52DF1"/>
    <w:rsid w:val="00E8019D"/>
    <w:rsid w:val="00E93767"/>
    <w:rsid w:val="00EA7654"/>
    <w:rsid w:val="00EC512D"/>
    <w:rsid w:val="00ED391D"/>
    <w:rsid w:val="00EF67F6"/>
    <w:rsid w:val="00EF784A"/>
    <w:rsid w:val="00F06F6A"/>
    <w:rsid w:val="00F14DF5"/>
    <w:rsid w:val="00F25E9B"/>
    <w:rsid w:val="00F278C4"/>
    <w:rsid w:val="00F354AD"/>
    <w:rsid w:val="00F54ABB"/>
    <w:rsid w:val="00F83B9F"/>
    <w:rsid w:val="00FA4A9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F631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627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396F2A"/>
    <w:rPr>
      <w:color w:val="808080"/>
    </w:rPr>
  </w:style>
  <w:style w:type="table" w:styleId="a7">
    <w:name w:val="Table Grid"/>
    <w:basedOn w:val="a1"/>
    <w:uiPriority w:val="39"/>
    <w:rsid w:val="00CA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F631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627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396F2A"/>
    <w:rPr>
      <w:color w:val="808080"/>
    </w:rPr>
  </w:style>
  <w:style w:type="table" w:styleId="a7">
    <w:name w:val="Table Grid"/>
    <w:basedOn w:val="a1"/>
    <w:uiPriority w:val="39"/>
    <w:rsid w:val="00CA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35081F667A5728CFBEE3F7963F55B5E445F8A683C9986A8A5CC883CD183D685B03901B2D8B536CCEB44B11ACCD53F10BE2E7E012Fg6a3G" TargetMode="External"/><Relationship Id="rId13" Type="http://schemas.openxmlformats.org/officeDocument/2006/relationships/hyperlink" Target="https://login.consultant.ru/link/?req=doc&amp;base=LAW&amp;n=477373&amp;date=18.06.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5972&amp;date=18.06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6668&amp;date=18.06.2024&amp;dst=100009&amp;fie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798&amp;date=18.06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535081F667A5728CFBEE3F7963F55B5E4A5E8A6F3A9986A8A5CC883CD183D685B03904B6D8BD3D9FB154B55398DF2017A2307E1F2F6187g8a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3206-22BF-4A5D-8E4C-A97B9B5D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7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116</cp:revision>
  <cp:lastPrinted>2024-06-28T14:56:00Z</cp:lastPrinted>
  <dcterms:created xsi:type="dcterms:W3CDTF">2023-02-28T13:58:00Z</dcterms:created>
  <dcterms:modified xsi:type="dcterms:W3CDTF">2024-06-28T14:56:00Z</dcterms:modified>
</cp:coreProperties>
</file>