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F95391">
        <w:rPr>
          <w:rFonts w:ascii="Times New Roman" w:eastAsia="Times New Roman" w:hAnsi="Times New Roman" w:cs="Times New Roman"/>
          <w:b/>
          <w:noProof/>
          <w:color w:val="FF0000"/>
          <w:lang w:eastAsia="ru-RU"/>
        </w:rPr>
        <w:drawing>
          <wp:inline distT="0" distB="0" distL="0" distR="0" wp14:anchorId="0830009D" wp14:editId="349436B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39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F95391" w:rsidRPr="00F95391" w:rsidRDefault="00F95391" w:rsidP="00F95391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3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F95391" w:rsidRPr="00F95391" w:rsidRDefault="00F95391" w:rsidP="00F95391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3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F95391" w:rsidRPr="00F95391" w:rsidRDefault="00F95391" w:rsidP="00F95391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3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proofErr w:type="spellStart"/>
      <w:r w:rsidRPr="00F95391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О.А.Дудина</w:t>
      </w:r>
      <w:proofErr w:type="spellEnd"/>
      <w:r w:rsidRPr="00F95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3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F95391" w:rsidRPr="00F95391" w:rsidRDefault="00F95391" w:rsidP="00F953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Туровецкое</w:t>
      </w:r>
    </w:p>
    <w:p w:rsidR="00F95391" w:rsidRPr="00F95391" w:rsidRDefault="00F95391" w:rsidP="00F953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202</w:t>
      </w:r>
      <w:r w:rsidR="00363397" w:rsidRPr="003633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3397" w:rsidRPr="0036339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3397" w:rsidRPr="0036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63397" w:rsidRPr="003633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</w:t>
      </w:r>
      <w:r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7968C5"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3.1.10 </w:t>
      </w:r>
      <w:r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«Экспертно-аналитические мероприятия»  Плана работы  ревизионной комиссии </w:t>
      </w: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202</w:t>
      </w:r>
      <w:r w:rsidR="00363397" w:rsidRPr="003633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полугодие  202</w:t>
      </w:r>
      <w:r w:rsidR="00363397" w:rsidRPr="003633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полугодие 202</w:t>
      </w:r>
      <w:r w:rsidR="00363397" w:rsidRPr="003633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постановлением администрации  поселения Туровецкое от 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36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B64E4D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36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№12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391" w:rsidRPr="00B64E4D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F95391" w:rsidRPr="00B64E4D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сопоставление исполненных показателей бюджета поселения  за 1 полугодие 202</w:t>
      </w:r>
      <w:r w:rsidR="00B64E4D"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F95391" w:rsidRPr="00B64E4D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выявление возможных несоответствий (нарушений) и подготовка предложений, направленных на их устранение.</w:t>
      </w:r>
    </w:p>
    <w:p w:rsidR="00F95391" w:rsidRPr="00B64E4D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полугодие 202</w:t>
      </w:r>
      <w:r w:rsidR="00B64E4D"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B64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391" w:rsidRPr="00BD587B" w:rsidRDefault="00F95391" w:rsidP="00F953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поселения.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полугодие   202</w:t>
      </w:r>
      <w:r w:rsidR="00B64E4D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Туровецкое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202</w:t>
      </w:r>
      <w:r w:rsidR="00B64E4D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64E4D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4E4D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в 1 полугодии 202</w:t>
      </w:r>
      <w:r w:rsidR="00B64E4D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1 раз  решением Совета поселения Туровецкое  от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4.05.202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Первоначальный бюджет поселения на 202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 решением Совета поселения Туровецкое от 2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–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5493,7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5493,7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BD587B" w:rsidRDefault="00F95391" w:rsidP="00F95391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бюджета поселения </w:t>
      </w:r>
      <w:proofErr w:type="gramStart"/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дефицита.</w:t>
      </w:r>
    </w:p>
    <w:p w:rsidR="00F95391" w:rsidRPr="00BD587B" w:rsidRDefault="00F95391" w:rsidP="00F95391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Туровецкое  имеет следующие параметры: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объем доходов бюджета поселения –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бюджета поселения </w:t>
      </w:r>
      <w:proofErr w:type="gramStart"/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дефицита.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составили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3141,4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–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2767,5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47,0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составил 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373,9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за 1 полугодие 2021 года в сравнении с аналогичным периодом 202</w:t>
      </w:r>
      <w:r w:rsidR="00BD587B"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D587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Pr="00BD587B">
        <w:rPr>
          <w:rFonts w:ascii="Times New Roman" w:eastAsia="Times New Roman" w:hAnsi="Times New Roman" w:cs="Times New Roman"/>
          <w:lang w:eastAsia="ru-RU"/>
        </w:rPr>
        <w:t>тыс. руб.</w:t>
      </w:r>
    </w:p>
    <w:p w:rsidR="00F95391" w:rsidRPr="00BD58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134"/>
        <w:gridCol w:w="1418"/>
        <w:gridCol w:w="1276"/>
        <w:gridCol w:w="1417"/>
        <w:gridCol w:w="1417"/>
      </w:tblGrid>
      <w:tr w:rsidR="00BD587B" w:rsidRPr="00BD587B" w:rsidTr="007968C5">
        <w:trPr>
          <w:trHeight w:val="2158"/>
        </w:trPr>
        <w:tc>
          <w:tcPr>
            <w:tcW w:w="1809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F95391" w:rsidRPr="00BD587B" w:rsidRDefault="00F95391" w:rsidP="00BD5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1 полугодие 202</w:t>
            </w:r>
            <w:r w:rsidR="00BD587B"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134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F95391" w:rsidRPr="00BD587B" w:rsidRDefault="00BD58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F95391" w:rsidRPr="00BD587B" w:rsidRDefault="00F95391" w:rsidP="00BD5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D587B"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17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D587B"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D587B"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 202</w:t>
            </w:r>
            <w:r w:rsidR="00BD587B"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F95391" w:rsidRPr="00BD587B" w:rsidRDefault="00F95391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7B" w:rsidRPr="00BD587B" w:rsidTr="007968C5">
        <w:trPr>
          <w:trHeight w:val="261"/>
        </w:trPr>
        <w:tc>
          <w:tcPr>
            <w:tcW w:w="1809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F95391" w:rsidRPr="00BD58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587B" w:rsidRPr="00BD587B" w:rsidTr="007968C5">
        <w:tc>
          <w:tcPr>
            <w:tcW w:w="1809" w:type="dxa"/>
          </w:tcPr>
          <w:p w:rsidR="00BD587B" w:rsidRPr="00BD587B" w:rsidRDefault="00BD587B" w:rsidP="00F9539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BD587B" w:rsidRPr="00BD587B" w:rsidRDefault="00BD58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2570,8</w:t>
            </w:r>
          </w:p>
        </w:tc>
        <w:tc>
          <w:tcPr>
            <w:tcW w:w="1134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5884,7</w:t>
            </w:r>
          </w:p>
        </w:tc>
        <w:tc>
          <w:tcPr>
            <w:tcW w:w="1418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3141,4</w:t>
            </w:r>
          </w:p>
        </w:tc>
        <w:tc>
          <w:tcPr>
            <w:tcW w:w="1276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417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570,6</w:t>
            </w:r>
          </w:p>
        </w:tc>
        <w:tc>
          <w:tcPr>
            <w:tcW w:w="1417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</w:tr>
      <w:tr w:rsidR="00BD587B" w:rsidRPr="00BD587B" w:rsidTr="007968C5">
        <w:tc>
          <w:tcPr>
            <w:tcW w:w="1809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BD587B" w:rsidRPr="00BD587B" w:rsidRDefault="00BD58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2460,2</w:t>
            </w:r>
          </w:p>
        </w:tc>
        <w:tc>
          <w:tcPr>
            <w:tcW w:w="1134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5884,7</w:t>
            </w:r>
          </w:p>
        </w:tc>
        <w:tc>
          <w:tcPr>
            <w:tcW w:w="1418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2767,5</w:t>
            </w:r>
          </w:p>
        </w:tc>
        <w:tc>
          <w:tcPr>
            <w:tcW w:w="1276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417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1417" w:type="dxa"/>
          </w:tcPr>
          <w:p w:rsidR="00BD587B" w:rsidRPr="00BD587B" w:rsidRDefault="0031245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</w:tr>
      <w:tr w:rsidR="00BD587B" w:rsidRPr="00BD587B" w:rsidTr="007968C5">
        <w:tc>
          <w:tcPr>
            <w:tcW w:w="1809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BD587B" w:rsidRPr="00BD587B" w:rsidRDefault="00BD58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134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BD587B" w:rsidRPr="00BD587B" w:rsidRDefault="0031245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373,9</w:t>
            </w:r>
          </w:p>
        </w:tc>
        <w:tc>
          <w:tcPr>
            <w:tcW w:w="1276" w:type="dxa"/>
          </w:tcPr>
          <w:p w:rsidR="00BD587B" w:rsidRPr="00BD587B" w:rsidRDefault="00BD58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BD587B" w:rsidRPr="00BD587B" w:rsidRDefault="0031245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263,3</w:t>
            </w:r>
          </w:p>
        </w:tc>
        <w:tc>
          <w:tcPr>
            <w:tcW w:w="1417" w:type="dxa"/>
          </w:tcPr>
          <w:p w:rsidR="00BD587B" w:rsidRPr="00BD587B" w:rsidRDefault="0031245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3,4 раза</w:t>
            </w:r>
          </w:p>
        </w:tc>
      </w:tr>
    </w:tbl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791F7C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202</w:t>
      </w:r>
      <w:r w:rsidR="00791F7C"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 на </w:t>
      </w:r>
      <w:r w:rsidR="00791F7C"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>570,6</w:t>
      </w: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91F7C"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также увеличились на </w:t>
      </w:r>
      <w:r w:rsidR="00791F7C"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>307,3</w:t>
      </w: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791F7C"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1 полугодие 202</w:t>
      </w:r>
      <w:r w:rsidR="00791F7C"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 с профицитом  в сумме  </w:t>
      </w:r>
      <w:r w:rsidR="00791F7C"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>373,9</w:t>
      </w: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202</w:t>
      </w:r>
      <w:r w:rsidR="00791F7C"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также с профицитом в сумме </w:t>
      </w:r>
      <w:r w:rsidR="00791F7C"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>110,6</w:t>
      </w:r>
      <w:r w:rsidRPr="0079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F95391" w:rsidRPr="00791F7C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95391" w:rsidRPr="00292E7B" w:rsidRDefault="00F95391" w:rsidP="00F953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292E7B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92E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по доходам за 1 полугодие 202</w:t>
      </w:r>
      <w:r w:rsidR="00292E7B" w:rsidRPr="0029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292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5391" w:rsidRPr="00292E7B" w:rsidRDefault="00F95391" w:rsidP="00F95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E7B">
        <w:rPr>
          <w:rFonts w:ascii="Times New Roman" w:eastAsia="Times New Roman" w:hAnsi="Times New Roman" w:cs="Times New Roman"/>
          <w:lang w:eastAsia="ru-RU"/>
        </w:rPr>
        <w:t>Таблица № 2</w:t>
      </w:r>
      <w:r w:rsidRPr="00292E7B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992"/>
        <w:gridCol w:w="851"/>
        <w:gridCol w:w="708"/>
        <w:gridCol w:w="236"/>
      </w:tblGrid>
      <w:tr w:rsidR="00F95391" w:rsidRPr="00292E7B" w:rsidTr="007968C5">
        <w:trPr>
          <w:gridAfter w:val="1"/>
          <w:wAfter w:w="236" w:type="dxa"/>
          <w:trHeight w:val="3152"/>
        </w:trPr>
        <w:tc>
          <w:tcPr>
            <w:tcW w:w="2802" w:type="dxa"/>
          </w:tcPr>
          <w:p w:rsidR="00F95391" w:rsidRPr="00292E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F95391" w:rsidRPr="00292E7B" w:rsidRDefault="00F95391" w:rsidP="00292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292E7B"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F95391" w:rsidRPr="00292E7B" w:rsidRDefault="00F95391" w:rsidP="00292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202</w:t>
            </w:r>
            <w:r w:rsidR="00292E7B"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F95391" w:rsidRPr="00292E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F95391" w:rsidRPr="00292E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95391" w:rsidRPr="00292E7B" w:rsidRDefault="00F95391" w:rsidP="007A3B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7A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F95391" w:rsidRPr="00292E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F95391" w:rsidRPr="00292E7B" w:rsidRDefault="00F95391" w:rsidP="007A3B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202</w:t>
            </w:r>
            <w:r w:rsidR="007A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2" w:type="dxa"/>
          </w:tcPr>
          <w:p w:rsidR="00F95391" w:rsidRPr="00292E7B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F95391" w:rsidRPr="00292E7B" w:rsidRDefault="00F95391" w:rsidP="00F95391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95391" w:rsidRPr="00292E7B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F95391" w:rsidRPr="00292E7B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F95391" w:rsidRPr="00292E7B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F95391" w:rsidRPr="00292E7B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7A3B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F95391" w:rsidRPr="00292E7B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полугодия </w:t>
            </w:r>
          </w:p>
          <w:p w:rsidR="00F95391" w:rsidRPr="00292E7B" w:rsidRDefault="00F95391" w:rsidP="007A3BAD">
            <w:pPr>
              <w:spacing w:after="0" w:line="240" w:lineRule="auto"/>
              <w:ind w:left="-108" w:righ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7A3B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F95391" w:rsidRPr="00292E7B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F95391" w:rsidRPr="00292E7B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уровню 1 полугодия </w:t>
            </w:r>
          </w:p>
          <w:p w:rsidR="00F95391" w:rsidRPr="00292E7B" w:rsidRDefault="00F95391" w:rsidP="00F953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7A3B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292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F95391" w:rsidRPr="00292E7B" w:rsidRDefault="00F95391" w:rsidP="00F95391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522,0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137,6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26,3</w:t>
            </w:r>
          </w:p>
        </w:tc>
        <w:tc>
          <w:tcPr>
            <w:tcW w:w="850" w:type="dxa"/>
          </w:tcPr>
          <w:p w:rsidR="00292E7B" w:rsidRPr="00292E7B" w:rsidRDefault="001A7C85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353,0</w:t>
            </w:r>
          </w:p>
        </w:tc>
        <w:tc>
          <w:tcPr>
            <w:tcW w:w="851" w:type="dxa"/>
          </w:tcPr>
          <w:p w:rsidR="00292E7B" w:rsidRPr="00292E7B" w:rsidRDefault="001A7C85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133,9</w:t>
            </w:r>
          </w:p>
        </w:tc>
        <w:tc>
          <w:tcPr>
            <w:tcW w:w="992" w:type="dxa"/>
          </w:tcPr>
          <w:p w:rsidR="00292E7B" w:rsidRPr="00292E7B" w:rsidRDefault="001A7C85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851" w:type="dxa"/>
          </w:tcPr>
          <w:p w:rsidR="00292E7B" w:rsidRPr="00292E7B" w:rsidRDefault="001A7C85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-3,7</w:t>
            </w:r>
          </w:p>
        </w:tc>
        <w:tc>
          <w:tcPr>
            <w:tcW w:w="708" w:type="dxa"/>
          </w:tcPr>
          <w:p w:rsidR="00292E7B" w:rsidRPr="00292E7B" w:rsidRDefault="001A7C85" w:rsidP="00F9539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97,3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199,0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184,0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физических лиц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229,0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10,9 раза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-17,3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-1,1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292E7B" w:rsidRPr="00292E7B" w:rsidRDefault="001A7C85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8653F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292E7B" w:rsidRPr="00292E7B" w:rsidRDefault="001A7C85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16,4</w:t>
            </w:r>
          </w:p>
        </w:tc>
        <w:tc>
          <w:tcPr>
            <w:tcW w:w="992" w:type="dxa"/>
          </w:tcPr>
          <w:p w:rsidR="00292E7B" w:rsidRPr="00292E7B" w:rsidRDefault="001A7C85" w:rsidP="00F95391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41,0</w:t>
            </w:r>
          </w:p>
        </w:tc>
        <w:tc>
          <w:tcPr>
            <w:tcW w:w="851" w:type="dxa"/>
          </w:tcPr>
          <w:p w:rsidR="00292E7B" w:rsidRPr="00292E7B" w:rsidRDefault="001A7C85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12,7</w:t>
            </w:r>
          </w:p>
        </w:tc>
        <w:tc>
          <w:tcPr>
            <w:tcW w:w="708" w:type="dxa"/>
          </w:tcPr>
          <w:p w:rsidR="00292E7B" w:rsidRPr="00292E7B" w:rsidRDefault="00707C72" w:rsidP="00F95391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4,4 раза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A975F8" w:rsidP="00A975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</w:t>
            </w:r>
            <w:r w:rsidR="00292E7B" w:rsidRPr="00292E7B">
              <w:rPr>
                <w:rFonts w:ascii="Times New Roman" w:eastAsia="Times New Roman" w:hAnsi="Times New Roman" w:cs="Times New Roman"/>
                <w:lang w:eastAsia="ru-RU"/>
              </w:rPr>
              <w:t xml:space="preserve">оходы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сдачи в аренду муниципального </w:t>
            </w:r>
            <w:r w:rsidR="00292E7B" w:rsidRPr="00292E7B">
              <w:rPr>
                <w:rFonts w:ascii="Times New Roman" w:eastAsia="Times New Roman" w:hAnsi="Times New Roman" w:cs="Times New Roman"/>
                <w:lang w:eastAsia="ru-RU"/>
              </w:rPr>
              <w:t>имущества, находящегося в собственности поселения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292E7B" w:rsidRPr="00292E7B" w:rsidRDefault="00292E7B" w:rsidP="008653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92E7B" w:rsidRPr="00292E7B" w:rsidRDefault="001A7C85" w:rsidP="00F95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53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292E7B" w:rsidRPr="00292E7B" w:rsidRDefault="001A7C85" w:rsidP="00F95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92" w:type="dxa"/>
          </w:tcPr>
          <w:p w:rsidR="00292E7B" w:rsidRPr="00292E7B" w:rsidRDefault="001A7C85" w:rsidP="008653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851" w:type="dxa"/>
          </w:tcPr>
          <w:p w:rsidR="00292E7B" w:rsidRPr="00292E7B" w:rsidRDefault="001A7C85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708" w:type="dxa"/>
          </w:tcPr>
          <w:p w:rsidR="00292E7B" w:rsidRPr="00292E7B" w:rsidRDefault="00707C72" w:rsidP="00F9539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10</w:t>
            </w:r>
            <w:r w:rsidR="00FE57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707C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- возмещение ущерба при возникновении страховых случаев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 xml:space="preserve">   0,0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09" w:type="dxa"/>
          </w:tcPr>
          <w:p w:rsidR="00292E7B" w:rsidRPr="00292E7B" w:rsidRDefault="008653F4" w:rsidP="008653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2E7B" w:rsidRPr="00292E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292E7B" w:rsidRPr="00292E7B" w:rsidRDefault="008653F4" w:rsidP="008653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0,0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-3,7</w:t>
            </w:r>
          </w:p>
        </w:tc>
        <w:tc>
          <w:tcPr>
            <w:tcW w:w="708" w:type="dxa"/>
          </w:tcPr>
          <w:p w:rsidR="00292E7B" w:rsidRPr="00292E7B" w:rsidRDefault="00707C72" w:rsidP="00F9539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E57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522,0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141,3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27,1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393,0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150,3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38,2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9,0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106,4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5013,6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2429,5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5491,7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2991,1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54,5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561,6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123,1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2727,6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1375,6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3006,1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1666,1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290,5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tabs>
                <w:tab w:val="left" w:pos="196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1527,0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706,0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1754,1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741,2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tabs>
                <w:tab w:val="left" w:pos="480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- прочие субсидии бюджетам сельских поселений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612,5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273,2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544,4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471,8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198,6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tabs>
                <w:tab w:val="left" w:pos="480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172,7</w:t>
            </w:r>
          </w:p>
        </w:tc>
      </w:tr>
      <w:tr w:rsidR="00292E7B" w:rsidRPr="00292E7B" w:rsidTr="007968C5">
        <w:trPr>
          <w:gridAfter w:val="1"/>
          <w:wAfter w:w="236" w:type="dxa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 xml:space="preserve">- поступление от денежных пожертвований, предоставляемых юр. и  </w:t>
            </w:r>
            <w:proofErr w:type="spellStart"/>
            <w:proofErr w:type="gramStart"/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spellEnd"/>
            <w:proofErr w:type="gramEnd"/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, лицами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0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851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</w:tcPr>
          <w:p w:rsidR="00292E7B" w:rsidRPr="00292E7B" w:rsidRDefault="008653F4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1" w:type="dxa"/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</w:tcPr>
          <w:p w:rsidR="00292E7B" w:rsidRPr="00292E7B" w:rsidRDefault="00FE5787" w:rsidP="00F95391">
            <w:pPr>
              <w:tabs>
                <w:tab w:val="left" w:pos="480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2,6 раза</w:t>
            </w:r>
          </w:p>
        </w:tc>
      </w:tr>
      <w:tr w:rsidR="00292E7B" w:rsidRPr="00292E7B" w:rsidTr="007968C5">
        <w:trPr>
          <w:trHeight w:val="309"/>
        </w:trPr>
        <w:tc>
          <w:tcPr>
            <w:tcW w:w="2802" w:type="dxa"/>
          </w:tcPr>
          <w:p w:rsidR="00292E7B" w:rsidRPr="00292E7B" w:rsidRDefault="00292E7B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5535,6</w:t>
            </w:r>
          </w:p>
        </w:tc>
        <w:tc>
          <w:tcPr>
            <w:tcW w:w="992" w:type="dxa"/>
          </w:tcPr>
          <w:p w:rsidR="00292E7B" w:rsidRPr="00292E7B" w:rsidRDefault="00292E7B" w:rsidP="0097036E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2570,8</w:t>
            </w:r>
          </w:p>
        </w:tc>
        <w:tc>
          <w:tcPr>
            <w:tcW w:w="709" w:type="dxa"/>
          </w:tcPr>
          <w:p w:rsidR="00292E7B" w:rsidRPr="00292E7B" w:rsidRDefault="00292E7B" w:rsidP="0097036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E7B">
              <w:rPr>
                <w:rFonts w:ascii="Times New Roman" w:eastAsia="Times New Roman" w:hAnsi="Times New Roman" w:cs="Times New Roman"/>
                <w:b/>
                <w:lang w:eastAsia="ru-RU"/>
              </w:rPr>
              <w:t>46,4</w:t>
            </w:r>
          </w:p>
        </w:tc>
        <w:tc>
          <w:tcPr>
            <w:tcW w:w="850" w:type="dxa"/>
          </w:tcPr>
          <w:p w:rsidR="00292E7B" w:rsidRPr="00292E7B" w:rsidRDefault="006A4BEE" w:rsidP="00F95391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5884,7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292E7B" w:rsidRPr="00292E7B" w:rsidRDefault="006A4BEE" w:rsidP="00F95391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3141,4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292E7B" w:rsidRPr="00292E7B" w:rsidRDefault="006A4BEE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292E7B" w:rsidRPr="00292E7B" w:rsidRDefault="00FE5787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570,6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292E7B" w:rsidRPr="00292E7B" w:rsidRDefault="00FE5787" w:rsidP="00F9539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122,2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92E7B" w:rsidRPr="00292E7B" w:rsidRDefault="00292E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95391" w:rsidRPr="00292E7B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5391" w:rsidRPr="00940727" w:rsidRDefault="00F95391" w:rsidP="00F953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Налоговые и неналоговые доходы бюджета поселения.</w:t>
      </w: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исполнены в сумме </w:t>
      </w:r>
      <w:r w:rsidR="0080664A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150,3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80664A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80664A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393,0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202</w:t>
      </w:r>
      <w:r w:rsidR="0080664A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</w:t>
      </w:r>
      <w:r w:rsidR="0080664A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80664A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0664A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 Имеется увеличение </w:t>
      </w:r>
      <w:r w:rsidR="003414C4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налогу на имущество 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5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15,9 тыс. рублей (в 10,9 раза) и </w:t>
      </w:r>
      <w:r w:rsidR="003414C4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от реализации муниципального имущества на 16,4 тыс. рублей (100,0%).  Снижение  по НДФЛ на 1,2 тыс. рублей (на 1,4%), 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на </w:t>
      </w:r>
      <w:r w:rsidR="003414C4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3414C4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58,8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по государственной пошлине </w:t>
      </w:r>
      <w:proofErr w:type="gramStart"/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4C4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1,1 тыс. рублей (в 2,4 раза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возмещению ущерба при возникновении страховых случаев</w:t>
      </w:r>
      <w:r w:rsidR="003414C4" w:rsidRPr="0034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3,7 тыс. рублей (на 100,0%).</w:t>
      </w:r>
    </w:p>
    <w:p w:rsidR="00F95391" w:rsidRPr="003414C4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391" w:rsidRPr="003414C4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4C4">
        <w:rPr>
          <w:rFonts w:ascii="Times New Roman" w:eastAsia="Calibri" w:hAnsi="Times New Roman" w:cs="Times New Roman"/>
          <w:sz w:val="28"/>
          <w:szCs w:val="28"/>
        </w:rPr>
        <w:t xml:space="preserve">        Структура налоговых  и неналоговых доходов бюджета района в сравнении с 1  полугодием  202</w:t>
      </w:r>
      <w:r w:rsidR="003414C4" w:rsidRPr="003414C4">
        <w:rPr>
          <w:rFonts w:ascii="Times New Roman" w:eastAsia="Calibri" w:hAnsi="Times New Roman" w:cs="Times New Roman"/>
          <w:sz w:val="28"/>
          <w:szCs w:val="28"/>
        </w:rPr>
        <w:t>1</w:t>
      </w:r>
      <w:r w:rsidRPr="003414C4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F95391" w:rsidRPr="003414C4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4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p w:rsidR="00954316" w:rsidRPr="003414C4" w:rsidRDefault="00954316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7D4544" wp14:editId="782E6AD2">
            <wp:extent cx="6134100" cy="45243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F9539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Pr="00BA4992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F95391" w:rsidRPr="00F95391" w:rsidRDefault="00F95391" w:rsidP="00F95391">
      <w:pPr>
        <w:spacing w:after="0" w:line="240" w:lineRule="auto"/>
        <w:ind w:firstLine="705"/>
        <w:contextualSpacing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F95391" w:rsidRPr="00BA4992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92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 исполнены в сумме </w:t>
      </w:r>
      <w:r w:rsidR="00BA4992" w:rsidRPr="00BA4992">
        <w:rPr>
          <w:rFonts w:ascii="Times New Roman" w:eastAsia="Calibri" w:hAnsi="Times New Roman" w:cs="Times New Roman"/>
          <w:sz w:val="28"/>
          <w:szCs w:val="28"/>
        </w:rPr>
        <w:t>133,9</w:t>
      </w:r>
      <w:r w:rsidRPr="00BA4992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BA4992" w:rsidRPr="00BA4992">
        <w:rPr>
          <w:rFonts w:ascii="Times New Roman" w:eastAsia="Calibri" w:hAnsi="Times New Roman" w:cs="Times New Roman"/>
          <w:sz w:val="28"/>
          <w:szCs w:val="28"/>
        </w:rPr>
        <w:t>37,9</w:t>
      </w:r>
      <w:r w:rsidRPr="00BA4992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BA4992" w:rsidRPr="00BA4992">
        <w:rPr>
          <w:rFonts w:ascii="Times New Roman" w:eastAsia="Calibri" w:hAnsi="Times New Roman" w:cs="Times New Roman"/>
          <w:sz w:val="28"/>
          <w:szCs w:val="28"/>
        </w:rPr>
        <w:t>353,0</w:t>
      </w:r>
      <w:r w:rsidRPr="00BA4992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налоговых доходов в структуре доходов бюджета  поселения составила </w:t>
      </w:r>
      <w:r w:rsidR="00BA4992" w:rsidRPr="00BA4992">
        <w:rPr>
          <w:rFonts w:ascii="Times New Roman" w:eastAsia="Calibri" w:hAnsi="Times New Roman" w:cs="Times New Roman"/>
          <w:sz w:val="28"/>
          <w:szCs w:val="28"/>
        </w:rPr>
        <w:t xml:space="preserve">4,3 </w:t>
      </w:r>
      <w:r w:rsidRPr="00BA4992"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F95391" w:rsidRPr="00BA4992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поступления налога на доходы  физических лиц в  1 полугодии 202</w:t>
      </w:r>
      <w:r w:rsidR="00BA4992" w:rsidRPr="00BA49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BA4992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992">
        <w:rPr>
          <w:rFonts w:ascii="Times New Roman" w:eastAsia="Times New Roman" w:hAnsi="Times New Roman" w:cs="Times New Roman"/>
          <w:lang w:eastAsia="ru-RU"/>
        </w:rPr>
        <w:t>Таблица № 3</w:t>
      </w:r>
      <w:r w:rsidRPr="00BA499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тыс. руб.</w:t>
      </w:r>
    </w:p>
    <w:tbl>
      <w:tblPr>
        <w:tblStyle w:val="a3"/>
        <w:tblW w:w="9639" w:type="dxa"/>
        <w:tblInd w:w="108" w:type="dxa"/>
        <w:tblLook w:val="01E0" w:firstRow="1" w:lastRow="1" w:firstColumn="1" w:lastColumn="1" w:noHBand="0" w:noVBand="0"/>
      </w:tblPr>
      <w:tblGrid>
        <w:gridCol w:w="1862"/>
        <w:gridCol w:w="1824"/>
        <w:gridCol w:w="2117"/>
        <w:gridCol w:w="1852"/>
        <w:gridCol w:w="1984"/>
      </w:tblGrid>
      <w:tr w:rsidR="00BA4992" w:rsidRPr="00BA4992" w:rsidTr="007968C5">
        <w:tc>
          <w:tcPr>
            <w:tcW w:w="1862" w:type="dxa"/>
          </w:tcPr>
          <w:p w:rsidR="00F95391" w:rsidRPr="00BA4992" w:rsidRDefault="00F95391" w:rsidP="00F95391">
            <w:pPr>
              <w:contextualSpacing/>
              <w:jc w:val="both"/>
              <w:rPr>
                <w:sz w:val="28"/>
                <w:szCs w:val="28"/>
              </w:rPr>
            </w:pPr>
            <w:r w:rsidRPr="00BA4992">
              <w:rPr>
                <w:sz w:val="28"/>
                <w:szCs w:val="28"/>
              </w:rPr>
              <w:t>Фактическо</w:t>
            </w:r>
            <w:r w:rsidR="00BA4992" w:rsidRPr="00BA4992">
              <w:rPr>
                <w:sz w:val="28"/>
                <w:szCs w:val="28"/>
              </w:rPr>
              <w:t>е исполнение за 1 полугодие 2021</w:t>
            </w:r>
            <w:r w:rsidRPr="00BA49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4" w:type="dxa"/>
          </w:tcPr>
          <w:p w:rsidR="00F95391" w:rsidRPr="00BA4992" w:rsidRDefault="00F95391" w:rsidP="00BA4992">
            <w:pPr>
              <w:contextualSpacing/>
              <w:jc w:val="both"/>
              <w:rPr>
                <w:sz w:val="28"/>
                <w:szCs w:val="28"/>
              </w:rPr>
            </w:pPr>
            <w:r w:rsidRPr="00BA4992">
              <w:rPr>
                <w:sz w:val="28"/>
                <w:szCs w:val="28"/>
              </w:rPr>
              <w:t>% исполнения от плановых назначений на 202</w:t>
            </w:r>
            <w:r w:rsidR="00BA4992" w:rsidRPr="00BA4992">
              <w:rPr>
                <w:sz w:val="28"/>
                <w:szCs w:val="28"/>
              </w:rPr>
              <w:t>1</w:t>
            </w:r>
            <w:r w:rsidRPr="00BA499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7" w:type="dxa"/>
          </w:tcPr>
          <w:p w:rsidR="00F95391" w:rsidRPr="00BA4992" w:rsidRDefault="00F95391" w:rsidP="00BA4992">
            <w:pPr>
              <w:contextualSpacing/>
              <w:jc w:val="both"/>
              <w:rPr>
                <w:sz w:val="28"/>
                <w:szCs w:val="28"/>
              </w:rPr>
            </w:pPr>
            <w:r w:rsidRPr="00BA4992">
              <w:rPr>
                <w:sz w:val="28"/>
                <w:szCs w:val="28"/>
              </w:rPr>
              <w:t>Фактическое исполнение за 1 полугодие 202</w:t>
            </w:r>
            <w:r w:rsidR="00BA4992" w:rsidRPr="00BA4992">
              <w:rPr>
                <w:sz w:val="28"/>
                <w:szCs w:val="28"/>
              </w:rPr>
              <w:t>2</w:t>
            </w:r>
            <w:r w:rsidRPr="00BA49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F95391" w:rsidRPr="00BA4992" w:rsidRDefault="00F95391" w:rsidP="00BA4992">
            <w:pPr>
              <w:contextualSpacing/>
              <w:jc w:val="both"/>
              <w:rPr>
                <w:sz w:val="28"/>
                <w:szCs w:val="28"/>
              </w:rPr>
            </w:pPr>
            <w:r w:rsidRPr="00BA4992">
              <w:rPr>
                <w:sz w:val="28"/>
                <w:szCs w:val="28"/>
              </w:rPr>
              <w:t>% исполнения от плановых назначений на 202</w:t>
            </w:r>
            <w:r w:rsidR="00BA4992" w:rsidRPr="00BA4992">
              <w:rPr>
                <w:sz w:val="28"/>
                <w:szCs w:val="28"/>
              </w:rPr>
              <w:t xml:space="preserve">2 </w:t>
            </w:r>
            <w:r w:rsidRPr="00BA4992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F95391" w:rsidRPr="00BA4992" w:rsidRDefault="00F95391" w:rsidP="00BA4992">
            <w:pPr>
              <w:contextualSpacing/>
              <w:jc w:val="both"/>
              <w:rPr>
                <w:sz w:val="28"/>
                <w:szCs w:val="28"/>
              </w:rPr>
            </w:pPr>
            <w:r w:rsidRPr="00BA4992">
              <w:rPr>
                <w:sz w:val="28"/>
                <w:szCs w:val="28"/>
              </w:rPr>
              <w:t>Отклонение 1 полугодия 202</w:t>
            </w:r>
            <w:r w:rsidR="00BA4992" w:rsidRPr="00BA4992">
              <w:rPr>
                <w:sz w:val="28"/>
                <w:szCs w:val="28"/>
              </w:rPr>
              <w:t>2</w:t>
            </w:r>
            <w:r w:rsidRPr="00BA4992">
              <w:rPr>
                <w:sz w:val="28"/>
                <w:szCs w:val="28"/>
              </w:rPr>
              <w:t xml:space="preserve"> года от 1 полугодия 202</w:t>
            </w:r>
            <w:r w:rsidR="00BA4992" w:rsidRPr="00BA4992">
              <w:rPr>
                <w:sz w:val="28"/>
                <w:szCs w:val="28"/>
              </w:rPr>
              <w:t>1</w:t>
            </w:r>
            <w:r w:rsidRPr="00BA4992">
              <w:rPr>
                <w:sz w:val="28"/>
                <w:szCs w:val="28"/>
              </w:rPr>
              <w:t xml:space="preserve"> года</w:t>
            </w:r>
          </w:p>
        </w:tc>
      </w:tr>
      <w:tr w:rsidR="00BA4992" w:rsidRPr="00BA4992" w:rsidTr="007968C5">
        <w:tc>
          <w:tcPr>
            <w:tcW w:w="1862" w:type="dxa"/>
          </w:tcPr>
          <w:p w:rsidR="00BA4992" w:rsidRPr="00BA4992" w:rsidRDefault="00BA4992" w:rsidP="00266BCA">
            <w:pPr>
              <w:contextualSpacing/>
              <w:jc w:val="center"/>
              <w:rPr>
                <w:sz w:val="28"/>
                <w:szCs w:val="28"/>
              </w:rPr>
            </w:pPr>
            <w:r w:rsidRPr="00BA4992">
              <w:rPr>
                <w:sz w:val="28"/>
                <w:szCs w:val="28"/>
              </w:rPr>
              <w:t>87,4</w:t>
            </w:r>
          </w:p>
        </w:tc>
        <w:tc>
          <w:tcPr>
            <w:tcW w:w="1824" w:type="dxa"/>
          </w:tcPr>
          <w:p w:rsidR="00BA4992" w:rsidRPr="00BA4992" w:rsidRDefault="00BA4992" w:rsidP="00266BCA">
            <w:pPr>
              <w:contextualSpacing/>
              <w:jc w:val="right"/>
              <w:rPr>
                <w:sz w:val="28"/>
                <w:szCs w:val="28"/>
              </w:rPr>
            </w:pPr>
            <w:r w:rsidRPr="00BA4992">
              <w:rPr>
                <w:sz w:val="28"/>
                <w:szCs w:val="28"/>
              </w:rPr>
              <w:t>43,9</w:t>
            </w:r>
          </w:p>
        </w:tc>
        <w:tc>
          <w:tcPr>
            <w:tcW w:w="2117" w:type="dxa"/>
          </w:tcPr>
          <w:p w:rsidR="00BA4992" w:rsidRPr="00BA4992" w:rsidRDefault="00BA4992" w:rsidP="00F95391">
            <w:pPr>
              <w:contextualSpacing/>
              <w:jc w:val="center"/>
              <w:rPr>
                <w:sz w:val="28"/>
                <w:szCs w:val="28"/>
              </w:rPr>
            </w:pPr>
            <w:r w:rsidRPr="00BA4992">
              <w:rPr>
                <w:sz w:val="28"/>
                <w:szCs w:val="28"/>
              </w:rPr>
              <w:t>86,2</w:t>
            </w:r>
          </w:p>
        </w:tc>
        <w:tc>
          <w:tcPr>
            <w:tcW w:w="1852" w:type="dxa"/>
          </w:tcPr>
          <w:p w:rsidR="00BA4992" w:rsidRPr="00BA4992" w:rsidRDefault="00BA4992" w:rsidP="00F95391">
            <w:pPr>
              <w:contextualSpacing/>
              <w:jc w:val="right"/>
              <w:rPr>
                <w:sz w:val="28"/>
                <w:szCs w:val="28"/>
              </w:rPr>
            </w:pPr>
            <w:r w:rsidRPr="00BA4992">
              <w:rPr>
                <w:sz w:val="28"/>
                <w:szCs w:val="28"/>
              </w:rPr>
              <w:t>46,8</w:t>
            </w:r>
          </w:p>
        </w:tc>
        <w:tc>
          <w:tcPr>
            <w:tcW w:w="1984" w:type="dxa"/>
          </w:tcPr>
          <w:p w:rsidR="00BA4992" w:rsidRPr="00BA4992" w:rsidRDefault="00BA4992" w:rsidP="00F95391">
            <w:pPr>
              <w:contextualSpacing/>
              <w:jc w:val="right"/>
              <w:rPr>
                <w:sz w:val="28"/>
                <w:szCs w:val="28"/>
              </w:rPr>
            </w:pPr>
            <w:r w:rsidRPr="00BA4992">
              <w:rPr>
                <w:sz w:val="28"/>
                <w:szCs w:val="28"/>
              </w:rPr>
              <w:t>-1,2</w:t>
            </w:r>
          </w:p>
        </w:tc>
      </w:tr>
    </w:tbl>
    <w:p w:rsidR="00F95391" w:rsidRPr="00BA4992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391" w:rsidRPr="00D0028C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8C">
        <w:rPr>
          <w:rFonts w:ascii="Times New Roman" w:eastAsia="Calibri" w:hAnsi="Times New Roman" w:cs="Times New Roman"/>
          <w:sz w:val="28"/>
          <w:szCs w:val="28"/>
        </w:rPr>
        <w:t xml:space="preserve">          Т. о., первое место по объему налоговых доходов занимает налог на доходы физических лиц (далее - НДФЛ). Объем поступлений указанного налога составил </w:t>
      </w:r>
      <w:r w:rsidR="00D0028C" w:rsidRPr="00D0028C">
        <w:rPr>
          <w:rFonts w:ascii="Times New Roman" w:eastAsia="Calibri" w:hAnsi="Times New Roman" w:cs="Times New Roman"/>
          <w:sz w:val="28"/>
          <w:szCs w:val="28"/>
        </w:rPr>
        <w:t>86,2</w:t>
      </w:r>
      <w:r w:rsidRPr="00D0028C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D0028C" w:rsidRPr="00D0028C">
        <w:rPr>
          <w:rFonts w:ascii="Times New Roman" w:eastAsia="Calibri" w:hAnsi="Times New Roman" w:cs="Times New Roman"/>
          <w:sz w:val="28"/>
          <w:szCs w:val="28"/>
        </w:rPr>
        <w:t>46,8</w:t>
      </w:r>
      <w:r w:rsidRPr="00D0028C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D0028C" w:rsidRPr="00D0028C">
        <w:rPr>
          <w:rFonts w:ascii="Times New Roman" w:eastAsia="Calibri" w:hAnsi="Times New Roman" w:cs="Times New Roman"/>
          <w:sz w:val="28"/>
          <w:szCs w:val="28"/>
        </w:rPr>
        <w:t>184,0</w:t>
      </w:r>
      <w:r w:rsidRPr="00D0028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D0028C" w:rsidRPr="00D0028C">
        <w:rPr>
          <w:rFonts w:ascii="Times New Roman" w:eastAsia="Calibri" w:hAnsi="Times New Roman" w:cs="Times New Roman"/>
          <w:sz w:val="28"/>
          <w:szCs w:val="28"/>
        </w:rPr>
        <w:t>ниже</w:t>
      </w:r>
      <w:r w:rsidRPr="00D0028C">
        <w:rPr>
          <w:rFonts w:ascii="Times New Roman" w:eastAsia="Calibri" w:hAnsi="Times New Roman" w:cs="Times New Roman"/>
          <w:sz w:val="28"/>
          <w:szCs w:val="28"/>
        </w:rPr>
        <w:t xml:space="preserve"> уровня 1 полугодия  202</w:t>
      </w:r>
      <w:r w:rsidR="00D0028C" w:rsidRPr="00D0028C">
        <w:rPr>
          <w:rFonts w:ascii="Times New Roman" w:eastAsia="Calibri" w:hAnsi="Times New Roman" w:cs="Times New Roman"/>
          <w:sz w:val="28"/>
          <w:szCs w:val="28"/>
        </w:rPr>
        <w:t>1 года на 1,2</w:t>
      </w:r>
      <w:r w:rsidRPr="00D0028C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D0028C" w:rsidRPr="00D0028C">
        <w:rPr>
          <w:rFonts w:ascii="Times New Roman" w:eastAsia="Calibri" w:hAnsi="Times New Roman" w:cs="Times New Roman"/>
          <w:sz w:val="28"/>
          <w:szCs w:val="28"/>
        </w:rPr>
        <w:t>1,4</w:t>
      </w:r>
      <w:r w:rsidRPr="00D0028C">
        <w:rPr>
          <w:rFonts w:ascii="Times New Roman" w:eastAsia="Calibri" w:hAnsi="Times New Roman" w:cs="Times New Roman"/>
          <w:sz w:val="28"/>
          <w:szCs w:val="28"/>
        </w:rPr>
        <w:t xml:space="preserve"> %. Однако, доля НДФЛ в налоговых доходах бюджета у</w:t>
      </w:r>
      <w:r w:rsidR="00D0028C" w:rsidRPr="00D0028C">
        <w:rPr>
          <w:rFonts w:ascii="Times New Roman" w:eastAsia="Calibri" w:hAnsi="Times New Roman" w:cs="Times New Roman"/>
          <w:sz w:val="28"/>
          <w:szCs w:val="28"/>
        </w:rPr>
        <w:t>величи</w:t>
      </w:r>
      <w:r w:rsidRPr="00D0028C">
        <w:rPr>
          <w:rFonts w:ascii="Times New Roman" w:eastAsia="Calibri" w:hAnsi="Times New Roman" w:cs="Times New Roman"/>
          <w:sz w:val="28"/>
          <w:szCs w:val="28"/>
        </w:rPr>
        <w:t xml:space="preserve">лась   с </w:t>
      </w:r>
      <w:r w:rsidR="00D0028C" w:rsidRPr="00D0028C">
        <w:rPr>
          <w:rFonts w:ascii="Times New Roman" w:eastAsia="Calibri" w:hAnsi="Times New Roman" w:cs="Times New Roman"/>
          <w:sz w:val="28"/>
          <w:szCs w:val="28"/>
        </w:rPr>
        <w:t>63,5</w:t>
      </w:r>
      <w:r w:rsidRPr="00D0028C">
        <w:rPr>
          <w:rFonts w:ascii="Times New Roman" w:eastAsia="Calibri" w:hAnsi="Times New Roman" w:cs="Times New Roman"/>
          <w:sz w:val="28"/>
          <w:szCs w:val="28"/>
        </w:rPr>
        <w:t xml:space="preserve"> % до  </w:t>
      </w:r>
      <w:r w:rsidR="00D0028C" w:rsidRPr="00D0028C">
        <w:rPr>
          <w:rFonts w:ascii="Times New Roman" w:eastAsia="Calibri" w:hAnsi="Times New Roman" w:cs="Times New Roman"/>
          <w:sz w:val="28"/>
          <w:szCs w:val="28"/>
        </w:rPr>
        <w:t>64,4</w:t>
      </w:r>
      <w:r w:rsidRPr="00D0028C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F95391" w:rsidRPr="004C1798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       Второе  место по величине поступлений в бюджет поселения занимает налоговый доходный источник – земельный налог. Поступление указанного налога составило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29,4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31,6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93,0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тыс. рублей.  По сравнению с 1 полугодием  20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21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земельного налога у</w:t>
      </w:r>
      <w:r w:rsidR="00450B0D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17,3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58,8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%. Доля земельного налога в налоговых доходах бюджета поселения у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меньшилась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11,9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% и составила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22,0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4C1798" w:rsidRPr="00707C72" w:rsidRDefault="00F95391" w:rsidP="004C17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        Третий   по  величине налоговый доходный источник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-  налог на имущество физических лиц.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 Поступление указанного налога составило 1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7,5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24,3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72,0</w:t>
      </w:r>
      <w:r w:rsidR="00450B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C1798">
        <w:rPr>
          <w:rFonts w:ascii="Times New Roman" w:eastAsia="Calibri" w:hAnsi="Times New Roman" w:cs="Times New Roman"/>
          <w:sz w:val="28"/>
          <w:szCs w:val="28"/>
        </w:rPr>
        <w:t>тыс. рублей. По сравнению с 1 полугодием 202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1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увеличилось на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15,9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>, или в 10,9 раза</w:t>
      </w:r>
      <w:r w:rsidRPr="004C17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1798" w:rsidRPr="004C1798">
        <w:rPr>
          <w:rFonts w:ascii="Times New Roman" w:eastAsia="Calibri" w:hAnsi="Times New Roman" w:cs="Times New Roman"/>
          <w:sz w:val="28"/>
          <w:szCs w:val="28"/>
        </w:rPr>
        <w:t xml:space="preserve"> Доля налога  на имущество физических лиц в </w:t>
      </w:r>
      <w:r w:rsidR="004C1798" w:rsidRPr="00707C72">
        <w:rPr>
          <w:rFonts w:ascii="Times New Roman" w:eastAsia="Calibri" w:hAnsi="Times New Roman" w:cs="Times New Roman"/>
          <w:sz w:val="28"/>
          <w:szCs w:val="28"/>
        </w:rPr>
        <w:t>налоговых доходах бюджета поселения увеличилась с 1,2 до 13,1  процента.</w:t>
      </w:r>
    </w:p>
    <w:p w:rsidR="00F95391" w:rsidRPr="00707C72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          Четвертый  и последний  по  величине налоговый доходный источник  -  </w:t>
      </w:r>
      <w:r w:rsidR="004C1798" w:rsidRPr="00707C72">
        <w:rPr>
          <w:rFonts w:ascii="Times New Roman" w:eastAsia="Calibri" w:hAnsi="Times New Roman" w:cs="Times New Roman"/>
          <w:sz w:val="28"/>
          <w:szCs w:val="28"/>
        </w:rPr>
        <w:t>государственная пошлина</w:t>
      </w: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. Поступление указанного налога составило </w:t>
      </w:r>
      <w:r w:rsidR="004C1798" w:rsidRPr="00707C72">
        <w:rPr>
          <w:rFonts w:ascii="Times New Roman" w:eastAsia="Calibri" w:hAnsi="Times New Roman" w:cs="Times New Roman"/>
          <w:sz w:val="28"/>
          <w:szCs w:val="28"/>
        </w:rPr>
        <w:t>0,8</w:t>
      </w: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C1798" w:rsidRPr="00707C72">
        <w:rPr>
          <w:rFonts w:ascii="Times New Roman" w:eastAsia="Calibri" w:hAnsi="Times New Roman" w:cs="Times New Roman"/>
          <w:sz w:val="28"/>
          <w:szCs w:val="28"/>
        </w:rPr>
        <w:t>20,0</w:t>
      </w: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4C1798" w:rsidRPr="00707C72">
        <w:rPr>
          <w:rFonts w:ascii="Times New Roman" w:eastAsia="Calibri" w:hAnsi="Times New Roman" w:cs="Times New Roman"/>
          <w:sz w:val="28"/>
          <w:szCs w:val="28"/>
        </w:rPr>
        <w:t>4,0</w:t>
      </w: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202</w:t>
      </w:r>
      <w:r w:rsidR="004C1798" w:rsidRPr="00707C7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года поступление данного налога уменьшилось на </w:t>
      </w:r>
      <w:r w:rsidR="004C1798" w:rsidRPr="00707C72">
        <w:rPr>
          <w:rFonts w:ascii="Times New Roman" w:eastAsia="Calibri" w:hAnsi="Times New Roman" w:cs="Times New Roman"/>
          <w:sz w:val="28"/>
          <w:szCs w:val="28"/>
        </w:rPr>
        <w:t>1,1 тыс. рублей, или в 2,4 раза</w:t>
      </w:r>
      <w:r w:rsidRPr="00707C72">
        <w:rPr>
          <w:rFonts w:ascii="Times New Roman" w:eastAsia="Calibri" w:hAnsi="Times New Roman" w:cs="Times New Roman"/>
          <w:sz w:val="28"/>
          <w:szCs w:val="28"/>
        </w:rPr>
        <w:t>. Доля налога  на имущество физических лиц в налоговых доходах бюджета поселения уменьшилась с</w:t>
      </w:r>
      <w:r w:rsidR="00707C72" w:rsidRPr="00707C72">
        <w:rPr>
          <w:rFonts w:ascii="Times New Roman" w:eastAsia="Calibri" w:hAnsi="Times New Roman" w:cs="Times New Roman"/>
          <w:sz w:val="28"/>
          <w:szCs w:val="28"/>
        </w:rPr>
        <w:t xml:space="preserve"> 1,2</w:t>
      </w: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707C72" w:rsidRPr="00707C72">
        <w:rPr>
          <w:rFonts w:ascii="Times New Roman" w:eastAsia="Calibri" w:hAnsi="Times New Roman" w:cs="Times New Roman"/>
          <w:sz w:val="28"/>
          <w:szCs w:val="28"/>
        </w:rPr>
        <w:t>0,6</w:t>
      </w: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F95391" w:rsidRPr="00707C72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707C72">
        <w:rPr>
          <w:rFonts w:ascii="Times New Roman" w:eastAsia="Calibri" w:hAnsi="Times New Roman" w:cs="Times New Roman"/>
          <w:sz w:val="28"/>
          <w:szCs w:val="28"/>
        </w:rPr>
        <w:t>Невысокий уровень исполнения кассового плана за 1 полугодие 202</w:t>
      </w:r>
      <w:r w:rsidR="00707C72" w:rsidRPr="00707C72">
        <w:rPr>
          <w:rFonts w:ascii="Times New Roman" w:eastAsia="Calibri" w:hAnsi="Times New Roman" w:cs="Times New Roman"/>
          <w:sz w:val="28"/>
          <w:szCs w:val="28"/>
        </w:rPr>
        <w:t>2</w:t>
      </w: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707C72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07C72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F95391" w:rsidRPr="00A26AF4" w:rsidRDefault="00F95391" w:rsidP="00F9539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707C72" w:rsidRPr="00707C72">
        <w:rPr>
          <w:rFonts w:ascii="Times New Roman" w:eastAsia="Calibri" w:hAnsi="Times New Roman" w:cs="Times New Roman"/>
          <w:sz w:val="28"/>
          <w:szCs w:val="28"/>
        </w:rPr>
        <w:t>16,4</w:t>
      </w: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07C72" w:rsidRPr="00707C72">
        <w:rPr>
          <w:rFonts w:ascii="Times New Roman" w:eastAsia="Calibri" w:hAnsi="Times New Roman" w:cs="Times New Roman"/>
          <w:sz w:val="28"/>
          <w:szCs w:val="28"/>
        </w:rPr>
        <w:t>, или 41,0%, к утвержденным показателям бюджета в сумме 40,0 тыс. рублей</w:t>
      </w:r>
      <w:r w:rsidRPr="00707C72">
        <w:rPr>
          <w:rFonts w:ascii="Times New Roman" w:eastAsia="Calibri" w:hAnsi="Times New Roman" w:cs="Times New Roman"/>
          <w:sz w:val="28"/>
          <w:szCs w:val="28"/>
        </w:rPr>
        <w:t>. Доля неналоговых доходов в структуре собственных  доходов</w:t>
      </w:r>
      <w:r w:rsidRPr="00707C72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707C72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</w:t>
      </w: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составила  </w:t>
      </w:r>
      <w:r w:rsidR="00707C72" w:rsidRPr="00A26AF4">
        <w:rPr>
          <w:rFonts w:ascii="Times New Roman" w:eastAsia="Calibri" w:hAnsi="Times New Roman" w:cs="Times New Roman"/>
          <w:sz w:val="28"/>
          <w:szCs w:val="28"/>
        </w:rPr>
        <w:t>10,9</w:t>
      </w: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A26AF4">
        <w:rPr>
          <w:rFonts w:ascii="TimesNewRomanPSMT" w:eastAsia="Calibri" w:hAnsi="TimesNewRomanPSMT" w:cs="TimesNewRomanPSMT"/>
          <w:sz w:val="28"/>
          <w:szCs w:val="28"/>
        </w:rPr>
        <w:t xml:space="preserve">      </w:t>
      </w:r>
    </w:p>
    <w:p w:rsidR="00F95391" w:rsidRPr="00A26AF4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          Всего в отчетном периоде 202</w:t>
      </w:r>
      <w:r w:rsidR="00A26AF4" w:rsidRPr="00A26AF4">
        <w:rPr>
          <w:rFonts w:ascii="Times New Roman" w:eastAsia="Calibri" w:hAnsi="Times New Roman" w:cs="Times New Roman"/>
          <w:sz w:val="28"/>
          <w:szCs w:val="28"/>
        </w:rPr>
        <w:t>2</w:t>
      </w: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1 подгруппе неналоговых доходов:</w:t>
      </w:r>
    </w:p>
    <w:p w:rsidR="00F95391" w:rsidRPr="00A26AF4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              - </w:t>
      </w:r>
      <w:r w:rsidR="00A26AF4" w:rsidRPr="00A2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</w:t>
      </w:r>
      <w:r w:rsid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муниципального</w:t>
      </w:r>
      <w:r w:rsidR="00A26AF4" w:rsidRPr="00A2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находящегося в собственности поселения</w:t>
      </w:r>
      <w:r w:rsidR="00A26AF4" w:rsidRPr="00A26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в сумме – </w:t>
      </w:r>
      <w:r w:rsidR="00A26AF4" w:rsidRPr="00A26AF4">
        <w:rPr>
          <w:rFonts w:ascii="Times New Roman" w:eastAsia="Calibri" w:hAnsi="Times New Roman" w:cs="Times New Roman"/>
          <w:sz w:val="28"/>
          <w:szCs w:val="28"/>
        </w:rPr>
        <w:t>16,4</w:t>
      </w: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F95391" w:rsidRPr="00A26AF4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        В сравнении с 1 полугодием 202</w:t>
      </w:r>
      <w:r w:rsidR="00A26AF4" w:rsidRPr="00A26AF4">
        <w:rPr>
          <w:rFonts w:ascii="Times New Roman" w:eastAsia="Calibri" w:hAnsi="Times New Roman" w:cs="Times New Roman"/>
          <w:sz w:val="28"/>
          <w:szCs w:val="28"/>
        </w:rPr>
        <w:t>1</w:t>
      </w: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</w:t>
      </w:r>
      <w:r w:rsidR="00A26AF4" w:rsidRPr="00A26AF4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  в </w:t>
      </w:r>
      <w:r w:rsidR="00A26AF4" w:rsidRPr="00A26AF4">
        <w:rPr>
          <w:rFonts w:ascii="Times New Roman" w:eastAsia="Calibri" w:hAnsi="Times New Roman" w:cs="Times New Roman"/>
          <w:sz w:val="28"/>
          <w:szCs w:val="28"/>
        </w:rPr>
        <w:t>4,4</w:t>
      </w: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A26AF4" w:rsidRPr="00A26AF4">
        <w:rPr>
          <w:rFonts w:ascii="Times New Roman" w:eastAsia="Calibri" w:hAnsi="Times New Roman" w:cs="Times New Roman"/>
          <w:sz w:val="28"/>
          <w:szCs w:val="28"/>
        </w:rPr>
        <w:t>а</w:t>
      </w: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 w:rsidR="00A26AF4" w:rsidRPr="00A26AF4">
        <w:rPr>
          <w:rFonts w:ascii="Times New Roman" w:eastAsia="Calibri" w:hAnsi="Times New Roman" w:cs="Times New Roman"/>
          <w:sz w:val="28"/>
          <w:szCs w:val="28"/>
        </w:rPr>
        <w:t>12,7</w:t>
      </w:r>
      <w:r w:rsidRPr="00A26AF4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367427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F95391" w:rsidRPr="00C445E8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95391" w:rsidRPr="00C445E8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         Безвозмездные поступления в бюджет поселения составили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2991,1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54,5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5491,7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202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1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561,6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95,2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 процентов.</w:t>
      </w:r>
    </w:p>
    <w:p w:rsidR="00F95391" w:rsidRPr="00C445E8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       Структура безвозмездных поступлений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 xml:space="preserve"> в сравнении с 1 полугодием 2021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F95391" w:rsidRPr="00C445E8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F95391" w:rsidRPr="00C445E8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445E8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тыс. руб.</w:t>
      </w:r>
    </w:p>
    <w:p w:rsidR="00C445E8" w:rsidRPr="00F95391" w:rsidRDefault="00C445E8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F95391" w:rsidRPr="00F95391" w:rsidRDefault="00C445E8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E6E29" wp14:editId="1B24E54D">
            <wp:extent cx="6067425" cy="38290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F95391" w:rsidRPr="00C445E8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39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дотации из районного бюджета бюджетам субъектов Российской Федерации и муниципальным образованиям поступили в сумме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 xml:space="preserve">1666,1 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55,4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3006,1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тыс. рублей. В сравнении с аналогичным периодом 202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1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года дотации увеличились на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290,5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21,1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F95391" w:rsidRPr="00C445E8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      Доля дотаций в общем объеме безвозмездных поступлений составила </w:t>
      </w:r>
      <w:r w:rsidR="00C445E8" w:rsidRPr="00C445E8">
        <w:rPr>
          <w:rFonts w:ascii="Times New Roman" w:eastAsia="Calibri" w:hAnsi="Times New Roman" w:cs="Times New Roman"/>
          <w:sz w:val="28"/>
          <w:szCs w:val="28"/>
        </w:rPr>
        <w:t>55,7</w:t>
      </w:r>
      <w:r w:rsidRPr="00C445E8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539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DC7FB9">
        <w:rPr>
          <w:rFonts w:ascii="Times New Roman" w:eastAsia="Calibri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DC7FB9" w:rsidRPr="00DC7FB9">
        <w:rPr>
          <w:rFonts w:ascii="Times New Roman" w:eastAsia="Calibri" w:hAnsi="Times New Roman" w:cs="Times New Roman"/>
          <w:sz w:val="28"/>
          <w:szCs w:val="28"/>
        </w:rPr>
        <w:t>53,5</w:t>
      </w:r>
      <w:r w:rsidRPr="00DC7FB9">
        <w:rPr>
          <w:rFonts w:ascii="Times New Roman" w:eastAsia="Calibri" w:hAnsi="Times New Roman" w:cs="Times New Roman"/>
          <w:sz w:val="28"/>
          <w:szCs w:val="28"/>
        </w:rPr>
        <w:t xml:space="preserve"> тыс. рублей, или 49,0 % к утвержденным назначениям в сумме </w:t>
      </w:r>
      <w:r w:rsidR="00DC7FB9" w:rsidRPr="00DC7FB9">
        <w:rPr>
          <w:rFonts w:ascii="Times New Roman" w:eastAsia="Calibri" w:hAnsi="Times New Roman" w:cs="Times New Roman"/>
          <w:sz w:val="28"/>
          <w:szCs w:val="28"/>
        </w:rPr>
        <w:t>109,1</w:t>
      </w:r>
      <w:r w:rsidRPr="00DC7FB9">
        <w:rPr>
          <w:rFonts w:ascii="Times New Roman" w:eastAsia="Calibri" w:hAnsi="Times New Roman" w:cs="Times New Roman"/>
          <w:sz w:val="28"/>
          <w:szCs w:val="28"/>
        </w:rPr>
        <w:t xml:space="preserve"> тыс. рублей.  В течение 1 полугодия  текущего года поступила субвенция на осуществление первичного воинского учета в сумме </w:t>
      </w:r>
      <w:r w:rsidR="00DC7FB9" w:rsidRPr="00DC7FB9">
        <w:rPr>
          <w:rFonts w:ascii="Times New Roman" w:eastAsia="Calibri" w:hAnsi="Times New Roman" w:cs="Times New Roman"/>
          <w:sz w:val="28"/>
          <w:szCs w:val="28"/>
        </w:rPr>
        <w:t>53,5</w:t>
      </w:r>
      <w:r w:rsidRPr="00DC7FB9">
        <w:rPr>
          <w:rFonts w:ascii="Times New Roman" w:eastAsia="Calibri" w:hAnsi="Times New Roman" w:cs="Times New Roman"/>
          <w:sz w:val="28"/>
          <w:szCs w:val="28"/>
        </w:rPr>
        <w:t xml:space="preserve"> тыс. рублей, на осуществление полномочий в сфере административных отношений субвенция не поступала.  По сравнению с 1 полугодием 202</w:t>
      </w:r>
      <w:r w:rsidR="00DC7FB9" w:rsidRPr="00DC7FB9">
        <w:rPr>
          <w:rFonts w:ascii="Times New Roman" w:eastAsia="Calibri" w:hAnsi="Times New Roman" w:cs="Times New Roman"/>
          <w:sz w:val="28"/>
          <w:szCs w:val="28"/>
        </w:rPr>
        <w:t>1</w:t>
      </w:r>
      <w:r w:rsidRPr="00DC7FB9">
        <w:rPr>
          <w:rFonts w:ascii="Times New Roman" w:eastAsia="Calibri" w:hAnsi="Times New Roman" w:cs="Times New Roman"/>
          <w:sz w:val="28"/>
          <w:szCs w:val="28"/>
        </w:rPr>
        <w:t xml:space="preserve"> года субвенция увеличилась на </w:t>
      </w:r>
      <w:r w:rsidR="00DC7FB9" w:rsidRPr="00DC7FB9">
        <w:rPr>
          <w:rFonts w:ascii="Times New Roman" w:eastAsia="Calibri" w:hAnsi="Times New Roman" w:cs="Times New Roman"/>
          <w:sz w:val="28"/>
          <w:szCs w:val="28"/>
        </w:rPr>
        <w:t>1,3</w:t>
      </w:r>
      <w:r w:rsidRPr="00DC7FB9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DC7FB9" w:rsidRPr="00DC7FB9">
        <w:rPr>
          <w:rFonts w:ascii="Times New Roman" w:eastAsia="Calibri" w:hAnsi="Times New Roman" w:cs="Times New Roman"/>
          <w:sz w:val="28"/>
          <w:szCs w:val="28"/>
        </w:rPr>
        <w:t>2,5</w:t>
      </w:r>
      <w:r w:rsidRPr="00DC7FB9">
        <w:rPr>
          <w:rFonts w:ascii="Times New Roman" w:eastAsia="Calibri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DC7FB9" w:rsidRPr="00DC7FB9">
        <w:rPr>
          <w:rFonts w:ascii="Times New Roman" w:eastAsia="Calibri" w:hAnsi="Times New Roman" w:cs="Times New Roman"/>
          <w:sz w:val="28"/>
          <w:szCs w:val="28"/>
        </w:rPr>
        <w:t>1,8</w:t>
      </w:r>
      <w:r w:rsidRPr="00DC7FB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F95391" w:rsidRPr="00A92442" w:rsidRDefault="00F95391" w:rsidP="00A924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539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AA7AB2">
        <w:rPr>
          <w:rFonts w:ascii="Times New Roman" w:eastAsia="Calibri" w:hAnsi="Times New Roman" w:cs="Times New Roman"/>
          <w:sz w:val="28"/>
          <w:szCs w:val="28"/>
        </w:rPr>
        <w:t xml:space="preserve">Прочие субсидии бюджетам субъектов Российской Федерации и муниципальных образований поступили в сумме </w:t>
      </w:r>
      <w:r w:rsidR="00DC7FB9" w:rsidRPr="00AA7AB2">
        <w:rPr>
          <w:rFonts w:ascii="Times New Roman" w:eastAsia="Calibri" w:hAnsi="Times New Roman" w:cs="Times New Roman"/>
          <w:sz w:val="28"/>
          <w:szCs w:val="28"/>
        </w:rPr>
        <w:t xml:space="preserve">471,8 </w:t>
      </w:r>
      <w:r w:rsidRPr="00AA7AB2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C7FB9" w:rsidRPr="00AA7AB2">
        <w:rPr>
          <w:rFonts w:ascii="Times New Roman" w:eastAsia="Calibri" w:hAnsi="Times New Roman" w:cs="Times New Roman"/>
          <w:sz w:val="28"/>
          <w:szCs w:val="28"/>
        </w:rPr>
        <w:t>86,7</w:t>
      </w:r>
      <w:r w:rsidRPr="00AA7AB2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DC7FB9" w:rsidRPr="00AA7AB2">
        <w:rPr>
          <w:rFonts w:ascii="Times New Roman" w:eastAsia="Calibri" w:hAnsi="Times New Roman" w:cs="Times New Roman"/>
          <w:sz w:val="28"/>
          <w:szCs w:val="28"/>
        </w:rPr>
        <w:t>544,4</w:t>
      </w:r>
      <w:r w:rsidRPr="00AA7AB2">
        <w:rPr>
          <w:rFonts w:ascii="Times New Roman" w:eastAsia="Calibri" w:hAnsi="Times New Roman" w:cs="Times New Roman"/>
          <w:sz w:val="28"/>
          <w:szCs w:val="28"/>
        </w:rPr>
        <w:t xml:space="preserve"> тыс. рублей. Проведено финансирование </w:t>
      </w:r>
      <w:r w:rsidRPr="00AA7AB2">
        <w:rPr>
          <w:rFonts w:ascii="Times New Roman" w:hAnsi="Times New Roman" w:cs="Times New Roman"/>
          <w:sz w:val="28"/>
          <w:szCs w:val="28"/>
        </w:rPr>
        <w:t xml:space="preserve"> на организацию </w:t>
      </w:r>
      <w:r w:rsidR="00AA7AB2" w:rsidRPr="00AA7AB2">
        <w:rPr>
          <w:rFonts w:ascii="Times New Roman" w:hAnsi="Times New Roman" w:cs="Times New Roman"/>
          <w:sz w:val="28"/>
          <w:szCs w:val="28"/>
        </w:rPr>
        <w:t xml:space="preserve">уличного освещения в сумме </w:t>
      </w:r>
      <w:r w:rsidR="00AA7AB2">
        <w:rPr>
          <w:rFonts w:ascii="Times New Roman" w:hAnsi="Times New Roman" w:cs="Times New Roman"/>
          <w:sz w:val="28"/>
          <w:szCs w:val="28"/>
        </w:rPr>
        <w:t>289,2</w:t>
      </w:r>
      <w:r w:rsidRPr="00AA7AB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7AB2">
        <w:rPr>
          <w:rFonts w:ascii="Times New Roman" w:hAnsi="Times New Roman" w:cs="Times New Roman"/>
          <w:sz w:val="28"/>
          <w:szCs w:val="28"/>
        </w:rPr>
        <w:t xml:space="preserve"> и на </w:t>
      </w:r>
      <w:r w:rsidR="00AA7AB2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мероприятий </w:t>
      </w:r>
      <w:r w:rsidR="0045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A7AB2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50B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7AB2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 в сумме </w:t>
      </w:r>
      <w:r w:rsidR="00AA7AB2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AA7AB2" w:rsidRPr="00A92442">
        <w:rPr>
          <w:rFonts w:ascii="Times New Roman" w:eastAsia="Times New Roman" w:hAnsi="Times New Roman" w:cs="Times New Roman"/>
          <w:sz w:val="28"/>
          <w:szCs w:val="28"/>
          <w:lang w:eastAsia="ru-RU"/>
        </w:rPr>
        <w:t>,6  тыс. рублей</w:t>
      </w:r>
      <w:r w:rsidR="00A92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442" w:rsidRPr="00A92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442" w:rsidRPr="00DC7FB9">
        <w:rPr>
          <w:rFonts w:ascii="Times New Roman" w:eastAsia="Calibri" w:hAnsi="Times New Roman" w:cs="Times New Roman"/>
          <w:sz w:val="28"/>
          <w:szCs w:val="28"/>
        </w:rPr>
        <w:t>Доля</w:t>
      </w:r>
      <w:r w:rsidR="00A92442">
        <w:rPr>
          <w:rFonts w:ascii="Times New Roman" w:eastAsia="Calibri" w:hAnsi="Times New Roman" w:cs="Times New Roman"/>
          <w:sz w:val="28"/>
          <w:szCs w:val="28"/>
        </w:rPr>
        <w:t xml:space="preserve"> прочих </w:t>
      </w:r>
      <w:r w:rsidR="00A92442" w:rsidRPr="00DC7FB9">
        <w:rPr>
          <w:rFonts w:ascii="Times New Roman" w:eastAsia="Calibri" w:hAnsi="Times New Roman" w:cs="Times New Roman"/>
          <w:sz w:val="28"/>
          <w:szCs w:val="28"/>
        </w:rPr>
        <w:t xml:space="preserve"> су</w:t>
      </w:r>
      <w:r w:rsidR="00A92442">
        <w:rPr>
          <w:rFonts w:ascii="Times New Roman" w:eastAsia="Calibri" w:hAnsi="Times New Roman" w:cs="Times New Roman"/>
          <w:sz w:val="28"/>
          <w:szCs w:val="28"/>
        </w:rPr>
        <w:t>бсидий</w:t>
      </w:r>
      <w:r w:rsidR="00A92442" w:rsidRPr="00DC7FB9">
        <w:rPr>
          <w:rFonts w:ascii="Times New Roman" w:eastAsia="Calibri" w:hAnsi="Times New Roman" w:cs="Times New Roman"/>
          <w:sz w:val="28"/>
          <w:szCs w:val="28"/>
        </w:rPr>
        <w:t xml:space="preserve"> в общем объеме безвозмездных поступлений составила </w:t>
      </w:r>
      <w:r w:rsidR="00A92442">
        <w:rPr>
          <w:rFonts w:ascii="Times New Roman" w:eastAsia="Calibri" w:hAnsi="Times New Roman" w:cs="Times New Roman"/>
          <w:sz w:val="28"/>
          <w:szCs w:val="28"/>
        </w:rPr>
        <w:t>15,7</w:t>
      </w:r>
      <w:r w:rsidR="00A92442" w:rsidRPr="00DC7FB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A92442" w:rsidRDefault="00F95391" w:rsidP="00AA7A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        Поступление иных </w:t>
      </w:r>
      <w:proofErr w:type="gramStart"/>
      <w:r w:rsidRPr="00A92442">
        <w:rPr>
          <w:rFonts w:ascii="Times New Roman" w:eastAsia="Calibri" w:hAnsi="Times New Roman" w:cs="Times New Roman"/>
          <w:sz w:val="28"/>
          <w:szCs w:val="28"/>
        </w:rPr>
        <w:t>межбюджетные</w:t>
      </w:r>
      <w:proofErr w:type="gramEnd"/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 трансфертов  в 1 полугодии 202</w:t>
      </w:r>
      <w:r w:rsidR="00AA7AB2" w:rsidRPr="00A92442">
        <w:rPr>
          <w:rFonts w:ascii="Times New Roman" w:eastAsia="Calibri" w:hAnsi="Times New Roman" w:cs="Times New Roman"/>
          <w:sz w:val="28"/>
          <w:szCs w:val="28"/>
        </w:rPr>
        <w:t>2</w:t>
      </w:r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 года составило  </w:t>
      </w:r>
      <w:r w:rsidR="00AA7AB2" w:rsidRPr="00A92442">
        <w:rPr>
          <w:rFonts w:ascii="Times New Roman" w:eastAsia="Calibri" w:hAnsi="Times New Roman" w:cs="Times New Roman"/>
          <w:sz w:val="28"/>
          <w:szCs w:val="28"/>
        </w:rPr>
        <w:t>741,2 тыс. рублей</w:t>
      </w:r>
      <w:r w:rsidR="00AA7AB2" w:rsidRPr="00A92442">
        <w:rPr>
          <w:rFonts w:ascii="Times New Roman" w:hAnsi="Times New Roman" w:cs="Times New Roman"/>
          <w:sz w:val="28"/>
          <w:szCs w:val="28"/>
        </w:rPr>
        <w:t xml:space="preserve">. Средства поступили </w:t>
      </w:r>
      <w:proofErr w:type="gramStart"/>
      <w:r w:rsidR="00AA7AB2" w:rsidRPr="00A92442">
        <w:rPr>
          <w:rFonts w:ascii="Times New Roman" w:hAnsi="Times New Roman" w:cs="Times New Roman"/>
          <w:sz w:val="28"/>
          <w:szCs w:val="28"/>
        </w:rPr>
        <w:t>из бюджета района в бюджет поселения в соответствии с заключенными соглашениями на содержание</w:t>
      </w:r>
      <w:proofErr w:type="gramEnd"/>
      <w:r w:rsidR="00AA7AB2" w:rsidRPr="00A92442">
        <w:rPr>
          <w:rFonts w:ascii="Times New Roman" w:hAnsi="Times New Roman" w:cs="Times New Roman"/>
          <w:sz w:val="28"/>
          <w:szCs w:val="28"/>
        </w:rPr>
        <w:t xml:space="preserve"> дорог в сумме 32,0 тыс. рублей и </w:t>
      </w:r>
      <w:r w:rsidR="00A92442" w:rsidRPr="00A92442">
        <w:rPr>
          <w:rFonts w:ascii="Times New Roman" w:hAnsi="Times New Roman" w:cs="Times New Roman"/>
          <w:sz w:val="28"/>
          <w:szCs w:val="28"/>
        </w:rPr>
        <w:t>709,2</w:t>
      </w:r>
      <w:r w:rsidR="00AA7AB2" w:rsidRPr="00A92442">
        <w:rPr>
          <w:rFonts w:ascii="Times New Roman" w:hAnsi="Times New Roman" w:cs="Times New Roman"/>
          <w:sz w:val="28"/>
          <w:szCs w:val="28"/>
        </w:rPr>
        <w:t xml:space="preserve"> тыс. рублей – на </w:t>
      </w:r>
      <w:r w:rsidR="00AA7AB2" w:rsidRPr="00A9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повышение оплаты труда работникам   и на увеличение минимального размера оплаты труда с 1.01.2022 года.</w:t>
      </w:r>
    </w:p>
    <w:p w:rsidR="00F95391" w:rsidRPr="00A92442" w:rsidRDefault="00A92442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7AB2" w:rsidRPr="00A9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B2" w:rsidRPr="00A92442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Pr="00A92442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AA7AB2" w:rsidRPr="00A92442">
        <w:rPr>
          <w:rFonts w:ascii="Times New Roman" w:hAnsi="Times New Roman" w:cs="Times New Roman"/>
          <w:sz w:val="28"/>
          <w:szCs w:val="28"/>
        </w:rPr>
        <w:t xml:space="preserve"> 2021 года иные межбюджетные трансферты увеличились  на </w:t>
      </w:r>
      <w:r w:rsidRPr="00A92442">
        <w:rPr>
          <w:rFonts w:ascii="Times New Roman" w:hAnsi="Times New Roman" w:cs="Times New Roman"/>
          <w:sz w:val="28"/>
          <w:szCs w:val="28"/>
        </w:rPr>
        <w:t>35,2</w:t>
      </w:r>
      <w:r w:rsidR="00AA7AB2" w:rsidRPr="00A9244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A92442">
        <w:rPr>
          <w:rFonts w:ascii="Times New Roman" w:hAnsi="Times New Roman" w:cs="Times New Roman"/>
          <w:sz w:val="28"/>
          <w:szCs w:val="28"/>
        </w:rPr>
        <w:t>5,0</w:t>
      </w:r>
      <w:r w:rsidR="00AA7AB2" w:rsidRPr="00A9244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A92442">
        <w:rPr>
          <w:rFonts w:ascii="Times New Roman" w:hAnsi="Times New Roman" w:cs="Times New Roman"/>
          <w:sz w:val="28"/>
          <w:szCs w:val="28"/>
        </w:rPr>
        <w:t>ов</w:t>
      </w:r>
      <w:r w:rsidR="00AA7AB2" w:rsidRPr="00A92442">
        <w:rPr>
          <w:rFonts w:ascii="Times New Roman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Pr="00A92442">
        <w:rPr>
          <w:rFonts w:ascii="Times New Roman" w:hAnsi="Times New Roman" w:cs="Times New Roman"/>
          <w:sz w:val="28"/>
          <w:szCs w:val="28"/>
        </w:rPr>
        <w:t>24,8</w:t>
      </w:r>
      <w:r w:rsidR="00AA7AB2" w:rsidRPr="00A9244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539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A92442">
        <w:rPr>
          <w:rFonts w:ascii="Times New Roman" w:eastAsia="Calibri" w:hAnsi="Times New Roman" w:cs="Times New Roman"/>
          <w:sz w:val="28"/>
          <w:szCs w:val="28"/>
        </w:rPr>
        <w:t>Прочие  безвозмездные поступления в бюджеты сельских поселений  в 202</w:t>
      </w:r>
      <w:r w:rsidR="00A92442" w:rsidRPr="00A92442">
        <w:rPr>
          <w:rFonts w:ascii="Times New Roman" w:eastAsia="Calibri" w:hAnsi="Times New Roman" w:cs="Times New Roman"/>
          <w:sz w:val="28"/>
          <w:szCs w:val="28"/>
        </w:rPr>
        <w:t>2</w:t>
      </w:r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 году  в бюджет поселения поступили в сумме </w:t>
      </w:r>
      <w:r w:rsidR="00A92442" w:rsidRPr="00A92442">
        <w:rPr>
          <w:rFonts w:ascii="Times New Roman" w:eastAsia="Calibri" w:hAnsi="Times New Roman" w:cs="Times New Roman"/>
          <w:sz w:val="28"/>
          <w:szCs w:val="28"/>
        </w:rPr>
        <w:t>58,5</w:t>
      </w:r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 тыс. рублей, или 75,0% к бюджетным назначениям, из них: </w:t>
      </w:r>
      <w:r w:rsidR="00A92442" w:rsidRPr="00A92442">
        <w:rPr>
          <w:rFonts w:ascii="Times New Roman" w:eastAsia="Calibri" w:hAnsi="Times New Roman" w:cs="Times New Roman"/>
          <w:sz w:val="28"/>
          <w:szCs w:val="28"/>
        </w:rPr>
        <w:t>58,5</w:t>
      </w:r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 тыс. рублей  поступили от организаций и 0,0 тыс. рублей от физических лиц.</w:t>
      </w:r>
      <w:r w:rsidR="00A92442">
        <w:rPr>
          <w:rFonts w:ascii="Times New Roman" w:eastAsia="Calibri" w:hAnsi="Times New Roman" w:cs="Times New Roman"/>
          <w:sz w:val="28"/>
          <w:szCs w:val="28"/>
        </w:rPr>
        <w:t xml:space="preserve"> Средства направлены на </w:t>
      </w:r>
      <w:r w:rsidR="00A92442"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проекта «Народный </w:t>
      </w:r>
      <w:r w:rsidR="00A92442" w:rsidRPr="00D241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бюджет»</w:t>
      </w:r>
      <w:r w:rsidR="00A92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  По сравнению 1 полугодием 202</w:t>
      </w:r>
      <w:r w:rsidR="00A92442" w:rsidRPr="00A92442">
        <w:rPr>
          <w:rFonts w:ascii="Times New Roman" w:eastAsia="Calibri" w:hAnsi="Times New Roman" w:cs="Times New Roman"/>
          <w:sz w:val="28"/>
          <w:szCs w:val="28"/>
        </w:rPr>
        <w:t>1</w:t>
      </w:r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92442" w:rsidRPr="00A92442">
        <w:rPr>
          <w:rFonts w:ascii="Times New Roman" w:eastAsia="Calibri" w:hAnsi="Times New Roman" w:cs="Times New Roman"/>
          <w:sz w:val="28"/>
          <w:szCs w:val="28"/>
        </w:rPr>
        <w:t xml:space="preserve">          прочие  безвозмездные поступления увеличился в 2,6 раза, или на 36,0 тыс. рублей. </w:t>
      </w:r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Доля прочих </w:t>
      </w:r>
      <w:r w:rsidRPr="00A924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 в общем объеме безвозмездных поступлений составила </w:t>
      </w:r>
      <w:r w:rsidR="00A92442" w:rsidRPr="00A92442">
        <w:rPr>
          <w:rFonts w:ascii="Times New Roman" w:eastAsia="Calibri" w:hAnsi="Times New Roman" w:cs="Times New Roman"/>
          <w:sz w:val="28"/>
          <w:szCs w:val="28"/>
        </w:rPr>
        <w:t>2,0</w:t>
      </w:r>
      <w:r w:rsidRPr="00A9244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539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C2244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налоговых доходов бюджета поселения проведен анализ объема задолженности плательщиков по налогам по состоянию на 01 января и 01 июля  202</w:t>
      </w:r>
      <w:r w:rsidR="00C22441" w:rsidRPr="00C22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июля 202</w:t>
      </w:r>
      <w:r w:rsidR="00C22441" w:rsidRPr="00C22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95391" w:rsidRPr="00C22441" w:rsidRDefault="00F95391" w:rsidP="00F9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391" w:rsidRPr="00C22441" w:rsidRDefault="00F95391" w:rsidP="00F9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F95391" w:rsidRPr="00C22441" w:rsidRDefault="00F95391" w:rsidP="00F953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22441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F95391" w:rsidRPr="00F95391" w:rsidTr="007968C5">
        <w:trPr>
          <w:trHeight w:val="1985"/>
        </w:trPr>
        <w:tc>
          <w:tcPr>
            <w:tcW w:w="3227" w:type="dxa"/>
          </w:tcPr>
          <w:p w:rsidR="00F95391" w:rsidRPr="00820075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F95391" w:rsidRPr="00820075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F95391" w:rsidRPr="00820075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01.01.202</w:t>
            </w:r>
            <w:r w:rsidR="00C22441" w:rsidRPr="0082007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F95391" w:rsidRPr="00820075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95391" w:rsidRPr="00820075" w:rsidRDefault="00F95391" w:rsidP="00C22441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01.01.202</w:t>
            </w:r>
            <w:r w:rsidR="00C22441" w:rsidRPr="00820075">
              <w:rPr>
                <w:rFonts w:ascii="Times New Roman" w:eastAsiaTheme="minorEastAsia" w:hAnsi="Times New Roman" w:cs="Times New Roman"/>
                <w:lang w:eastAsia="ru-RU"/>
              </w:rPr>
              <w:t xml:space="preserve">2 </w:t>
            </w: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года</w:t>
            </w:r>
          </w:p>
        </w:tc>
        <w:tc>
          <w:tcPr>
            <w:tcW w:w="992" w:type="dxa"/>
          </w:tcPr>
          <w:p w:rsidR="00F95391" w:rsidRPr="00820075" w:rsidRDefault="00F95391" w:rsidP="00C2244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01.07.202</w:t>
            </w:r>
            <w:r w:rsidR="00C22441" w:rsidRPr="0082007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F95391" w:rsidRPr="00820075" w:rsidRDefault="00F95391" w:rsidP="0082007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01.07.202</w:t>
            </w:r>
            <w:r w:rsidR="00820075" w:rsidRPr="0082007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F95391" w:rsidRPr="00820075" w:rsidRDefault="00F95391" w:rsidP="0082007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01.01.202</w:t>
            </w:r>
            <w:r w:rsidR="00820075" w:rsidRPr="0082007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01.01.202</w:t>
            </w:r>
            <w:r w:rsidR="00820075" w:rsidRPr="0082007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1134" w:type="dxa"/>
          </w:tcPr>
          <w:p w:rsidR="00F95391" w:rsidRPr="00820075" w:rsidRDefault="00F95391" w:rsidP="0082007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01.07.202</w:t>
            </w:r>
            <w:r w:rsidR="00820075" w:rsidRPr="0082007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01.07.202</w:t>
            </w:r>
            <w:r w:rsidR="00820075" w:rsidRPr="00820075">
              <w:rPr>
                <w:rFonts w:ascii="Times New Roman" w:eastAsiaTheme="minorEastAsia" w:hAnsi="Times New Roman" w:cs="Times New Roman"/>
                <w:lang w:eastAsia="ru-RU"/>
              </w:rPr>
              <w:t xml:space="preserve">1 </w:t>
            </w: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года (+-увеличение;- уменьшение)</w:t>
            </w:r>
          </w:p>
        </w:tc>
      </w:tr>
      <w:tr w:rsidR="00F95391" w:rsidRPr="00F95391" w:rsidTr="007968C5">
        <w:tc>
          <w:tcPr>
            <w:tcW w:w="3227" w:type="dxa"/>
          </w:tcPr>
          <w:p w:rsidR="00F95391" w:rsidRPr="00820075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95391" w:rsidRPr="00820075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95391" w:rsidRPr="00820075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F95391" w:rsidRPr="00820075" w:rsidRDefault="00F95391" w:rsidP="00F95391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F95391" w:rsidRPr="00820075" w:rsidRDefault="00F95391" w:rsidP="00F95391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F95391" w:rsidRPr="00820075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F95391" w:rsidRPr="00820075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20075" w:rsidRPr="00F95391" w:rsidTr="007968C5">
        <w:tc>
          <w:tcPr>
            <w:tcW w:w="3227" w:type="dxa"/>
          </w:tcPr>
          <w:p w:rsidR="00820075" w:rsidRPr="00820075" w:rsidRDefault="00820075" w:rsidP="00F9539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820075" w:rsidRPr="00820075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1,1</w:t>
            </w:r>
          </w:p>
        </w:tc>
        <w:tc>
          <w:tcPr>
            <w:tcW w:w="992" w:type="dxa"/>
          </w:tcPr>
          <w:p w:rsidR="00820075" w:rsidRPr="00EA0089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</w:tcPr>
          <w:p w:rsidR="00820075" w:rsidRPr="00820075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1,4</w:t>
            </w:r>
          </w:p>
        </w:tc>
        <w:tc>
          <w:tcPr>
            <w:tcW w:w="1134" w:type="dxa"/>
          </w:tcPr>
          <w:p w:rsidR="00820075" w:rsidRPr="00820075" w:rsidRDefault="00260ECD" w:rsidP="00F95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</w:tcPr>
          <w:p w:rsidR="00820075" w:rsidRPr="00EA0089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-0,7</w:t>
            </w:r>
          </w:p>
        </w:tc>
        <w:tc>
          <w:tcPr>
            <w:tcW w:w="1134" w:type="dxa"/>
          </w:tcPr>
          <w:p w:rsidR="00820075" w:rsidRPr="00820075" w:rsidRDefault="00260ECD" w:rsidP="00F95391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-1,0</w:t>
            </w:r>
          </w:p>
        </w:tc>
      </w:tr>
      <w:tr w:rsidR="00820075" w:rsidRPr="00F95391" w:rsidTr="007968C5">
        <w:tc>
          <w:tcPr>
            <w:tcW w:w="3227" w:type="dxa"/>
          </w:tcPr>
          <w:p w:rsidR="00820075" w:rsidRPr="00820075" w:rsidRDefault="00820075" w:rsidP="00F9539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20075" w:rsidRPr="00820075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17,2</w:t>
            </w:r>
          </w:p>
        </w:tc>
        <w:tc>
          <w:tcPr>
            <w:tcW w:w="992" w:type="dxa"/>
          </w:tcPr>
          <w:p w:rsidR="00820075" w:rsidRPr="00EA0089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15,9</w:t>
            </w:r>
          </w:p>
        </w:tc>
        <w:tc>
          <w:tcPr>
            <w:tcW w:w="992" w:type="dxa"/>
          </w:tcPr>
          <w:p w:rsidR="00820075" w:rsidRPr="00820075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14,7</w:t>
            </w:r>
          </w:p>
        </w:tc>
        <w:tc>
          <w:tcPr>
            <w:tcW w:w="1134" w:type="dxa"/>
          </w:tcPr>
          <w:p w:rsidR="00820075" w:rsidRPr="00820075" w:rsidRDefault="00260ECD" w:rsidP="00F95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6,6</w:t>
            </w:r>
          </w:p>
        </w:tc>
        <w:tc>
          <w:tcPr>
            <w:tcW w:w="1134" w:type="dxa"/>
          </w:tcPr>
          <w:p w:rsidR="00820075" w:rsidRPr="00EA0089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-1,3</w:t>
            </w:r>
          </w:p>
        </w:tc>
        <w:tc>
          <w:tcPr>
            <w:tcW w:w="1134" w:type="dxa"/>
          </w:tcPr>
          <w:p w:rsidR="00820075" w:rsidRPr="00820075" w:rsidRDefault="00260ECD" w:rsidP="00F95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-8,1</w:t>
            </w:r>
          </w:p>
        </w:tc>
      </w:tr>
      <w:tr w:rsidR="00820075" w:rsidRPr="00F95391" w:rsidTr="007968C5">
        <w:tc>
          <w:tcPr>
            <w:tcW w:w="3227" w:type="dxa"/>
          </w:tcPr>
          <w:p w:rsidR="00820075" w:rsidRPr="00820075" w:rsidRDefault="00820075" w:rsidP="00F9539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820075" w:rsidRPr="00820075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992" w:type="dxa"/>
          </w:tcPr>
          <w:p w:rsidR="00820075" w:rsidRPr="00EA0089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6,7</w:t>
            </w:r>
          </w:p>
        </w:tc>
        <w:tc>
          <w:tcPr>
            <w:tcW w:w="992" w:type="dxa"/>
          </w:tcPr>
          <w:p w:rsidR="00820075" w:rsidRPr="00820075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0075">
              <w:rPr>
                <w:rFonts w:ascii="Times New Roman" w:eastAsiaTheme="minorEastAsia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</w:tcPr>
          <w:p w:rsidR="00820075" w:rsidRPr="00820075" w:rsidRDefault="00260ECD" w:rsidP="00F95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4,5</w:t>
            </w:r>
          </w:p>
        </w:tc>
        <w:tc>
          <w:tcPr>
            <w:tcW w:w="1134" w:type="dxa"/>
          </w:tcPr>
          <w:p w:rsidR="00820075" w:rsidRPr="00EA0089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-1,8</w:t>
            </w:r>
          </w:p>
        </w:tc>
        <w:tc>
          <w:tcPr>
            <w:tcW w:w="1134" w:type="dxa"/>
          </w:tcPr>
          <w:p w:rsidR="00820075" w:rsidRPr="00820075" w:rsidRDefault="00260ECD" w:rsidP="00F95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-2,0</w:t>
            </w:r>
          </w:p>
        </w:tc>
      </w:tr>
      <w:tr w:rsidR="00820075" w:rsidRPr="00374536" w:rsidTr="007968C5">
        <w:tc>
          <w:tcPr>
            <w:tcW w:w="3227" w:type="dxa"/>
          </w:tcPr>
          <w:p w:rsidR="00820075" w:rsidRPr="00374536" w:rsidRDefault="00820075" w:rsidP="00F9539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7453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20075" w:rsidRPr="00374536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74536">
              <w:rPr>
                <w:rFonts w:ascii="Times New Roman" w:eastAsiaTheme="minorEastAsia" w:hAnsi="Times New Roman" w:cs="Times New Roman"/>
                <w:b/>
                <w:lang w:eastAsia="ru-RU"/>
              </w:rPr>
              <w:t>26,8</w:t>
            </w:r>
          </w:p>
        </w:tc>
        <w:tc>
          <w:tcPr>
            <w:tcW w:w="992" w:type="dxa"/>
          </w:tcPr>
          <w:p w:rsidR="00820075" w:rsidRPr="00374536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74536">
              <w:rPr>
                <w:rFonts w:ascii="Times New Roman" w:eastAsiaTheme="minorEastAsia" w:hAnsi="Times New Roman" w:cs="Times New Roman"/>
                <w:b/>
                <w:lang w:eastAsia="ru-RU"/>
              </w:rPr>
              <w:t>23,0</w:t>
            </w:r>
          </w:p>
        </w:tc>
        <w:tc>
          <w:tcPr>
            <w:tcW w:w="992" w:type="dxa"/>
          </w:tcPr>
          <w:p w:rsidR="00820075" w:rsidRPr="00374536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74536">
              <w:rPr>
                <w:rFonts w:ascii="Times New Roman" w:eastAsiaTheme="minorEastAsia" w:hAnsi="Times New Roman" w:cs="Times New Roman"/>
                <w:b/>
                <w:lang w:eastAsia="ru-RU"/>
              </w:rPr>
              <w:t>22,6</w:t>
            </w:r>
          </w:p>
        </w:tc>
        <w:tc>
          <w:tcPr>
            <w:tcW w:w="1134" w:type="dxa"/>
          </w:tcPr>
          <w:p w:rsidR="00820075" w:rsidRPr="00374536" w:rsidRDefault="00260ECD" w:rsidP="00F95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74536">
              <w:rPr>
                <w:rFonts w:ascii="Times New Roman" w:eastAsiaTheme="minorEastAsia" w:hAnsi="Times New Roman" w:cs="Times New Roman"/>
                <w:b/>
                <w:lang w:eastAsia="ru-RU"/>
              </w:rPr>
              <w:t>11,5</w:t>
            </w:r>
          </w:p>
        </w:tc>
        <w:tc>
          <w:tcPr>
            <w:tcW w:w="1134" w:type="dxa"/>
          </w:tcPr>
          <w:p w:rsidR="00820075" w:rsidRPr="00374536" w:rsidRDefault="00820075" w:rsidP="00266B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74536">
              <w:rPr>
                <w:rFonts w:ascii="Times New Roman" w:eastAsiaTheme="minorEastAsia" w:hAnsi="Times New Roman" w:cs="Times New Roman"/>
                <w:b/>
                <w:lang w:eastAsia="ru-RU"/>
              </w:rPr>
              <w:t>-3,8</w:t>
            </w:r>
          </w:p>
        </w:tc>
        <w:tc>
          <w:tcPr>
            <w:tcW w:w="1134" w:type="dxa"/>
          </w:tcPr>
          <w:p w:rsidR="00820075" w:rsidRPr="00374536" w:rsidRDefault="00260ECD" w:rsidP="00F95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74536">
              <w:rPr>
                <w:rFonts w:ascii="Times New Roman" w:eastAsiaTheme="minorEastAsia" w:hAnsi="Times New Roman" w:cs="Times New Roman"/>
                <w:b/>
                <w:lang w:eastAsia="ru-RU"/>
              </w:rPr>
              <w:t>-11,1</w:t>
            </w:r>
          </w:p>
        </w:tc>
      </w:tr>
    </w:tbl>
    <w:p w:rsidR="00F95391" w:rsidRPr="00374536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95391" w:rsidRPr="00374536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374536" w:rsidRPr="00374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рамках вышеприведенного анализа  наблюдается снижение задолженности плательщиков по платежам в бюджет  в сравнении задолженности на 01.01.2022  года с аналогичным периодом прошлого года   на 3,8  тыс. рублей, или на 16,5 %, 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01.07.2021 года 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 на 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96,5 %, </w:t>
      </w:r>
      <w:proofErr w:type="gramStart"/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F95391" w:rsidRPr="00374536" w:rsidRDefault="00F95391" w:rsidP="00F953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НДФЛ  на 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3,5 раза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391" w:rsidRPr="00374536" w:rsidRDefault="00374536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F95391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имущество физических лиц  на 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8,1 тыс. рублей, или  в 2,7 раза</w:t>
      </w:r>
      <w:r w:rsidR="00F95391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391" w:rsidRPr="00374536" w:rsidRDefault="00F95391" w:rsidP="00F953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на  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44,4 процента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391" w:rsidRPr="00374536" w:rsidRDefault="00F95391" w:rsidP="00F9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01.07.202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57,4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 по земельному налогу – 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на третьем  и последнем месте – задолженность по НДФЛ – </w:t>
      </w:r>
      <w:r w:rsidR="00374536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F95391" w:rsidRPr="00F95391" w:rsidRDefault="00F95391" w:rsidP="00F9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374536" w:rsidRDefault="00F95391" w:rsidP="00F9539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4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F95391" w:rsidRPr="00F95391" w:rsidRDefault="00F95391" w:rsidP="00F9539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за 1 полугодие 202</w:t>
      </w:r>
      <w:r w:rsidR="00374536"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сумме </w:t>
      </w:r>
      <w:r w:rsidR="007F34B7"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>2767,5</w:t>
      </w:r>
      <w:r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F34B7"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>47,0</w:t>
      </w:r>
      <w:r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 сумме </w:t>
      </w:r>
      <w:r w:rsidR="007F34B7"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202</w:t>
      </w:r>
      <w:r w:rsidR="007F34B7"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увеличились на </w:t>
      </w:r>
      <w:r w:rsidR="007F34B7"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>307,3</w:t>
      </w:r>
      <w:r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F34B7"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7F34B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7F34B7" w:rsidRDefault="00F95391" w:rsidP="00F953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Структура  исполнения бюджета поселения по расходам в сравнении с 1 полугодием 202</w:t>
      </w:r>
      <w:r w:rsidR="007F34B7" w:rsidRPr="007F34B7">
        <w:rPr>
          <w:rFonts w:ascii="Times New Roman" w:eastAsia="Calibri" w:hAnsi="Times New Roman" w:cs="Times New Roman"/>
          <w:sz w:val="28"/>
          <w:szCs w:val="28"/>
        </w:rPr>
        <w:t>1</w:t>
      </w:r>
      <w:r w:rsidRPr="007F34B7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F95391" w:rsidRPr="007F34B7" w:rsidRDefault="00F95391" w:rsidP="00F953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7F34B7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тыс. руб.</w:t>
      </w:r>
    </w:p>
    <w:p w:rsidR="00041931" w:rsidRPr="007F34B7" w:rsidRDefault="0004193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DE43366" wp14:editId="099B14B0">
            <wp:extent cx="6096000" cy="42100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F95391" w:rsidRPr="00F95391" w:rsidRDefault="00F95391" w:rsidP="00F95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24764A" w:rsidRDefault="00F95391" w:rsidP="00F9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266B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бюджета поселения на социальную сферу за последний год выросли. И так, на социальную сферу направлено </w:t>
      </w:r>
      <w:r w:rsidR="00266BCA"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959,4 </w:t>
      </w:r>
      <w:r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66BCA"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>54,9</w:t>
      </w:r>
      <w:r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полугодием 202</w:t>
      </w:r>
      <w:r w:rsidR="00266BCA"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увеличились  на </w:t>
      </w:r>
      <w:r w:rsidR="00266BCA"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66BCA"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26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</w:t>
      </w:r>
      <w:r w:rsidR="00266BCA"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66BCA"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38,3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66BCA"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процентов. </w:t>
      </w:r>
    </w:p>
    <w:p w:rsidR="00F95391" w:rsidRPr="0024764A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Наибольший удельный вес в расходах бюджета поселения занимают расходы  по разделам: «Общегосударственные вопросы» -</w:t>
      </w:r>
      <w:r w:rsidR="0024764A"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49,4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«Физическая культура и спорт» -</w:t>
      </w:r>
      <w:r w:rsidR="0024764A"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31,6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%, «Жилищно-коммунальное хозяйство» - 12,</w:t>
      </w:r>
      <w:r w:rsidR="0024764A"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%, «Социальная политика» - 3,</w:t>
      </w:r>
      <w:r w:rsidR="0024764A"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%. По остальным разделам:  «Национальная оборона</w:t>
      </w:r>
      <w:r w:rsidR="0024764A"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«Национальная экономика» - всего </w:t>
      </w:r>
      <w:r w:rsidR="0024764A"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1 полугодие 202</w:t>
      </w:r>
      <w:r w:rsidR="0024764A"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4D6EF7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442CAF" wp14:editId="58EC98C0">
            <wp:extent cx="6119495" cy="5062210"/>
            <wp:effectExtent l="0" t="0" r="52705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95391" w:rsidRPr="00C34414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391" w:rsidRPr="00C34414" w:rsidRDefault="00F95391" w:rsidP="00F953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 течение отчетного периода не производились расходы, предусмотренные решением о бюджете, по разделам «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оборона и правоохранительная деятельность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и «Образование». </w:t>
      </w:r>
    </w:p>
    <w:p w:rsidR="00F95391" w:rsidRPr="00C34414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разделам предусмотрены бюджетные ассигнования на проведение мероприятий 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пожарной безопасности и 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молодежной политике и оздоровлению детей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95391" w:rsidRPr="00C34414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 разделам классификации, кроме  расходов по разделам «Национальная оборона», «Социальная политика» и «Физическая культура и спорт» уровень исполнения к годовым назначениям ниже  50,0 процентов.</w:t>
      </w:r>
    </w:p>
    <w:p w:rsidR="00F95391" w:rsidRPr="00C34414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C34414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и исполненные показатели бюджета поселения по разделам приведены в таблице 5.</w:t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374536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4536">
        <w:rPr>
          <w:rFonts w:ascii="Times New Roman" w:eastAsia="Times New Roman" w:hAnsi="Times New Roman" w:cs="Times New Roman"/>
          <w:lang w:eastAsia="ru-RU"/>
        </w:rPr>
        <w:lastRenderedPageBreak/>
        <w:t>Таблица 5</w:t>
      </w:r>
      <w:r w:rsidRPr="00374536">
        <w:rPr>
          <w:rFonts w:ascii="Times New Roman" w:eastAsia="Times New Roman" w:hAnsi="Times New Roman" w:cs="Times New Roman"/>
          <w:lang w:eastAsia="ru-RU"/>
        </w:rPr>
        <w:tab/>
      </w:r>
      <w:r w:rsidRPr="00374536">
        <w:rPr>
          <w:rFonts w:ascii="Times New Roman" w:eastAsia="Times New Roman" w:hAnsi="Times New Roman" w:cs="Times New Roman"/>
          <w:lang w:eastAsia="ru-RU"/>
        </w:rPr>
        <w:tab/>
      </w:r>
      <w:r w:rsidRPr="00374536">
        <w:rPr>
          <w:rFonts w:ascii="Times New Roman" w:eastAsia="Times New Roman" w:hAnsi="Times New Roman" w:cs="Times New Roman"/>
          <w:lang w:eastAsia="ru-RU"/>
        </w:rPr>
        <w:tab/>
      </w:r>
      <w:r w:rsidRPr="00374536">
        <w:rPr>
          <w:rFonts w:ascii="Times New Roman" w:eastAsia="Times New Roman" w:hAnsi="Times New Roman" w:cs="Times New Roman"/>
          <w:lang w:eastAsia="ru-RU"/>
        </w:rPr>
        <w:tab/>
      </w:r>
      <w:r w:rsidRPr="00374536">
        <w:rPr>
          <w:rFonts w:ascii="Times New Roman" w:eastAsia="Times New Roman" w:hAnsi="Times New Roman" w:cs="Times New Roman"/>
          <w:lang w:eastAsia="ru-RU"/>
        </w:rPr>
        <w:tab/>
      </w:r>
      <w:r w:rsidRPr="00374536">
        <w:rPr>
          <w:rFonts w:ascii="Times New Roman" w:eastAsia="Times New Roman" w:hAnsi="Times New Roman" w:cs="Times New Roman"/>
          <w:lang w:eastAsia="ru-RU"/>
        </w:rPr>
        <w:tab/>
      </w:r>
      <w:r w:rsidRPr="00374536">
        <w:rPr>
          <w:rFonts w:ascii="Times New Roman" w:eastAsia="Times New Roman" w:hAnsi="Times New Roman" w:cs="Times New Roman"/>
          <w:lang w:eastAsia="ru-RU"/>
        </w:rPr>
        <w:tab/>
      </w:r>
      <w:r w:rsidRPr="0037453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077"/>
        <w:gridCol w:w="1133"/>
        <w:gridCol w:w="1173"/>
        <w:gridCol w:w="1077"/>
        <w:gridCol w:w="1133"/>
        <w:gridCol w:w="1191"/>
        <w:gridCol w:w="1077"/>
      </w:tblGrid>
      <w:tr w:rsidR="00374536" w:rsidRPr="00374536" w:rsidTr="00A30D2C">
        <w:trPr>
          <w:trHeight w:val="970"/>
        </w:trPr>
        <w:tc>
          <w:tcPr>
            <w:tcW w:w="1992" w:type="dxa"/>
          </w:tcPr>
          <w:p w:rsidR="00F95391" w:rsidRPr="00374536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077" w:type="dxa"/>
          </w:tcPr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Исполнено в   1 полугодии</w:t>
            </w:r>
          </w:p>
          <w:p w:rsidR="00F95391" w:rsidRPr="00374536" w:rsidRDefault="00F95391" w:rsidP="003745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374536" w:rsidRPr="00374536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374536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3" w:type="dxa"/>
          </w:tcPr>
          <w:p w:rsidR="00F95391" w:rsidRPr="00374536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F95391" w:rsidRPr="00374536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173" w:type="dxa"/>
          </w:tcPr>
          <w:p w:rsidR="00F95391" w:rsidRPr="00374536" w:rsidRDefault="00F95391" w:rsidP="003745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202</w:t>
            </w:r>
            <w:r w:rsidR="00374536" w:rsidRPr="003745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77" w:type="dxa"/>
          </w:tcPr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74536">
              <w:rPr>
                <w:rFonts w:ascii="Times New Roman" w:eastAsia="Calibri" w:hAnsi="Times New Roman" w:cs="Times New Roman"/>
                <w:lang w:eastAsia="ru-RU"/>
              </w:rPr>
              <w:t>полугодии</w:t>
            </w:r>
            <w:proofErr w:type="gramEnd"/>
          </w:p>
          <w:p w:rsidR="00F95391" w:rsidRPr="00374536" w:rsidRDefault="00F95391" w:rsidP="0037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374536" w:rsidRPr="0037453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374536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3" w:type="dxa"/>
          </w:tcPr>
          <w:p w:rsidR="00F95391" w:rsidRPr="00374536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F95391" w:rsidRPr="00374536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191" w:type="dxa"/>
          </w:tcPr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полугодия 202</w:t>
            </w:r>
            <w:r w:rsidR="00374536" w:rsidRPr="0037453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полугодия 202</w:t>
            </w:r>
            <w:r w:rsidR="00374536" w:rsidRPr="0037453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F95391" w:rsidRPr="00374536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F95391" w:rsidRPr="00374536" w:rsidRDefault="00F95391" w:rsidP="00F953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полугодия</w:t>
            </w:r>
          </w:p>
          <w:p w:rsidR="00F95391" w:rsidRPr="00374536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374536" w:rsidRPr="0037453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F95391" w:rsidRPr="00374536" w:rsidRDefault="00F95391" w:rsidP="00F9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Calibri" w:hAnsi="Times New Roman" w:cs="Times New Roman"/>
                <w:lang w:eastAsia="ru-RU"/>
              </w:rPr>
              <w:t>года,%</w:t>
            </w:r>
          </w:p>
        </w:tc>
      </w:tr>
      <w:tr w:rsidR="00374536" w:rsidRPr="00374536" w:rsidTr="00A30D2C">
        <w:tc>
          <w:tcPr>
            <w:tcW w:w="1992" w:type="dxa"/>
          </w:tcPr>
          <w:p w:rsidR="00374536" w:rsidRPr="00374536" w:rsidRDefault="00374536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077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1123,1</w:t>
            </w:r>
          </w:p>
        </w:tc>
        <w:tc>
          <w:tcPr>
            <w:tcW w:w="1133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  <w:tc>
          <w:tcPr>
            <w:tcW w:w="117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2773,9</w:t>
            </w:r>
          </w:p>
        </w:tc>
        <w:tc>
          <w:tcPr>
            <w:tcW w:w="1077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1366,4</w:t>
            </w:r>
          </w:p>
        </w:tc>
        <w:tc>
          <w:tcPr>
            <w:tcW w:w="113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191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243,3</w:t>
            </w:r>
          </w:p>
        </w:tc>
        <w:tc>
          <w:tcPr>
            <w:tcW w:w="1077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</w:tr>
      <w:tr w:rsidR="00374536" w:rsidRPr="00374536" w:rsidTr="00A30D2C">
        <w:tc>
          <w:tcPr>
            <w:tcW w:w="1992" w:type="dxa"/>
          </w:tcPr>
          <w:p w:rsidR="00374536" w:rsidRPr="00374536" w:rsidRDefault="00374536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77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133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7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077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13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91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077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374536" w:rsidRPr="00374536" w:rsidTr="00A30D2C">
        <w:tc>
          <w:tcPr>
            <w:tcW w:w="1992" w:type="dxa"/>
          </w:tcPr>
          <w:p w:rsidR="00374536" w:rsidRPr="00374536" w:rsidRDefault="00374536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3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7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77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1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-0,5</w:t>
            </w:r>
          </w:p>
        </w:tc>
        <w:tc>
          <w:tcPr>
            <w:tcW w:w="1077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74536" w:rsidRPr="00374536" w:rsidTr="00A30D2C">
        <w:tc>
          <w:tcPr>
            <w:tcW w:w="1992" w:type="dxa"/>
          </w:tcPr>
          <w:p w:rsidR="00374536" w:rsidRPr="00374536" w:rsidRDefault="00374536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77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33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17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335,5</w:t>
            </w:r>
          </w:p>
        </w:tc>
        <w:tc>
          <w:tcPr>
            <w:tcW w:w="1077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13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91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-16,0</w:t>
            </w:r>
          </w:p>
        </w:tc>
        <w:tc>
          <w:tcPr>
            <w:tcW w:w="1077" w:type="dxa"/>
          </w:tcPr>
          <w:p w:rsidR="00374536" w:rsidRPr="00374536" w:rsidRDefault="00A30D2C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374536" w:rsidRPr="00374536" w:rsidTr="00A30D2C">
        <w:tc>
          <w:tcPr>
            <w:tcW w:w="1992" w:type="dxa"/>
          </w:tcPr>
          <w:p w:rsidR="00374536" w:rsidRPr="00374536" w:rsidRDefault="00374536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77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294,7</w:t>
            </w:r>
          </w:p>
        </w:tc>
        <w:tc>
          <w:tcPr>
            <w:tcW w:w="1133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117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839,6</w:t>
            </w:r>
          </w:p>
        </w:tc>
        <w:tc>
          <w:tcPr>
            <w:tcW w:w="1077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356,2</w:t>
            </w:r>
          </w:p>
        </w:tc>
        <w:tc>
          <w:tcPr>
            <w:tcW w:w="113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1191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1077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</w:tr>
      <w:tr w:rsidR="00374536" w:rsidRPr="00374536" w:rsidTr="00A30D2C">
        <w:tc>
          <w:tcPr>
            <w:tcW w:w="1992" w:type="dxa"/>
          </w:tcPr>
          <w:p w:rsidR="00374536" w:rsidRPr="00374536" w:rsidRDefault="00374536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77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77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1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7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74536" w:rsidRPr="00374536" w:rsidTr="00A30D2C">
        <w:tc>
          <w:tcPr>
            <w:tcW w:w="1992" w:type="dxa"/>
          </w:tcPr>
          <w:p w:rsidR="00374536" w:rsidRPr="00374536" w:rsidRDefault="00374536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77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133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7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165,2</w:t>
            </w:r>
          </w:p>
        </w:tc>
        <w:tc>
          <w:tcPr>
            <w:tcW w:w="1077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13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91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7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74536" w:rsidRPr="00374536" w:rsidTr="00A30D2C">
        <w:trPr>
          <w:trHeight w:val="540"/>
        </w:trPr>
        <w:tc>
          <w:tcPr>
            <w:tcW w:w="1992" w:type="dxa"/>
          </w:tcPr>
          <w:p w:rsidR="00374536" w:rsidRPr="00374536" w:rsidRDefault="00374536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77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859,1</w:t>
            </w:r>
          </w:p>
        </w:tc>
        <w:tc>
          <w:tcPr>
            <w:tcW w:w="1133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17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1580,4</w:t>
            </w:r>
          </w:p>
        </w:tc>
        <w:tc>
          <w:tcPr>
            <w:tcW w:w="1077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876,8</w:t>
            </w:r>
          </w:p>
        </w:tc>
        <w:tc>
          <w:tcPr>
            <w:tcW w:w="113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1191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077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</w:tr>
      <w:tr w:rsidR="00374536" w:rsidRPr="00374536" w:rsidTr="00A30D2C">
        <w:tc>
          <w:tcPr>
            <w:tcW w:w="1992" w:type="dxa"/>
          </w:tcPr>
          <w:p w:rsidR="00374536" w:rsidRPr="00374536" w:rsidRDefault="00374536" w:rsidP="00F95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077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b/>
                <w:lang w:eastAsia="ru-RU"/>
              </w:rPr>
              <w:t>2460,2</w:t>
            </w:r>
          </w:p>
        </w:tc>
        <w:tc>
          <w:tcPr>
            <w:tcW w:w="1133" w:type="dxa"/>
          </w:tcPr>
          <w:p w:rsidR="00374536" w:rsidRPr="00374536" w:rsidRDefault="00374536" w:rsidP="00266B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536">
              <w:rPr>
                <w:rFonts w:ascii="Times New Roman" w:eastAsia="Times New Roman" w:hAnsi="Times New Roman" w:cs="Times New Roman"/>
                <w:b/>
                <w:lang w:eastAsia="ru-RU"/>
              </w:rPr>
              <w:t>44,4</w:t>
            </w:r>
          </w:p>
        </w:tc>
        <w:tc>
          <w:tcPr>
            <w:tcW w:w="117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5884,7</w:t>
            </w:r>
          </w:p>
        </w:tc>
        <w:tc>
          <w:tcPr>
            <w:tcW w:w="1077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2767,5</w:t>
            </w:r>
          </w:p>
        </w:tc>
        <w:tc>
          <w:tcPr>
            <w:tcW w:w="1133" w:type="dxa"/>
          </w:tcPr>
          <w:p w:rsidR="00374536" w:rsidRPr="00374536" w:rsidRDefault="00E0707B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47,0</w:t>
            </w:r>
          </w:p>
        </w:tc>
        <w:tc>
          <w:tcPr>
            <w:tcW w:w="1191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307,3</w:t>
            </w:r>
          </w:p>
        </w:tc>
        <w:tc>
          <w:tcPr>
            <w:tcW w:w="1077" w:type="dxa"/>
          </w:tcPr>
          <w:p w:rsidR="00374536" w:rsidRPr="00374536" w:rsidRDefault="00603CEA" w:rsidP="00F953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112,5</w:t>
            </w:r>
          </w:p>
        </w:tc>
      </w:tr>
    </w:tbl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</w:p>
    <w:p w:rsidR="00F95391" w:rsidRPr="00C34414" w:rsidRDefault="00F95391" w:rsidP="00F953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C3441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«Общегосударственные вопросы»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1366,4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49,3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полугодием 202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243,3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21,7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Средства направлены:</w:t>
      </w:r>
    </w:p>
    <w:p w:rsidR="00F95391" w:rsidRPr="00C34414" w:rsidRDefault="00F95391" w:rsidP="00F953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252,2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F95391" w:rsidRPr="00C34414" w:rsidRDefault="00F95391" w:rsidP="00F953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функционирование администрации -  </w:t>
      </w:r>
      <w:r w:rsidR="00C34414"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961,4</w:t>
      </w: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C34414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межбюджетные трансферты по осуществлению  полномочий по внешнему муниципальному финансовому контролю – </w:t>
      </w:r>
      <w:r w:rsidR="00C34414"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r w:rsid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C34414" w:rsidRDefault="00F95391" w:rsidP="00F9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осуществление полномочий по  внутреннему финансовому контролю не финансировались;</w:t>
      </w:r>
    </w:p>
    <w:p w:rsidR="00F95391" w:rsidRPr="00C34414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обслуживание и ведение  бухгалтерского учета – </w:t>
      </w:r>
      <w:r w:rsidR="00C34414"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118,6</w:t>
      </w: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C34414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оплату чле</w:t>
      </w:r>
      <w:r w:rsidR="00C34414"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нских взносов в Ассоциацию – 3,3</w:t>
      </w: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C34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34414" w:rsidRPr="00FD51B4" w:rsidRDefault="00C34414" w:rsidP="00C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Средства на проведение выборов и референдумов и   резервного фонда администрации поселения в 1 полугодии  не расходовались.</w:t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F95391" w:rsidRPr="00C34414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C34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="00C34414"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- 53,5</w:t>
      </w: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50,0 % к годовым бюджетным назначениям. </w:t>
      </w:r>
      <w:r w:rsidR="00C34414"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2021</w:t>
      </w: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C34414"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значительно </w:t>
      </w: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на </w:t>
      </w:r>
      <w:r w:rsidR="00C34414"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34414"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C34414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A30D2C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«Национальная безопасность и правоохранительная деятельность»</w:t>
      </w:r>
      <w:r w:rsidR="00C34414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предусмотрены средства бюджетом поселения на 2022 год в сумме 20,0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C34414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2022 года фактические расходы по данному разделу не проводились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сравнению с 1 полугодием 202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0,5 тыс. рублей (100,0%).</w:t>
      </w: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A30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1 полугодии составили 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32,0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 По сравнению с 1 полугодием 202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16,0 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%. Средства направлены на расчистку дорог поселения в зимнее время.</w:t>
      </w: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0D2C" w:rsidRPr="00A30D2C" w:rsidRDefault="00F95391" w:rsidP="00A30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A30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«Жилищно-коммунальное хозяйство» 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356,2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42,4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назначениям, в том числе  по подразделу «Благоустройство» - 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356,2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30D2C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A30D2C" w:rsidRPr="00A30D2C" w:rsidRDefault="00A30D2C" w:rsidP="00A30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289,2 тыс. рублей</w:t>
      </w:r>
      <w:r w:rsidR="00F95391"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391" w:rsidRPr="00A30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оплату уличного освещения </w:t>
      </w:r>
      <w:r w:rsidRPr="00A30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«Энергосбережение и  повышение энергетической эффективности на территории Вологодской области на 2021-2025 годы»;</w:t>
      </w:r>
    </w:p>
    <w:p w:rsidR="00F95391" w:rsidRPr="004F1278" w:rsidRDefault="00A30D2C" w:rsidP="004F12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0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67,0 тыс. рублей </w:t>
      </w:r>
      <w:r w:rsidR="00F95391" w:rsidRPr="00A30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A30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прочие мероприятия по благоустройству на </w:t>
      </w:r>
      <w:r w:rsidR="00F95391" w:rsidRPr="00A30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территории поселения Туровецкое</w:t>
      </w:r>
      <w:r w:rsidRPr="00A30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(очистка контейн</w:t>
      </w:r>
      <w:r w:rsidR="004F1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ерных площадок в зимнее время, </w:t>
      </w:r>
      <w:r w:rsidRPr="00A30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уборка территории во время субботника</w:t>
      </w:r>
      <w:r w:rsidR="004F1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Pr="00A30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двухмесячника</w:t>
      </w:r>
      <w:r w:rsidR="004F1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A30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закупка материалов для благоустройства)</w:t>
      </w:r>
      <w:r w:rsidR="00F95391" w:rsidRPr="00A30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4F1278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1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расходы в 1 полугодии 202</w:t>
      </w:r>
      <w:r w:rsidR="004F1278"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составили 82,6 тыс. рублей, или 50,0 % к годовым назначениям. Средства направлены на доплаты к пенсии муниципальным служащим  и бывшей  Главе поселения. По  сравнению с аналогичным периодом 202</w:t>
      </w:r>
      <w:r w:rsidR="004F1278"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4F1278"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на прежнем уровне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391" w:rsidRPr="004F1278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391" w:rsidRPr="004F1278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1278"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876,8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4F1278"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55,5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 По сравнению с 1 полугодием 202</w:t>
      </w:r>
      <w:r w:rsidR="004F1278"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4F1278"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4F1278"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«Олимп» в сумме </w:t>
      </w:r>
      <w:r w:rsidR="004F1278"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876,8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том числе </w:t>
      </w:r>
      <w:r w:rsidR="004F1278"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392,9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реализацию расходных обязательств в части обеспечения выплаты заработной платы работникам за счет иных межбюджетных трансфертов. Н</w:t>
      </w:r>
      <w:r w:rsidRPr="004F1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проведение мероприятий по физической культуре и спорту  средства не выделялись</w:t>
      </w:r>
      <w:r w:rsidRPr="004F1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391" w:rsidRPr="00AD08E2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95391" w:rsidRPr="00AD08E2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полугодие 202</w:t>
      </w:r>
      <w:r w:rsidR="00AD08E2"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AD08E2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в отношении органов местного самоуправления предоставлена следующими данными:</w:t>
      </w:r>
    </w:p>
    <w:p w:rsidR="00F95391" w:rsidRPr="00AD08E2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июля 202</w:t>
      </w:r>
      <w:r w:rsidR="00AD08E2"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- 3 шт. единиц, на 01 июля 202</w:t>
      </w:r>
      <w:r w:rsidR="00AD08E2"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D08E2"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Штатная численность служащих аппарата управления </w:t>
      </w:r>
      <w:r w:rsidR="00AD08E2"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 на 1 штатную единицу</w:t>
      </w: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391" w:rsidRPr="00AD08E2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F95391" w:rsidRPr="00AD08E2" w:rsidRDefault="00AD08E2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2021 года –  452,3</w:t>
      </w:r>
      <w:r w:rsidR="00F95391"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AD08E2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202</w:t>
      </w:r>
      <w:r w:rsidR="00AD08E2"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AD08E2"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541,6</w:t>
      </w: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полугодие  202</w:t>
      </w:r>
      <w:r w:rsidR="00AD08E2"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составила  </w:t>
      </w:r>
      <w:r w:rsidR="00AD08E2"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>17,2</w:t>
      </w:r>
      <w:r w:rsidRPr="00AD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расходов. Наблюдается  увеличение  расходов на оплату труда работников органа местного самоуправления  за 1 полугодие  202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89,3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F95391" w:rsidRPr="006C365E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F95391" w:rsidRPr="006C365E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июля 202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1 (в т. ч. финансируемых за счет собственных доходов  – 1), на 01 июля  202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 (в т. ч. финансируемых за счет собственных доходов –1).</w:t>
      </w:r>
    </w:p>
    <w:p w:rsidR="00F95391" w:rsidRPr="006C365E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июля 202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6 шт. единиц, на 01 июля 202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6 шт. единиц. Штатная численность работников муниципальных учреждений поселения на 01.07.202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в сравнении с 01.07.2021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остается без изменений.</w:t>
      </w:r>
    </w:p>
    <w:p w:rsidR="00F95391" w:rsidRPr="006C365E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F95391" w:rsidRPr="006C365E" w:rsidRDefault="006C365E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2021 года –  757,0 тыс. рублей</w:t>
      </w:r>
      <w:r w:rsidR="00F95391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391" w:rsidRPr="006C365E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202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728,6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95391" w:rsidRPr="006C365E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1 полугодие  202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23,2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F95391" w:rsidRPr="006C365E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у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на оплату труда работников муниципальных учреждений  на 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28,4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</w:t>
      </w:r>
      <w:r w:rsidR="006C365E" w:rsidRPr="006C3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391" w:rsidRPr="006C365E" w:rsidRDefault="00F95391" w:rsidP="00F953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5391" w:rsidRPr="006C365E" w:rsidRDefault="00F95391" w:rsidP="00F953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F95391" w:rsidRPr="00F95391" w:rsidRDefault="00F95391" w:rsidP="00F953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95391" w:rsidRPr="006C365E" w:rsidRDefault="00F95391" w:rsidP="006C365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391">
        <w:rPr>
          <w:rFonts w:asciiTheme="majorHAnsi" w:eastAsia="Times New Roman" w:hAnsiTheme="majorHAnsi" w:cstheme="majorBidi"/>
          <w:b/>
          <w:bCs/>
          <w:color w:val="FF0000"/>
          <w:sz w:val="28"/>
          <w:szCs w:val="28"/>
          <w:lang w:eastAsia="ru-RU"/>
        </w:rPr>
        <w:t xml:space="preserve">       </w:t>
      </w:r>
      <w:r w:rsidR="006C365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поселения на 2022  год принят без дефицита. </w:t>
      </w:r>
      <w:r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 решение «О бюджете поселения на 202</w:t>
      </w:r>
      <w:r w:rsidR="002305D2"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2305D2"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2305D2"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в 1 полугодии 202</w:t>
      </w:r>
      <w:r w:rsidR="002305D2"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вносились 1 раз </w:t>
      </w:r>
      <w:r w:rsidRPr="0023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поселения Туровецкое  от </w:t>
      </w:r>
      <w:r w:rsidR="002305D2" w:rsidRPr="002305D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305D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2305D2" w:rsidRPr="002305D2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№107</w:t>
      </w:r>
      <w:r w:rsidRPr="00230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Уточненный бюджет поселения принят также  без дефицита (профицита).      </w:t>
      </w:r>
    </w:p>
    <w:p w:rsidR="00F95391" w:rsidRPr="002305D2" w:rsidRDefault="00F95391" w:rsidP="00F95391">
      <w:pPr>
        <w:keepNext/>
        <w:keepLines/>
        <w:spacing w:before="480" w:after="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Бюджет поселения за 1 полугодие 202</w:t>
      </w:r>
      <w:r w:rsidR="002305D2"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исполнен с профицитом  в сумме </w:t>
      </w:r>
      <w:r w:rsidR="002305D2"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373,9</w:t>
      </w:r>
      <w:r w:rsidRPr="0023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тыс. рублей. </w:t>
      </w:r>
    </w:p>
    <w:p w:rsidR="00F95391" w:rsidRPr="00F95391" w:rsidRDefault="00F95391" w:rsidP="00F95391">
      <w:pPr>
        <w:keepNext/>
        <w:keepLines/>
        <w:spacing w:before="480" w:after="0"/>
        <w:contextualSpacing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F95391" w:rsidRPr="002305D2" w:rsidRDefault="00F95391" w:rsidP="00F9539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5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F95391" w:rsidRPr="00F95391" w:rsidRDefault="00F95391" w:rsidP="00F9539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2305D2" w:rsidRPr="0031577E" w:rsidRDefault="002305D2" w:rsidP="002305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Туровецкое от 23 декабря 2021 года №97 установлен верхний предел муниципального внутреннего долга поселения по состоянию на 1 января 2023 года в сумме 0,0 тыс. рублей.</w:t>
      </w:r>
    </w:p>
    <w:p w:rsidR="002305D2" w:rsidRPr="0031577E" w:rsidRDefault="002305D2" w:rsidP="002305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2305D2" w:rsidRDefault="002305D2" w:rsidP="002305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2022 году не запланировано.</w:t>
      </w:r>
    </w:p>
    <w:p w:rsidR="002305D2" w:rsidRPr="0031577E" w:rsidRDefault="002305D2" w:rsidP="002305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</w:p>
    <w:p w:rsidR="00F95391" w:rsidRPr="00F95391" w:rsidRDefault="00F95391" w:rsidP="00F95391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F95391" w:rsidRPr="001C32E4" w:rsidRDefault="00F95391" w:rsidP="00F9539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C32E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1C32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F95391" w:rsidRPr="00F95391" w:rsidRDefault="00F95391" w:rsidP="00F9539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5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9539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proofErr w:type="gramStart"/>
      <w:r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202</w:t>
      </w:r>
      <w:r w:rsidR="001C32E4"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1C32E4"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78,9</w:t>
      </w:r>
      <w:r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- 00,0 тыс. рублей),  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 июля  202</w:t>
      </w:r>
      <w:r w:rsidR="001C32E4"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1C32E4"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114,3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-</w:t>
      </w:r>
      <w:r w:rsidR="001C32E4"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рублей),   </w:t>
      </w:r>
      <w:r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 января 202</w:t>
      </w:r>
      <w:r w:rsidR="001C32E4"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</w:t>
      </w:r>
      <w:r w:rsidR="001C32E4"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 июля 202</w:t>
      </w:r>
      <w:r w:rsidR="001C32E4"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1C32E4"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F95391" w:rsidRPr="001C32E4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9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32E4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2022 года по сравнению с началом прошлого года уве</w:t>
      </w:r>
      <w:r w:rsidR="001C32E4"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личилась на 41,9 тыс. рублей, или на 53,1%. </w:t>
      </w:r>
      <w:r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поселения за 1 полугодие  текущего года объем кредиторской задолженности увеличился на </w:t>
      </w:r>
      <w:r w:rsidR="001C32E4"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20,9</w:t>
      </w:r>
      <w:r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составил – </w:t>
      </w:r>
      <w:r w:rsidR="001C32E4"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</w:t>
      </w:r>
      <w:r w:rsidRPr="001C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задолженность  отсутствует, в том числе: </w:t>
      </w:r>
    </w:p>
    <w:p w:rsidR="00F95391" w:rsidRPr="001C32E4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32E4"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связь перед ПАО «Ростелеком» 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C32E4"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1C32E4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32E4"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ТКО перед ООО «Аквалайн»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1C32E4"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805796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796" w:rsidRPr="008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техническое обслуживание автомобиля перед ОАО «Авто Стандарт»</w:t>
      </w:r>
      <w:r w:rsidRPr="008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05796" w:rsidRPr="00805796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8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5391" w:rsidRPr="001C32E4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данным ИФНС России №1 по </w:t>
      </w:r>
      <w:proofErr w:type="gramStart"/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(налоги) – </w:t>
      </w:r>
      <w:r w:rsidR="001C32E4"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>83,2</w:t>
      </w:r>
      <w:r w:rsidRPr="001C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95391" w:rsidRPr="00F95391" w:rsidRDefault="00BB79FC" w:rsidP="002C5759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2021 года  составил 26,6  тыс. рублей (в том числе просроченной – 0,0 тыс. рублей) на 01 января 2022 года 48,6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36,8 тыс. рублей)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По сравнению с отчетным периодом прошлого года дебиторская задолженность увеличилась   </w:t>
      </w:r>
      <w:r w:rsidRPr="00BB79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22,0 тыс. рублей, или на 82,8%.</w:t>
      </w:r>
      <w:r w:rsidRPr="00BB79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F95391" w:rsidRPr="00BB79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 на 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июня  202</w:t>
      </w:r>
      <w:r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</w:t>
      </w:r>
      <w:r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12316,5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01 июня 202</w:t>
      </w:r>
      <w:r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</w:t>
      </w:r>
      <w:r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12903,1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то есть увеличилась на </w:t>
      </w:r>
      <w:r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586,6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</w:t>
      </w:r>
      <w:r w:rsidR="006E2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  <w:proofErr w:type="gramStart"/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Сумма дебиторская задолженность является  начислениями безвозмездных поступлений от других бюджетов бюджетной системы РФ на 202</w:t>
      </w:r>
      <w:r w:rsidR="007D36B8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D36B8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7D36B8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в сумме </w:t>
      </w:r>
      <w:r w:rsidR="007D36B8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12821,5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тыс. рублей, задолженность по налогам (данные налоговой инспекции) в сумме </w:t>
      </w:r>
      <w:r w:rsidR="007D36B8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17,0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предоплата  за электроэнергию ООО «ССК» </w:t>
      </w:r>
      <w:r w:rsidR="007D36B8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ОА «Вологдаэнерго» 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D36B8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59,8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7D36B8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предоплата за подписку УФПС «Почта России» - </w:t>
      </w:r>
      <w:r w:rsidR="007D36B8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="00F95391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4A5F0F" w:rsidRDefault="00F95391" w:rsidP="00F9539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4A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391" w:rsidRPr="00F95391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5F0F" w:rsidRPr="00717F99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A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 реш</w:t>
      </w:r>
      <w:r w:rsidR="004A5F0F" w:rsidRPr="004A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«О бюджете поселения на 2022</w:t>
      </w:r>
      <w:r w:rsidRPr="004A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4A5F0F" w:rsidRPr="004A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A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4A5F0F" w:rsidRPr="004A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A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в 1 полугодии 202</w:t>
      </w:r>
      <w:r w:rsidR="004A5F0F" w:rsidRPr="004A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вносились 1 раз </w:t>
      </w:r>
      <w:r w:rsidR="004A5F0F" w:rsidRPr="004A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4A5F0F"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 Туровецкое  от 04.05.2022 года №107.</w:t>
      </w:r>
    </w:p>
    <w:p w:rsidR="00F95391" w:rsidRPr="00A975F8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1 полугодие 202</w:t>
      </w:r>
      <w:r w:rsidR="00717F99"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717F99"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>3141,4</w:t>
      </w:r>
      <w:r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17F99"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17F99"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717F99"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>150,3</w:t>
      </w:r>
      <w:r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7F99" w:rsidRPr="00717F99">
        <w:rPr>
          <w:rFonts w:ascii="Times New Roman" w:eastAsia="Times New Roman" w:hAnsi="Times New Roman" w:cs="Times New Roman"/>
          <w:sz w:val="28"/>
          <w:szCs w:val="28"/>
          <w:lang w:eastAsia="ru-RU"/>
        </w:rPr>
        <w:t>38,</w:t>
      </w:r>
      <w:r w:rsidR="00717F99"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717F99"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>2991,1</w:t>
      </w:r>
      <w:r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17F99"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F95391" w:rsidRPr="00A975F8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является налог на доходы физических лиц,   земельный налог,</w:t>
      </w:r>
      <w:r w:rsidR="00717F99"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имущество</w:t>
      </w:r>
      <w:r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75F8"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</w:t>
      </w:r>
      <w:r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доля которых в объеме налоговых и неналоговых доходов бюджета поселения составила </w:t>
      </w:r>
      <w:r w:rsidR="00A975F8"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>88,5</w:t>
      </w:r>
      <w:r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F95391" w:rsidRPr="00A975F8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A975F8"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A975F8"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>95,2</w:t>
      </w:r>
      <w:r w:rsidRPr="00A9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F95391" w:rsidRPr="00732D5A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732D5A"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2767,5</w:t>
      </w: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732D5A"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47,0</w:t>
      </w: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732D5A"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F95391" w:rsidRPr="00732D5A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социальную сферу направлено </w:t>
      </w:r>
      <w:r w:rsidR="00732D5A"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959,4</w:t>
      </w: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32D5A"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54,9</w:t>
      </w: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Не производилось финансирование расходов по разделам  «</w:t>
      </w:r>
      <w:r w:rsidR="00732D5A"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«Образование».</w:t>
      </w:r>
    </w:p>
    <w:p w:rsidR="00732D5A" w:rsidRPr="00C34414" w:rsidRDefault="00732D5A" w:rsidP="00732D5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4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 разделам классификации, кроме  расходов по разделам «Национальная оборона», «Социальная политика» и «Физическая культура и спорт» уровень исполнения к годовым назначениям ниже  50,0 процентов.</w:t>
      </w:r>
    </w:p>
    <w:p w:rsidR="00732D5A" w:rsidRPr="00374536" w:rsidRDefault="00F95391" w:rsidP="00732D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При  сравнении задолженности по  налоговым платежам  по состоянию </w:t>
      </w:r>
      <w:r w:rsidR="00732D5A"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01.07.2021 года  также снижение  на 11,1 тыс. рублей, или на 96,5 %, в том </w:t>
      </w:r>
      <w:r w:rsidR="00732D5A"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 разрезе налоговых источников:</w:t>
      </w:r>
    </w:p>
    <w:p w:rsidR="00732D5A" w:rsidRPr="00374536" w:rsidRDefault="00732D5A" w:rsidP="00732D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 НДФЛ  на 1,0 тыс. рублей, или, в 3,5 раза;</w:t>
      </w:r>
    </w:p>
    <w:p w:rsidR="00732D5A" w:rsidRPr="00374536" w:rsidRDefault="00732D5A" w:rsidP="00732D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 налогу на имущество физических лиц  на 8,1 тыс. рублей, или  в 2,7 раза;</w:t>
      </w:r>
    </w:p>
    <w:p w:rsidR="00732D5A" w:rsidRPr="00374536" w:rsidRDefault="00732D5A" w:rsidP="00732D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 на  2,0 тыс. рублей, или на 44,4 процента.</w:t>
      </w:r>
    </w:p>
    <w:p w:rsidR="00732D5A" w:rsidRPr="00732D5A" w:rsidRDefault="00732D5A" w:rsidP="0073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01.07.2022 года следует, что наибольший удельный вес в структуре недоимки по платежам  составляет налог на имущество  физических лиц – 57,4  % от общей суммы недоимки, на втором месте  задолженность по земельному налогу – 39,1 процента, на третьем  и </w:t>
      </w: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последнем месте – задолженность по НДФЛ – 3,5  процента.</w:t>
      </w:r>
    </w:p>
    <w:p w:rsidR="00F95391" w:rsidRPr="00732D5A" w:rsidRDefault="00F95391" w:rsidP="00732D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За 1 полугодие  202</w:t>
      </w:r>
      <w:r w:rsidR="00732D5A"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профицитом  в сумме  </w:t>
      </w:r>
      <w:r w:rsidR="00732D5A"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>373,9</w:t>
      </w:r>
      <w:r w:rsidRPr="007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9D5823" w:rsidRPr="009D5823" w:rsidRDefault="00F95391" w:rsidP="009D582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5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9D5823" w:rsidRPr="009D5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поселения за 1 полугодие  текущего года объем кредиторской задолженности увеличился на 20,9 тыс. рублей и  составил – 99,9 тыс. рублей, просроченная задолженность  отсутствует, в том числе: </w:t>
      </w:r>
    </w:p>
    <w:p w:rsidR="009D5823" w:rsidRPr="009D5823" w:rsidRDefault="009D5823" w:rsidP="009D582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5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связь перед ПАО «Ростелеком»  – 4,7 тыс. рублей;</w:t>
      </w:r>
    </w:p>
    <w:p w:rsidR="009D5823" w:rsidRPr="009D5823" w:rsidRDefault="009D5823" w:rsidP="009D582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5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ТКО перед ООО «Аквалайн»  – 0,3 тыс. рублей;</w:t>
      </w:r>
    </w:p>
    <w:p w:rsidR="009D5823" w:rsidRPr="009D5823" w:rsidRDefault="009D5823" w:rsidP="009D582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5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техническое обслуживание автомобиля перед ОАО «Авто Стандарт» – 11,7 тыс. рублей;</w:t>
      </w:r>
    </w:p>
    <w:p w:rsidR="009D5823" w:rsidRPr="009D5823" w:rsidRDefault="009D5823" w:rsidP="009D582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5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данным ИФНС России №1 по </w:t>
      </w:r>
      <w:proofErr w:type="gramStart"/>
      <w:r w:rsidRPr="009D5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proofErr w:type="gramEnd"/>
      <w:r w:rsidRPr="009D5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(налоги) – 83,2 тыс. рублей.</w:t>
      </w:r>
    </w:p>
    <w:p w:rsidR="009D5823" w:rsidRPr="00F95391" w:rsidRDefault="00F95391" w:rsidP="009D5823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D582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D5823" w:rsidRPr="009D582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r w:rsidRPr="009D5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9D582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="009D5823" w:rsidRPr="00BB79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 на </w:t>
      </w:r>
      <w:r w:rsidR="009D5823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июня  2021 года составила 12316,5 тыс. рублей,  на 01 июня 2022 года составила 12903,1  тыс. рублей, то есть увеличилась на 586,6 тыс. рублей, или</w:t>
      </w:r>
      <w:r w:rsidR="009D5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5823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4,8 процента. </w:t>
      </w:r>
      <w:proofErr w:type="gramStart"/>
      <w:r w:rsidR="009D5823" w:rsidRPr="007D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Сумма дебиторская задолженность является  начислениями безвозмездных поступлений от других бюджетов бюджетной системы РФ на 2022 год и плановый период 2023-2024 годов в сумме 12821,5 тыс. рублей, задолженность по налогам (данные налоговой инспекции) в сумме 17,0 тыс. рублей, предоплата  за электроэнергию ООО «ССК»  и ОА «Вологдаэнерго» - 59,8 тыс. рублей,  предоплата за подписку УФПС «Почта России» - 4,8 тыс. рублей.</w:t>
      </w:r>
      <w:proofErr w:type="gramEnd"/>
    </w:p>
    <w:p w:rsidR="00F95391" w:rsidRPr="00F95391" w:rsidRDefault="00F95391" w:rsidP="009D582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95391" w:rsidRPr="00440D8C" w:rsidRDefault="00F95391" w:rsidP="00F953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F95391" w:rsidRPr="00440D8C" w:rsidRDefault="00F95391" w:rsidP="00F95391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0D8C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440D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 целях пополнения доходной части  бюджета поселения  рекомендуем </w:t>
      </w:r>
      <w:r w:rsidR="00440D8C" w:rsidRPr="00440D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допускать роста </w:t>
      </w:r>
      <w:r w:rsidRPr="00440D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задолженности по налоговым доходам. </w:t>
      </w:r>
    </w:p>
    <w:p w:rsidR="00F95391" w:rsidRPr="00440D8C" w:rsidRDefault="00F95391" w:rsidP="00F95391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0D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2. Принять все необходимые меры к недопущению  роста просроченной  кредиторской задолженности.    </w:t>
      </w:r>
    </w:p>
    <w:p w:rsidR="00F95391" w:rsidRPr="00440D8C" w:rsidRDefault="00F95391" w:rsidP="00F95391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391" w:rsidRPr="00440D8C" w:rsidRDefault="00F95391" w:rsidP="00F95391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391" w:rsidRPr="00440D8C" w:rsidRDefault="00F95391" w:rsidP="00F953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0D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F95391" w:rsidRPr="00440D8C" w:rsidRDefault="00F95391" w:rsidP="00F953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0D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                       </w:t>
      </w:r>
      <w:r w:rsidRPr="00440D8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</w:t>
      </w:r>
      <w:r w:rsidRPr="00440D8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М.И. Шестакова</w:t>
      </w: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391" w:rsidRPr="00F95391" w:rsidRDefault="00F95391" w:rsidP="00F95391">
      <w:pPr>
        <w:rPr>
          <w:color w:val="FF0000"/>
        </w:rPr>
      </w:pPr>
    </w:p>
    <w:p w:rsidR="00F95391" w:rsidRPr="00F95391" w:rsidRDefault="00F95391" w:rsidP="00F95391">
      <w:pPr>
        <w:rPr>
          <w:color w:val="FF0000"/>
        </w:rPr>
      </w:pPr>
    </w:p>
    <w:p w:rsidR="00932086" w:rsidRPr="00F95391" w:rsidRDefault="00932086">
      <w:pPr>
        <w:rPr>
          <w:color w:val="FF0000"/>
        </w:rPr>
      </w:pPr>
    </w:p>
    <w:sectPr w:rsidR="00932086" w:rsidRPr="00F95391" w:rsidSect="007968C5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0B" w:rsidRDefault="00627D0B">
      <w:pPr>
        <w:spacing w:after="0" w:line="240" w:lineRule="auto"/>
      </w:pPr>
      <w:r>
        <w:separator/>
      </w:r>
    </w:p>
  </w:endnote>
  <w:endnote w:type="continuationSeparator" w:id="0">
    <w:p w:rsidR="00627D0B" w:rsidRDefault="0062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0B" w:rsidRDefault="00627D0B">
      <w:pPr>
        <w:spacing w:after="0" w:line="240" w:lineRule="auto"/>
      </w:pPr>
      <w:r>
        <w:separator/>
      </w:r>
    </w:p>
  </w:footnote>
  <w:footnote w:type="continuationSeparator" w:id="0">
    <w:p w:rsidR="00627D0B" w:rsidRDefault="0062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59" w:rsidRDefault="002C5759" w:rsidP="007968C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C5759" w:rsidRDefault="002C57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59" w:rsidRDefault="002C5759" w:rsidP="007968C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4E4F">
      <w:rPr>
        <w:rStyle w:val="a8"/>
        <w:noProof/>
      </w:rPr>
      <w:t>17</w:t>
    </w:r>
    <w:r>
      <w:rPr>
        <w:rStyle w:val="a8"/>
      </w:rPr>
      <w:fldChar w:fldCharType="end"/>
    </w:r>
  </w:p>
  <w:p w:rsidR="002C5759" w:rsidRDefault="002C57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CE"/>
    <w:rsid w:val="0001497C"/>
    <w:rsid w:val="00041931"/>
    <w:rsid w:val="00093C92"/>
    <w:rsid w:val="000B1B3B"/>
    <w:rsid w:val="001A7C85"/>
    <w:rsid w:val="001C32E4"/>
    <w:rsid w:val="001D47D8"/>
    <w:rsid w:val="002305D2"/>
    <w:rsid w:val="00231EB1"/>
    <w:rsid w:val="0024764A"/>
    <w:rsid w:val="00260ECD"/>
    <w:rsid w:val="00263F49"/>
    <w:rsid w:val="00266BCA"/>
    <w:rsid w:val="00277CAC"/>
    <w:rsid w:val="00292E7B"/>
    <w:rsid w:val="002C5759"/>
    <w:rsid w:val="00312457"/>
    <w:rsid w:val="003414C4"/>
    <w:rsid w:val="00363397"/>
    <w:rsid w:val="00367427"/>
    <w:rsid w:val="00374536"/>
    <w:rsid w:val="00440D8C"/>
    <w:rsid w:val="00450B0D"/>
    <w:rsid w:val="004A5F0F"/>
    <w:rsid w:val="004C1798"/>
    <w:rsid w:val="004D6EF7"/>
    <w:rsid w:val="004F1278"/>
    <w:rsid w:val="005E4E4F"/>
    <w:rsid w:val="00603CEA"/>
    <w:rsid w:val="00627D0B"/>
    <w:rsid w:val="006A4BEE"/>
    <w:rsid w:val="006C365E"/>
    <w:rsid w:val="006E2D51"/>
    <w:rsid w:val="00707C72"/>
    <w:rsid w:val="00717F99"/>
    <w:rsid w:val="00732D5A"/>
    <w:rsid w:val="00791F7C"/>
    <w:rsid w:val="007968C5"/>
    <w:rsid w:val="007A3BAD"/>
    <w:rsid w:val="007D36B8"/>
    <w:rsid w:val="007F34B7"/>
    <w:rsid w:val="00805796"/>
    <w:rsid w:val="0080664A"/>
    <w:rsid w:val="00820075"/>
    <w:rsid w:val="008653F4"/>
    <w:rsid w:val="00932086"/>
    <w:rsid w:val="00940727"/>
    <w:rsid w:val="00954316"/>
    <w:rsid w:val="0097036E"/>
    <w:rsid w:val="009C056C"/>
    <w:rsid w:val="009D5823"/>
    <w:rsid w:val="00A26AF4"/>
    <w:rsid w:val="00A30D2C"/>
    <w:rsid w:val="00A47F82"/>
    <w:rsid w:val="00A92442"/>
    <w:rsid w:val="00A963FD"/>
    <w:rsid w:val="00A975F8"/>
    <w:rsid w:val="00AA7AB2"/>
    <w:rsid w:val="00AD08E2"/>
    <w:rsid w:val="00B64E4D"/>
    <w:rsid w:val="00BA4992"/>
    <w:rsid w:val="00BB79FC"/>
    <w:rsid w:val="00BD587B"/>
    <w:rsid w:val="00C22441"/>
    <w:rsid w:val="00C34414"/>
    <w:rsid w:val="00C445E8"/>
    <w:rsid w:val="00D0028C"/>
    <w:rsid w:val="00DC7FB9"/>
    <w:rsid w:val="00E0707B"/>
    <w:rsid w:val="00E51EBB"/>
    <w:rsid w:val="00E64171"/>
    <w:rsid w:val="00E941F5"/>
    <w:rsid w:val="00F53ACE"/>
    <w:rsid w:val="00F95391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95391"/>
  </w:style>
  <w:style w:type="table" w:styleId="a3">
    <w:name w:val="Table Grid"/>
    <w:basedOn w:val="a1"/>
    <w:rsid w:val="00F95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95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9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95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9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953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5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F95391"/>
  </w:style>
  <w:style w:type="paragraph" w:customStyle="1" w:styleId="ConsPlusTitle">
    <w:name w:val="ConsPlusTitle"/>
    <w:rsid w:val="00F95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F953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9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F953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2"/>
    <w:rsid w:val="00F9539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53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953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F9539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95391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95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95391"/>
  </w:style>
  <w:style w:type="table" w:styleId="a3">
    <w:name w:val="Table Grid"/>
    <w:basedOn w:val="a1"/>
    <w:rsid w:val="00F95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95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9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95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9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953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5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F95391"/>
  </w:style>
  <w:style w:type="paragraph" w:customStyle="1" w:styleId="ConsPlusTitle">
    <w:name w:val="ConsPlusTitle"/>
    <w:rsid w:val="00F95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F953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9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F953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2"/>
    <w:rsid w:val="00F9539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53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953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F9539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95391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95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Лист1!$B$187</c:f>
              <c:strCache>
                <c:ptCount val="1"/>
                <c:pt idx="0">
                  <c:v>за 6 месяцев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Лист1!$A$188:$A$193</c:f>
              <c:strCache>
                <c:ptCount val="6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имущества поселения</c:v>
                </c:pt>
                <c:pt idx="5">
                  <c:v>Возмещение ущерба при возникновении страховых случаев</c:v>
                </c:pt>
              </c:strCache>
            </c:strRef>
          </c:cat>
          <c:val>
            <c:numRef>
              <c:f>Лист1!$B$188:$B$193</c:f>
              <c:numCache>
                <c:formatCode>General</c:formatCode>
                <c:ptCount val="6"/>
                <c:pt idx="0">
                  <c:v>86.2</c:v>
                </c:pt>
                <c:pt idx="1">
                  <c:v>17.5</c:v>
                </c:pt>
                <c:pt idx="2">
                  <c:v>29.4</c:v>
                </c:pt>
                <c:pt idx="3">
                  <c:v>0.8</c:v>
                </c:pt>
                <c:pt idx="4">
                  <c:v>16.399999999999999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Лист1!$C$187</c:f>
              <c:strCache>
                <c:ptCount val="1"/>
                <c:pt idx="0">
                  <c:v>за 6  месяцев  2021 года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Лист1!$A$188:$A$193</c:f>
              <c:strCache>
                <c:ptCount val="6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имущества поселения</c:v>
                </c:pt>
                <c:pt idx="5">
                  <c:v>Возмещение ущерба при возникновении страховых случаев</c:v>
                </c:pt>
              </c:strCache>
            </c:strRef>
          </c:cat>
          <c:val>
            <c:numRef>
              <c:f>Лист1!$C$188:$C$193</c:f>
              <c:numCache>
                <c:formatCode>General</c:formatCode>
                <c:ptCount val="6"/>
                <c:pt idx="0">
                  <c:v>87.4</c:v>
                </c:pt>
                <c:pt idx="1">
                  <c:v>1.6</c:v>
                </c:pt>
                <c:pt idx="2">
                  <c:v>46.7</c:v>
                </c:pt>
                <c:pt idx="3">
                  <c:v>1.9</c:v>
                </c:pt>
                <c:pt idx="4">
                  <c:v>0</c:v>
                </c:pt>
                <c:pt idx="5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4849920"/>
        <c:axId val="224851456"/>
        <c:axId val="0"/>
      </c:bar3DChart>
      <c:catAx>
        <c:axId val="224849920"/>
        <c:scaling>
          <c:orientation val="minMax"/>
        </c:scaling>
        <c:delete val="0"/>
        <c:axPos val="l"/>
        <c:majorTickMark val="out"/>
        <c:minorTickMark val="none"/>
        <c:tickLblPos val="nextTo"/>
        <c:crossAx val="224851456"/>
        <c:crosses val="autoZero"/>
        <c:auto val="1"/>
        <c:lblAlgn val="ctr"/>
        <c:lblOffset val="100"/>
        <c:noMultiLvlLbl val="0"/>
      </c:catAx>
      <c:valAx>
        <c:axId val="224851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484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470071735538546E-2"/>
          <c:y val="3.8956209421190775E-2"/>
          <c:w val="0.86093079024462604"/>
          <c:h val="0.485627296587926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Лист1!$B$199</c:f>
              <c:strCache>
                <c:ptCount val="1"/>
                <c:pt idx="0">
                  <c:v>за 6 месяцев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Лист1!$A$200:$A$204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 поступления</c:v>
                </c:pt>
              </c:strCache>
            </c:strRef>
          </c:cat>
          <c:val>
            <c:numRef>
              <c:f>Лист1!$B$200:$B$204</c:f>
              <c:numCache>
                <c:formatCode>General</c:formatCode>
                <c:ptCount val="5"/>
                <c:pt idx="0">
                  <c:v>1666.1</c:v>
                </c:pt>
                <c:pt idx="1">
                  <c:v>471.8</c:v>
                </c:pt>
                <c:pt idx="2">
                  <c:v>53.5</c:v>
                </c:pt>
                <c:pt idx="3">
                  <c:v>741.2</c:v>
                </c:pt>
                <c:pt idx="4">
                  <c:v>58.5</c:v>
                </c:pt>
              </c:numCache>
            </c:numRef>
          </c:val>
        </c:ser>
        <c:ser>
          <c:idx val="1"/>
          <c:order val="1"/>
          <c:tx>
            <c:strRef>
              <c:f>Лист1!$C$199</c:f>
              <c:strCache>
                <c:ptCount val="1"/>
                <c:pt idx="0">
                  <c:v>за 6 месяцев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Лист1!$A$200:$A$204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 поступления</c:v>
                </c:pt>
              </c:strCache>
            </c:strRef>
          </c:cat>
          <c:val>
            <c:numRef>
              <c:f>Лист1!$C$200:$C$204</c:f>
              <c:numCache>
                <c:formatCode>General</c:formatCode>
                <c:ptCount val="5"/>
                <c:pt idx="0">
                  <c:v>1375.6</c:v>
                </c:pt>
                <c:pt idx="1">
                  <c:v>273.2</c:v>
                </c:pt>
                <c:pt idx="2">
                  <c:v>52.2</c:v>
                </c:pt>
                <c:pt idx="3">
                  <c:v>706</c:v>
                </c:pt>
                <c:pt idx="4">
                  <c:v>22.5</c:v>
                </c:pt>
              </c:numCache>
            </c:numRef>
          </c:val>
        </c:ser>
        <c:ser>
          <c:idx val="2"/>
          <c:order val="2"/>
          <c:tx>
            <c:strRef>
              <c:f>Лист1!$D$199</c:f>
              <c:strCache>
                <c:ptCount val="1"/>
              </c:strCache>
            </c:strRef>
          </c:tx>
          <c:invertIfNegative val="0"/>
          <c:cat>
            <c:strRef>
              <c:f>Лист1!$A$200:$A$204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 поступления</c:v>
                </c:pt>
              </c:strCache>
            </c:strRef>
          </c:cat>
          <c:val>
            <c:numRef>
              <c:f>Лист1!$D$200:$D$204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5026048"/>
        <c:axId val="225027584"/>
        <c:axId val="0"/>
      </c:bar3DChart>
      <c:catAx>
        <c:axId val="225026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25027584"/>
        <c:crosses val="autoZero"/>
        <c:auto val="1"/>
        <c:lblAlgn val="ctr"/>
        <c:lblOffset val="100"/>
        <c:noMultiLvlLbl val="0"/>
      </c:catAx>
      <c:valAx>
        <c:axId val="22502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02604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647629760565644"/>
          <c:y val="0.7767564580743197"/>
          <c:w val="0.23523702394343565"/>
          <c:h val="0.137714877745544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31021603068842"/>
          <c:y val="0.12698412698412698"/>
          <c:w val="0.31222668079951543"/>
          <c:h val="0.7138757655293088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Лист1!$B$229</c:f>
              <c:strCache>
                <c:ptCount val="1"/>
                <c:pt idx="0">
                  <c:v>за 6 месяцев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Лист1!$A$230:$A$237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Лист1!$B$230:$B$237</c:f>
              <c:numCache>
                <c:formatCode>General</c:formatCode>
                <c:ptCount val="8"/>
                <c:pt idx="0">
                  <c:v>1366.4</c:v>
                </c:pt>
                <c:pt idx="1">
                  <c:v>53.5</c:v>
                </c:pt>
                <c:pt idx="2">
                  <c:v>0</c:v>
                </c:pt>
                <c:pt idx="3">
                  <c:v>32</c:v>
                </c:pt>
                <c:pt idx="4">
                  <c:v>356.2</c:v>
                </c:pt>
                <c:pt idx="5">
                  <c:v>0</c:v>
                </c:pt>
                <c:pt idx="6">
                  <c:v>82.6</c:v>
                </c:pt>
                <c:pt idx="7">
                  <c:v>876.8</c:v>
                </c:pt>
              </c:numCache>
            </c:numRef>
          </c:val>
        </c:ser>
        <c:ser>
          <c:idx val="1"/>
          <c:order val="1"/>
          <c:tx>
            <c:strRef>
              <c:f>Лист1!$C$229</c:f>
              <c:strCache>
                <c:ptCount val="1"/>
                <c:pt idx="0">
                  <c:v>за 6 месяцев 2021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2500000000000003E-3"/>
                  <c:y val="-1.8099547511312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Лист1!$A$230:$A$237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Лист1!$C$230:$C$237</c:f>
              <c:numCache>
                <c:formatCode>General</c:formatCode>
                <c:ptCount val="8"/>
                <c:pt idx="0">
                  <c:v>1123.0999999999999</c:v>
                </c:pt>
                <c:pt idx="1">
                  <c:v>52.2</c:v>
                </c:pt>
                <c:pt idx="2">
                  <c:v>0.5</c:v>
                </c:pt>
                <c:pt idx="3">
                  <c:v>48</c:v>
                </c:pt>
                <c:pt idx="4">
                  <c:v>294.7</c:v>
                </c:pt>
                <c:pt idx="5">
                  <c:v>0</c:v>
                </c:pt>
                <c:pt idx="6">
                  <c:v>82.6</c:v>
                </c:pt>
                <c:pt idx="7">
                  <c:v>859.1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4873856"/>
        <c:axId val="224887936"/>
        <c:axId val="0"/>
      </c:bar3DChart>
      <c:catAx>
        <c:axId val="224873856"/>
        <c:scaling>
          <c:orientation val="minMax"/>
        </c:scaling>
        <c:delete val="0"/>
        <c:axPos val="l"/>
        <c:majorTickMark val="out"/>
        <c:minorTickMark val="none"/>
        <c:tickLblPos val="nextTo"/>
        <c:crossAx val="224887936"/>
        <c:crosses val="autoZero"/>
        <c:auto val="1"/>
        <c:lblAlgn val="ctr"/>
        <c:lblOffset val="100"/>
        <c:noMultiLvlLbl val="0"/>
      </c:catAx>
      <c:valAx>
        <c:axId val="224887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4873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3148148148148147E-3"/>
          <c:w val="1"/>
          <c:h val="0.9606815545814285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</a:t>
                    </a:r>
                    <a:r>
                      <a:rPr lang="ru-RU" baseline="0"/>
                      <a:t> 49,4%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442001405925685E-2"/>
                  <c:y val="-0.126615149850454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оборона"1,9%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4018021111847001"/>
                  <c:y val="6.2542521167904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1,5%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12,9%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7570036312814306E-2"/>
                  <c:y val="0.1600615271928218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"Образование"</a:t>
                    </a:r>
                    <a:r>
                      <a:rPr lang="en-US"/>
                      <a:t>0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935315328574583E-3"/>
                  <c:y val="-7.61239873264429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"Социальная политика"</a:t>
                    </a:r>
                    <a:r>
                      <a:rPr lang="ru-RU" baseline="0"/>
                      <a:t> 3,0%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31,6%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 28,4%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Лист1!$B$268:$B$275</c:f>
              <c:numCache>
                <c:formatCode>General</c:formatCode>
                <c:ptCount val="8"/>
                <c:pt idx="0">
                  <c:v>49.4</c:v>
                </c:pt>
                <c:pt idx="1">
                  <c:v>1.9</c:v>
                </c:pt>
                <c:pt idx="2">
                  <c:v>0</c:v>
                </c:pt>
                <c:pt idx="3">
                  <c:v>1.2</c:v>
                </c:pt>
                <c:pt idx="4">
                  <c:v>12.9</c:v>
                </c:pt>
                <c:pt idx="5">
                  <c:v>0</c:v>
                </c:pt>
                <c:pt idx="6">
                  <c:v>3</c:v>
                </c:pt>
                <c:pt idx="7">
                  <c:v>31.6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17A5-A686-406F-8010-025CDBA4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4784</Words>
  <Characters>27271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2022-08-18T08:52:00Z</cp:lastPrinted>
  <dcterms:created xsi:type="dcterms:W3CDTF">2022-08-19T10:56:00Z</dcterms:created>
  <dcterms:modified xsi:type="dcterms:W3CDTF">2022-08-19T10:56:00Z</dcterms:modified>
</cp:coreProperties>
</file>