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B581C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DCE5AB" wp14:editId="7063D21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581C" w:rsidRPr="001B581C" w:rsidRDefault="001B581C" w:rsidP="001B581C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B581C" w:rsidRPr="001B581C" w:rsidRDefault="001B581C" w:rsidP="001B581C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Туровецкое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1B581C" w:rsidRPr="001B581C" w:rsidRDefault="001B581C" w:rsidP="001B581C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"2</w:t>
      </w:r>
      <w:r w:rsid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Шуйское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положения.........................................................................................2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годы……………………………………………….2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год……………………………….  7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год………………..…11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«Общегосударственные вопросы»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 .. . 14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оборона»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 .15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Раздел «Национальная безопасность и правоохранительная деятельность…………………………………………………………………… ….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</w:p>
    <w:p w:rsid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 . .15</w:t>
      </w: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 .....15</w:t>
      </w: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..............................16</w:t>
      </w:r>
    </w:p>
    <w:p w:rsidR="00066AB4" w:rsidRPr="001B581C" w:rsidRDefault="00066AB4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…………………………………….16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..............................16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 …16</w:t>
      </w:r>
    </w:p>
    <w:p w:rsidR="001B581C" w:rsidRPr="001B581C" w:rsidRDefault="001B581C" w:rsidP="001B581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покрытия……………….</w:t>
      </w:r>
      <w:r w:rsidR="00066AB4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16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ьный долг…………………………………………………….17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кая задолженность…………………………...17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……...18</w:t>
      </w:r>
    </w:p>
    <w:p w:rsidR="001B581C" w:rsidRPr="001B581C" w:rsidRDefault="001B581C" w:rsidP="001B581C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</w:t>
      </w:r>
      <w:r w:rsidR="0006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едложения…………………………………………………..18</w:t>
      </w:r>
    </w:p>
    <w:p w:rsidR="001B581C" w:rsidRPr="001B581C" w:rsidRDefault="001B581C" w:rsidP="001B581C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B581C" w:rsidRPr="001B581C" w:rsidRDefault="001B581C" w:rsidP="001B581C">
      <w:pPr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5" w:hanging="142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Заключение ревизионной комиссии Представительного Собрания района на отчет об исполнении бюджета поселения Туровецкое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решением Совета поселения Туровецкое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r w:rsidRPr="001B581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предоставлен администрацией поселения Туровецкое в Совет поселения  Туровецкое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Туровецкое</w:t>
      </w:r>
      <w:proofErr w:type="gramEnd"/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05 декабря 2014  года № 37.</w:t>
      </w:r>
      <w:r w:rsidRPr="001B581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202</w:t>
      </w:r>
      <w:r w:rsidR="004F33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 </w:t>
      </w:r>
      <w:r w:rsidR="004F3352" w:rsidRPr="004F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F3352" w:rsidRPr="004F33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срока.</w:t>
      </w:r>
      <w:r w:rsidRPr="001B58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B5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1B581C" w:rsidRPr="001B581C" w:rsidRDefault="00BE74F6" w:rsidP="001B581C">
      <w:pPr>
        <w:keepLines/>
        <w:spacing w:before="100" w:beforeAutospacing="1"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581C"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264.6 Бюджетного кодекса Российской Федерации представляются следующие документы: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Отдельными приложениями к закону (решению) об исполнении бюджета за отчетный финансовый год утверждаются показатели: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81C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1B581C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B581C">
        <w:rPr>
          <w:rFonts w:ascii="Times New Roman" w:hAnsi="Times New Roman" w:cs="Times New Roman"/>
          <w:iCs/>
          <w:sz w:val="28"/>
          <w:szCs w:val="28"/>
        </w:rPr>
        <w:t>.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предоставленных документов и материалов к отчету об исполнении бюджета поселения за 202</w:t>
      </w:r>
      <w:r w:rsidR="004F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 43 Положения о бюджетном процессе, утвержденного решением Совета поселения от 05 декабря 2014 года №37</w:t>
      </w:r>
      <w:r w:rsidRPr="001B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нормам статьи 264.6 Бюджетного кодекса Российской Федерации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1C" w:rsidRPr="001B581C" w:rsidRDefault="001B581C" w:rsidP="001B581C">
      <w:pPr>
        <w:keepLines/>
        <w:spacing w:before="100" w:beforeAutospacing="1" w:after="0" w:line="240" w:lineRule="auto"/>
        <w:ind w:left="426" w:right="15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</w:t>
      </w:r>
      <w:r w:rsidR="004F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B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</w:t>
      </w:r>
      <w:r w:rsidR="004F3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B5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B581C" w:rsidRPr="001B581C" w:rsidRDefault="001B581C" w:rsidP="001B581C">
      <w:pPr>
        <w:keepLines/>
        <w:spacing w:before="100" w:beforeAutospacing="1" w:after="0" w:line="240" w:lineRule="auto"/>
        <w:ind w:left="426" w:right="15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81C" w:rsidRPr="001B581C" w:rsidRDefault="001B581C" w:rsidP="001B581C">
      <w:pPr>
        <w:spacing w:after="0" w:line="240" w:lineRule="auto"/>
        <w:ind w:left="426" w:firstLine="351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 за 20</w:t>
      </w:r>
      <w:r w:rsidR="000C6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 </w:t>
      </w: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="000C6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 w:rsidR="000C69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1B58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581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1B581C" w:rsidRPr="001B581C" w:rsidTr="0052738A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581C" w:rsidRPr="001B581C" w:rsidRDefault="001B581C" w:rsidP="004F3352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20</w:t>
            </w:r>
            <w:r w:rsidR="004F33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581C" w:rsidRPr="001B581C" w:rsidRDefault="001B581C" w:rsidP="004F3352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202</w:t>
            </w:r>
            <w:r w:rsidR="004F33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показателей исполнения бюджета поселения 20</w:t>
            </w:r>
            <w:r w:rsidR="0084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года к 2020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1B581C" w:rsidRPr="001B581C" w:rsidTr="0052738A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1B581C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3352" w:rsidRPr="001B581C" w:rsidTr="0052738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91,6</w:t>
            </w:r>
          </w:p>
        </w:tc>
      </w:tr>
      <w:tr w:rsidR="004F3352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  <w:tr w:rsidR="004F3352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</w:tr>
      <w:tr w:rsidR="004F3352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4F3352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189,7</w:t>
            </w:r>
          </w:p>
        </w:tc>
      </w:tr>
      <w:tr w:rsidR="0052738A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52738A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52738A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52738A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3352" w:rsidRPr="001B581C" w:rsidTr="0052738A">
        <w:trPr>
          <w:trHeight w:val="2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F3352" w:rsidRPr="001B581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8,3</w:t>
            </w:r>
          </w:p>
        </w:tc>
      </w:tr>
      <w:tr w:rsidR="004F3352" w:rsidRPr="001B581C" w:rsidTr="005273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4F3352"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2738A" w:rsidRPr="001B581C" w:rsidTr="0052738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52738A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52738A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A20183" w:rsidP="001B581C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38A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3352" w:rsidRPr="001B581C" w:rsidTr="0052738A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4F3352" w:rsidRPr="001B58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82,5</w:t>
            </w:r>
          </w:p>
        </w:tc>
      </w:tr>
      <w:tr w:rsidR="004F3352" w:rsidRPr="001B581C" w:rsidTr="0052738A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106,0</w:t>
            </w:r>
          </w:p>
        </w:tc>
      </w:tr>
      <w:tr w:rsidR="004F3352" w:rsidRPr="001B581C" w:rsidTr="0052738A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5273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4F3352" w:rsidRPr="001B581C" w:rsidTr="0052738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4F3352"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126,1</w:t>
            </w:r>
          </w:p>
        </w:tc>
      </w:tr>
      <w:tr w:rsidR="004F3352" w:rsidRPr="001B581C" w:rsidTr="0052738A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4F3352"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4F3352" w:rsidRPr="001B581C" w:rsidTr="0052738A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4F3352"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4F3352" w:rsidRPr="001B581C" w:rsidTr="0052738A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52738A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4F3352"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128,2</w:t>
            </w:r>
          </w:p>
        </w:tc>
      </w:tr>
      <w:tr w:rsidR="004F3352" w:rsidRPr="001B581C" w:rsidTr="0052738A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 w:hanging="34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52738A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104,1</w:t>
            </w:r>
          </w:p>
        </w:tc>
      </w:tr>
      <w:tr w:rsidR="004F3352" w:rsidRPr="001B581C" w:rsidTr="0052738A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17" w:right="-108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F3352" w:rsidRPr="001B581C" w:rsidTr="0052738A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4F3352" w:rsidRPr="001B581C" w:rsidTr="0052738A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035DD8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C62F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</w:tr>
      <w:tr w:rsidR="004F3352" w:rsidRPr="001B581C" w:rsidTr="0052738A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</w:tr>
      <w:tr w:rsidR="004F3352" w:rsidRPr="001B581C" w:rsidTr="0052738A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C62FB3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</w:tr>
      <w:tr w:rsidR="004F3352" w:rsidRPr="001B581C" w:rsidTr="0052738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035DD8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157,1</w:t>
            </w:r>
          </w:p>
        </w:tc>
      </w:tr>
      <w:tr w:rsidR="004F3352" w:rsidRPr="001B581C" w:rsidTr="0052738A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</w:tr>
      <w:tr w:rsidR="00A20183" w:rsidRPr="001B581C" w:rsidTr="0052738A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83" w:rsidRPr="001B581C" w:rsidRDefault="00A20183" w:rsidP="001B581C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83" w:rsidRPr="001B581C" w:rsidRDefault="00A20183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83" w:rsidRPr="001B581C" w:rsidRDefault="00A20183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83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83" w:rsidRPr="001B581C" w:rsidRDefault="00D10D29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183" w:rsidRPr="001B581C" w:rsidRDefault="00BE74F6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D10D2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3352" w:rsidRPr="001B581C" w:rsidTr="0052738A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A20183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201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4F3352" w:rsidRPr="001B581C" w:rsidTr="0052738A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A20183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201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</w:tr>
      <w:tr w:rsidR="004F3352" w:rsidRPr="001B581C" w:rsidTr="0052738A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A20183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201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1B58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52" w:rsidRPr="001B581C" w:rsidRDefault="004F3352" w:rsidP="001B581C">
            <w:pPr>
              <w:spacing w:after="0" w:line="240" w:lineRule="auto"/>
              <w:ind w:left="-391" w:firstLine="391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4F3352" w:rsidP="0052738A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8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A20183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035DD8" w:rsidP="001B58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10D2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52" w:rsidRPr="001B581C" w:rsidRDefault="00D10D29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111,5</w:t>
            </w:r>
          </w:p>
        </w:tc>
      </w:tr>
    </w:tbl>
    <w:p w:rsidR="001B581C" w:rsidRPr="001B581C" w:rsidRDefault="001B581C" w:rsidP="001B581C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1B581C" w:rsidRPr="000C6961" w:rsidRDefault="001B581C" w:rsidP="001B58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B581C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ab/>
      </w:r>
      <w:r w:rsidRPr="005178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</w:t>
      </w:r>
      <w:r w:rsidRPr="005178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17815" w:rsidRP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517815" w:rsidRP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8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годы необходимо отметить, что доходная часть в целом в 202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20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215,1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4,1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 в части собственных доходов 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уменьшились </w:t>
      </w:r>
      <w:proofErr w:type="gramStart"/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71,4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17815"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21,2</w:t>
      </w:r>
      <w:r w:rsidRPr="00517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B581C" w:rsidRPr="000C6961" w:rsidRDefault="001B581C" w:rsidP="001B581C">
      <w:pPr>
        <w:spacing w:after="0" w:line="240" w:lineRule="auto"/>
        <w:ind w:firstLine="3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696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proofErr w:type="gramStart"/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безвозмезд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поступлений произошло увеличение 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286,5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что связано с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увеличением 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дотаций бюджетам  сельских поселений в сумме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124,3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4,6%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субсидий бюджетам поселений в сумме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99,8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субвенций бюджетам поселений на 11,0 тыс. рублей, или на 11,5%, межбюджетных трансфертов, передаваемые бюджетам муниципальных образований  на</w:t>
      </w:r>
      <w:proofErr w:type="gramEnd"/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осуществление части полномочий по решению вопросов местного значения в соответствии с заключенными соглашениями на 42,6 тыс. рублей, или на 2,7% и  поступлений от денежных пожертвований, предоставляемых физическими и юридическими лицами 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8,8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A38FF"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28,2</w:t>
      </w:r>
      <w:r w:rsid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FA38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66A69" w:rsidRPr="00E66A69" w:rsidRDefault="001B581C" w:rsidP="00E66A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FA38FF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</w:t>
      </w:r>
      <w:r w:rsidR="00FA38FF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</w:t>
      </w:r>
      <w:r w:rsidR="00FA38FF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A38FF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571,1</w:t>
      </w: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A38FF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11,5</w:t>
      </w:r>
      <w:r w:rsidR="005D0987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процентов, </w:t>
      </w:r>
      <w:r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  <w:r w:rsid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</w:t>
      </w:r>
      <w:r w:rsid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оборон</w:t>
      </w:r>
      <w:r w:rsid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11,0 тыс. рублей (на 25,1%), </w:t>
      </w:r>
      <w:r w:rsid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</w:t>
      </w:r>
      <w:r w:rsid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безопасность и правоохранительной деятельности на 4,3 тыс. рублей (на 21,2%), по национальной экономике на 75,9 тыс. рублей (на 25,4%), по </w:t>
      </w:r>
      <w:r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</w:t>
      </w:r>
      <w:r w:rsid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хозяйству</w:t>
      </w:r>
      <w:r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E5DD5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313,1</w:t>
      </w:r>
      <w:proofErr w:type="gramEnd"/>
      <w:r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(на </w:t>
      </w:r>
      <w:r w:rsidR="00FE5DD5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57,1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FE5DD5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</w:t>
      </w:r>
      <w:r w:rsidR="00FE5DD5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культуре и кинематографии  на 50,0 тыс. рублей (на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100,0%),  по физической  культуре и спорту </w:t>
      </w:r>
      <w:proofErr w:type="gramStart"/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170,7 тыс. рублей (на 12,1%).</w:t>
      </w:r>
    </w:p>
    <w:p w:rsidR="001B581C" w:rsidRPr="00E66A69" w:rsidRDefault="00E66A69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B581C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="001B581C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74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наблюдается только в части по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общегосударственным вопросам на 24,7 тыс. рублей (на 1,0%), </w:t>
      </w:r>
      <w:r w:rsidR="001B581C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социальной политике на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30,7</w:t>
      </w:r>
      <w:r w:rsidR="001B581C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18,6</w:t>
      </w:r>
      <w:r w:rsidR="001B581C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1B581C" w:rsidRPr="000C696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B581C" w:rsidRPr="00BE74F6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E66A69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1B581C" w:rsidRPr="00E66A69" w:rsidRDefault="001B581C" w:rsidP="001B581C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Структура  бюджета поселения за 20</w:t>
      </w:r>
      <w:r w:rsidR="00E66A69"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</w:t>
      </w:r>
      <w:r w:rsidR="00E66A69"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 w:rsidR="00E66A69"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E66A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B581C" w:rsidRPr="000C6961" w:rsidRDefault="001B581C" w:rsidP="001B581C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6"/>
        <w:gridCol w:w="1331"/>
        <w:gridCol w:w="1020"/>
        <w:gridCol w:w="114"/>
        <w:gridCol w:w="122"/>
        <w:gridCol w:w="1296"/>
        <w:gridCol w:w="1071"/>
      </w:tblGrid>
      <w:tr w:rsidR="00E66A69" w:rsidRPr="000C6961" w:rsidTr="0052738A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0C696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C6961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8228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E66A69" w:rsidRPr="00E66A69" w:rsidTr="0052738A">
        <w:trPr>
          <w:gridAfter w:val="1"/>
          <w:wAfter w:w="1071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082280" w:rsidRDefault="001B581C" w:rsidP="001B581C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581C" w:rsidRPr="00E66A69" w:rsidRDefault="001B581C" w:rsidP="00E66A69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</w:t>
            </w:r>
            <w:r w:rsidR="00E66A69"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581C" w:rsidRPr="00E66A69" w:rsidRDefault="001B581C" w:rsidP="00E66A69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202</w:t>
            </w:r>
            <w:r w:rsidR="00E66A69"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581C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082280" w:rsidRDefault="001B581C" w:rsidP="001B581C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1B581C" w:rsidRPr="00E66A69" w:rsidRDefault="001B581C" w:rsidP="001B581C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E66A69" w:rsidRDefault="001B581C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1B581C" w:rsidRPr="00E66A69" w:rsidRDefault="001B581C" w:rsidP="001B581C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</w:tr>
      <w:tr w:rsidR="00E66A69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6,1</w:t>
            </w:r>
          </w:p>
        </w:tc>
      </w:tr>
      <w:tr w:rsidR="00E66A69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66A69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66A69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66A69" w:rsidRPr="00E66A69" w:rsidTr="0052738A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82280" w:rsidRPr="00E66A69" w:rsidTr="0052738A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082280" w:rsidRDefault="00082280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6A69" w:rsidRPr="00E66A69" w:rsidTr="0052738A">
        <w:trPr>
          <w:gridAfter w:val="1"/>
          <w:wAfter w:w="1071" w:type="dxa"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E66A69" w:rsidRPr="00E66A69" w:rsidTr="0052738A">
        <w:trPr>
          <w:gridAfter w:val="1"/>
          <w:wAfter w:w="1071" w:type="dxa"/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2280" w:rsidRPr="00E66A69" w:rsidTr="0052738A">
        <w:trPr>
          <w:gridAfter w:val="1"/>
          <w:wAfter w:w="1071" w:type="dxa"/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280" w:rsidRPr="00E66A69" w:rsidRDefault="00082280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082280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66A69" w:rsidRPr="00E66A69" w:rsidTr="0052738A">
        <w:trPr>
          <w:gridAfter w:val="1"/>
          <w:wAfter w:w="1071" w:type="dxa"/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E66A69" w:rsidRPr="00E66A69" w:rsidTr="0052738A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E66A69" w:rsidRPr="00E66A69" w:rsidTr="0052738A">
        <w:trPr>
          <w:gridAfter w:val="1"/>
          <w:wAfter w:w="1071" w:type="dxa"/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</w:tr>
      <w:tr w:rsidR="00E66A69" w:rsidRPr="00E66A69" w:rsidTr="0052738A">
        <w:trPr>
          <w:gridAfter w:val="1"/>
          <w:wAfter w:w="1071" w:type="dxa"/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E66A69" w:rsidRPr="00E66A69" w:rsidTr="0052738A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66A69" w:rsidRPr="00E66A69" w:rsidTr="0052738A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E66A69" w:rsidRPr="00E66A69" w:rsidTr="0052738A">
        <w:trPr>
          <w:gridAfter w:val="1"/>
          <w:wAfter w:w="1071" w:type="dxa"/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E66A69"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66A69" w:rsidRPr="00E66A69" w:rsidTr="0052738A">
        <w:trPr>
          <w:gridAfter w:val="1"/>
          <w:wAfter w:w="1071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082280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17</w:t>
            </w:r>
            <w:r w:rsidR="00E66A69" w:rsidRPr="0008228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5214,2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5429,3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66A69" w:rsidRPr="00E66A69" w:rsidTr="0052738A">
        <w:trPr>
          <w:gridAfter w:val="1"/>
          <w:wAfter w:w="1071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082280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66A69" w:rsidRPr="00E66A69" w:rsidTr="0052738A">
        <w:trPr>
          <w:gridAfter w:val="1"/>
          <w:wAfter w:w="1071" w:type="dxa"/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66A69" w:rsidRPr="00E66A69" w:rsidTr="0052738A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E66A69" w:rsidRPr="00E66A69" w:rsidTr="0052738A">
        <w:trPr>
          <w:gridAfter w:val="1"/>
          <w:wAfter w:w="1071" w:type="dxa"/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66A69" w:rsidRPr="00E66A69" w:rsidTr="0052738A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E66A69" w:rsidRPr="00E66A69" w:rsidTr="0052738A">
        <w:trPr>
          <w:gridAfter w:val="1"/>
          <w:wAfter w:w="1071" w:type="dxa"/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E66A69" w:rsidRPr="00E66A69" w:rsidTr="0052738A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82280" w:rsidRPr="00E66A69" w:rsidTr="0052738A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082280" w:rsidRDefault="00082280" w:rsidP="001B581C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280" w:rsidRPr="00E66A69" w:rsidRDefault="00082280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082280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Default="00082280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280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66A69" w:rsidRPr="00E66A69" w:rsidTr="0052738A">
        <w:trPr>
          <w:gridAfter w:val="1"/>
          <w:wAfter w:w="1071" w:type="dxa"/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E66A69" w:rsidP="00265A32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65A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08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265A32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66A69" w:rsidRPr="00E66A69" w:rsidTr="0052738A">
        <w:trPr>
          <w:gridAfter w:val="1"/>
          <w:wAfter w:w="1071" w:type="dxa"/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082280" w:rsidRDefault="00265A32" w:rsidP="00265A32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A69" w:rsidRPr="00E66A69" w:rsidRDefault="00E66A69" w:rsidP="001B581C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66A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265A32" w:rsidP="001B581C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A69" w:rsidRPr="00E66A69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A8415A" w:rsidRPr="00A8415A" w:rsidTr="00265A32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6A69" w:rsidRPr="00A8415A" w:rsidRDefault="00265A32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27</w:t>
            </w:r>
            <w:r w:rsidR="00E66A69" w:rsidRPr="00A841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66A69" w:rsidRPr="00A8415A" w:rsidRDefault="00E66A69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69" w:rsidRPr="00A8415A" w:rsidRDefault="00E66A69" w:rsidP="001B581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6A69" w:rsidRPr="00A8415A" w:rsidRDefault="00E66A69" w:rsidP="00A2237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6A69" w:rsidRPr="00A8415A" w:rsidRDefault="00E66A69" w:rsidP="00A2237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6A69" w:rsidRPr="00A8415A" w:rsidRDefault="00265A32" w:rsidP="001B581C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5545,7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66A69" w:rsidRPr="00A8415A" w:rsidRDefault="00B27FAE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415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1B581C" w:rsidRPr="00A8415A" w:rsidRDefault="001B581C" w:rsidP="001B581C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581C" w:rsidRPr="00A8415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Удельный вес собственных доходов в общей сумме доходов составил в 20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году – 7,8 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202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году –  6,2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1B581C" w:rsidRPr="00A8415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Удельный вес безвозмездных поступлений в общей сумме доходов составил в 20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92,2 %, в 2021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93,8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B581C" w:rsidRPr="00A8415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96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  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202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</w:p>
    <w:p w:rsidR="001B581C" w:rsidRPr="00A8415A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доходы физических лиц –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51,7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процента;</w:t>
      </w:r>
    </w:p>
    <w:p w:rsidR="00A8415A" w:rsidRPr="00A8415A" w:rsidRDefault="001B581C" w:rsidP="00A8415A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земельный налог – 23,7 процента;</w:t>
      </w:r>
    </w:p>
    <w:p w:rsidR="001B581C" w:rsidRDefault="00A8415A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B581C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581C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налог на имущество физических лиц – 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</w:t>
      </w:r>
      <w:r w:rsidR="001B581C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B581C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8415A" w:rsidRPr="00A8415A" w:rsidRDefault="00A8415A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государственная пошлина – 2,2 процента;</w:t>
      </w:r>
    </w:p>
    <w:p w:rsidR="001B581C" w:rsidRPr="00A8415A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8415A"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B581C" w:rsidRPr="00A8415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1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занимают: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 на выравнивание бюджетной обеспеченности и сбалансированности бюджета поселения – 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55,4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</w:t>
      </w:r>
      <w:r w:rsidRPr="00A223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– 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32,2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A22371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субсидии бюджетам сельских поселений – 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22371" w:rsidRPr="00A22371" w:rsidRDefault="00A22371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- субсидии бюджетам сельских поселений – 2,1 процента; </w:t>
      </w:r>
    </w:p>
    <w:p w:rsidR="001B581C" w:rsidRPr="00A22371" w:rsidRDefault="00A22371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поступлений от денежных пожертвований – 0,8 процента.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 социальную сферу составили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1796,9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32,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  (в 20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–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1605,4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="001B581C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1B581C" w:rsidRPr="00A22371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долю расходов в социальной сфере составили расходы </w:t>
      </w:r>
      <w:proofErr w:type="gramStart"/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B581C" w:rsidRPr="00A22371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физич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ескую культуру и спорт   - 8 7,9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1B581C" w:rsidRPr="00A22371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социальную политику – 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- 202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увеличение расходов на социальную сферу в процентном соотношении на </w:t>
      </w:r>
      <w:r w:rsidR="00341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11,9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абсолютном выражении увеличение на </w:t>
      </w:r>
      <w:r w:rsidR="00A22371"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191,5</w:t>
      </w:r>
      <w:r w:rsidRPr="00A223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 </w:t>
      </w:r>
    </w:p>
    <w:p w:rsidR="009C5232" w:rsidRDefault="009C5232" w:rsidP="009C5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в части расходов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пяти 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классификации: </w:t>
      </w:r>
      <w:r w:rsidRPr="00EE31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экономика» на 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«Жилищно-коммунальное хозяйство»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«Образование» на 0,09%, «Культура, кинематография» на 0,9% (100,0%) «Физическая культура и спорт» на 0,1</w:t>
      </w:r>
      <w:r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9C52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C3EF1" w:rsidRPr="00DA3C74" w:rsidRDefault="00DA3C74" w:rsidP="00B2544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5232"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расходов связан с  получением  дополнительных средств </w:t>
      </w:r>
      <w:r w:rsidR="00BC3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благоустройство территорий по разделу «Национальная экономика» на</w:t>
      </w:r>
      <w:r w:rsidR="00B25449" w:rsidRPr="00B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449" w:rsidRPr="001A6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дорог на территории поселения на основании заключенного соглашения  по передаваемым полномочиям с уровня района на уровень поселения, как иные межбюджетные трансферты на осуществление дорожной деятельности</w:t>
      </w:r>
      <w:r w:rsidR="00B2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«Жилищно-коммунальное хозяйство» </w:t>
      </w:r>
      <w:r w:rsidR="009C5232"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3EF1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BC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BC3EF1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C3E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EF1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</w:t>
      </w:r>
      <w:r w:rsidR="009C5232" w:rsidRPr="00EE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C3E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разделу «Культура, кинематография»  </w:t>
      </w:r>
      <w:r w:rsidR="00BC3E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мероприятия «Народный бюджет</w:t>
      </w:r>
      <w:proofErr w:type="gramEnd"/>
      <w:r w:rsidR="00BC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пошив </w:t>
      </w:r>
      <w:r w:rsidR="00BC3EF1" w:rsidRPr="00DA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сценических костюмов для ансамбля «Туровчанка», по разделу «Физическая культура и спорт» на повышение должностных окладов   работников  МБУ ФОК «Олимп» на 10,0 </w:t>
      </w:r>
      <w:r w:rsidR="00341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BC3EF1" w:rsidRPr="00DA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3EF1" w:rsidRPr="00DA3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A3C74" w:rsidRPr="00DA3C74" w:rsidRDefault="001B581C" w:rsidP="00DA3C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C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DA3C74" w:rsidRPr="00DA3C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удельного веса в общем объеме расходов наблюдается по  двум разделам  бюджетной классификации:  «Общегосударственные вопросы» на  5,4%, «Социальная политика» на 0,99 процента.</w:t>
      </w:r>
    </w:p>
    <w:p w:rsidR="00DA3C74" w:rsidRPr="003A59DF" w:rsidRDefault="00DA3C74" w:rsidP="003E4D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Удельный вес</w:t>
      </w:r>
      <w:r w:rsidRPr="003A59DF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объеме расходов остался н</w:t>
      </w:r>
      <w:r w:rsidRPr="003A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уровне 2020 года  по двум разделам: «Национальная оборона» и  </w:t>
      </w:r>
      <w:r w:rsidRPr="003A59DF">
        <w:rPr>
          <w:rFonts w:ascii="Times New Roman" w:hAnsi="Times New Roman" w:cs="Times New Roman"/>
          <w:sz w:val="28"/>
          <w:szCs w:val="28"/>
          <w:lang w:eastAsia="ru-RU"/>
        </w:rPr>
        <w:t xml:space="preserve">«Национальная  </w:t>
      </w:r>
      <w:proofErr w:type="gramStart"/>
      <w:r w:rsidRPr="003A59DF">
        <w:rPr>
          <w:rFonts w:ascii="Times New Roman" w:hAnsi="Times New Roman" w:cs="Times New Roman"/>
          <w:sz w:val="28"/>
          <w:szCs w:val="28"/>
          <w:lang w:eastAsia="ru-RU"/>
        </w:rPr>
        <w:t>безопасность</w:t>
      </w:r>
      <w:proofErr w:type="gramEnd"/>
      <w:r w:rsidRPr="003A59DF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правоохранительная деятельность».</w:t>
      </w:r>
    </w:p>
    <w:p w:rsidR="00DA3C74" w:rsidRPr="00DA3C74" w:rsidRDefault="00DA3C74" w:rsidP="00DA3C7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1F497D" w:themeColor="text2"/>
          <w:sz w:val="28"/>
          <w:szCs w:val="28"/>
          <w:lang w:eastAsia="ru-RU"/>
        </w:rPr>
      </w:pPr>
    </w:p>
    <w:p w:rsidR="00DA3C74" w:rsidRPr="00DA3C74" w:rsidRDefault="00DA3C74" w:rsidP="00DA3C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1B581C" w:rsidRPr="00341E6F" w:rsidRDefault="00341E6F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1B581C" w:rsidRPr="00EA77A2" w:rsidRDefault="001B581C" w:rsidP="001B581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7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EA77A2" w:rsidRPr="00EA7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EA77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1B581C" w:rsidRPr="00F21173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Первоначальный бюджет поселения на 202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67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1B581C" w:rsidRPr="00F21173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доходам в сумме 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5355,6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F21173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расходам  в сумме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5355,6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C30D3" w:rsidRDefault="001B581C" w:rsidP="009C3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 течение 202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9C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раза</w:t>
      </w:r>
      <w:r w:rsidR="009C30D3" w:rsidRP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0D3" w:rsidRPr="00AB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Совета поселения </w:t>
      </w:r>
      <w:r w:rsidR="009C30D3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="009C30D3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 №</w:t>
      </w:r>
      <w:r w:rsid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9C30D3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</w:t>
      </w:r>
      <w:r w:rsid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9C30D3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34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 от 23.12.2021 года №98 и </w:t>
      </w:r>
      <w:r w:rsid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27.12.2021 года №100</w:t>
      </w:r>
      <w:r w:rsidR="009C30D3" w:rsidRPr="00D10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0D3" w:rsidRPr="009C30D3" w:rsidRDefault="009C30D3" w:rsidP="009C30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C3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решения от 27.12.2021 года №100 «О внесении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</w:t>
      </w:r>
      <w:r w:rsidRPr="009C3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</w:t>
      </w:r>
      <w:r w:rsidRPr="009C3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в решение от 25.12.2020 года №67» для проверки в ревизио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9C30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ную комиссию Представительного Собрания района не предоставлен.</w:t>
      </w:r>
    </w:p>
    <w:p w:rsidR="00F21173" w:rsidRPr="00F972A8" w:rsidRDefault="001B581C" w:rsidP="00F21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9C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202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C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67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С учетом изменений доходная часть бюджетных ассигнований составила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5558,5 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расходная - 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</w:t>
      </w:r>
      <w:r w:rsidR="009C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 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бюджета поселения в сумме </w:t>
      </w:r>
      <w:r w:rsidR="009C30D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121,8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F21173" w:rsidRPr="00F2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C30D3">
        <w:rPr>
          <w:rFonts w:ascii="Times New Roman" w:eastAsia="Times New Roman" w:hAnsi="Times New Roman" w:cs="Times New Roman"/>
          <w:sz w:val="28"/>
          <w:szCs w:val="28"/>
          <w:lang w:eastAsia="ru-RU"/>
        </w:rPr>
        <w:t>36,2</w:t>
      </w:r>
      <w:r w:rsidR="00F21173" w:rsidRPr="00F2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F21173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Pr="00393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бюджета поселения на 01.01.202</w:t>
      </w:r>
      <w:r w:rsidR="00F21173" w:rsidRPr="00393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93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</w:t>
      </w:r>
      <w:r w:rsidR="00393EF9" w:rsidRPr="00393E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157388,82</w:t>
      </w:r>
      <w:r w:rsidRPr="00393E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1B581C" w:rsidRPr="00393EF9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581C" w:rsidRPr="00393EF9" w:rsidRDefault="001B581C" w:rsidP="001B581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3E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202</w:t>
      </w:r>
      <w:r w:rsidR="00393EF9" w:rsidRPr="00393E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393E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E3332C" w:rsidRPr="00393EF9" w:rsidTr="0052738A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ind w:right="-13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393EF9" w:rsidRDefault="001B581C" w:rsidP="001B581C">
            <w:pPr>
              <w:spacing w:after="0" w:line="240" w:lineRule="auto"/>
              <w:ind w:left="-61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3E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A22371" w:rsidRPr="00A22371" w:rsidTr="0052738A">
        <w:trPr>
          <w:gridAfter w:val="1"/>
          <w:wAfter w:w="949" w:type="dxa"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A22371" w:rsidRPr="00A22371" w:rsidTr="0052738A">
        <w:trPr>
          <w:gridAfter w:val="1"/>
          <w:wAfter w:w="949" w:type="dxa"/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-189,5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63,7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22371" w:rsidRPr="00A22371" w:rsidTr="0052738A">
        <w:trPr>
          <w:gridAfter w:val="1"/>
          <w:wAfter w:w="949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22371" w:rsidRPr="00A22371" w:rsidTr="0052738A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E31E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393EF9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2371" w:rsidRPr="00A22371" w:rsidTr="0052738A">
        <w:trPr>
          <w:gridAfter w:val="1"/>
          <w:wAfter w:w="949" w:type="dxa"/>
          <w:trHeight w:val="5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-185,8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64,4</w:t>
            </w:r>
          </w:p>
        </w:tc>
      </w:tr>
      <w:tr w:rsidR="00A22371" w:rsidRPr="00A22371" w:rsidTr="0052738A">
        <w:trPr>
          <w:gridAfter w:val="1"/>
          <w:wAfter w:w="949" w:type="dxa"/>
          <w:trHeight w:val="3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581C" w:rsidRPr="006B3590" w:rsidRDefault="00393EF9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B581C" w:rsidRPr="006B3590" w:rsidRDefault="00393EF9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108,0</w:t>
            </w:r>
          </w:p>
        </w:tc>
      </w:tr>
      <w:tr w:rsidR="00A22371" w:rsidRPr="00A22371" w:rsidTr="0052738A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22371" w:rsidRPr="00A22371" w:rsidTr="0052738A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E31E3" w:rsidP="001B58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129,6</w:t>
            </w:r>
          </w:p>
        </w:tc>
      </w:tr>
      <w:tr w:rsidR="00A22371" w:rsidRPr="00A22371" w:rsidTr="0052738A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22371" w:rsidRPr="00A22371" w:rsidTr="0052738A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A22371" w:rsidRPr="00A22371" w:rsidTr="0052738A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E3332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Пожертвования от физических и юридических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E31E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2371" w:rsidRPr="00A22371" w:rsidTr="0052738A">
        <w:trPr>
          <w:gridAfter w:val="1"/>
          <w:wAfter w:w="949" w:type="dxa"/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B581C" w:rsidRPr="006B3590" w:rsidRDefault="001B581C" w:rsidP="00E3332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103,8</w:t>
            </w:r>
          </w:p>
        </w:tc>
      </w:tr>
      <w:tr w:rsidR="00A22371" w:rsidRPr="00A22371" w:rsidTr="0052738A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1B581C"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2371" w:rsidRPr="00A22371" w:rsidTr="0052738A">
        <w:trPr>
          <w:gridAfter w:val="1"/>
          <w:wAfter w:w="949" w:type="dxa"/>
          <w:trHeight w:val="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22371" w:rsidRPr="00A22371" w:rsidTr="0052738A">
        <w:trPr>
          <w:gridAfter w:val="1"/>
          <w:wAfter w:w="949" w:type="dxa"/>
          <w:trHeight w:val="4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22371" w:rsidRPr="00A22371" w:rsidTr="0052738A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22371" w:rsidRPr="00A22371" w:rsidTr="0052738A">
        <w:trPr>
          <w:gridAfter w:val="1"/>
          <w:wAfter w:w="949" w:type="dxa"/>
          <w:trHeight w:val="2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9C30D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9C30D3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9C30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9C30D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122,1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3332C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C" w:rsidRPr="006B3590" w:rsidRDefault="001E31E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3332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A22371" w:rsidRPr="00A22371" w:rsidTr="0052738A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A22371" w:rsidRPr="00A22371" w:rsidTr="0052738A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1B581C" w:rsidRPr="006B35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B581C" w:rsidRPr="006B3590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B581C" w:rsidRPr="006B3590" w:rsidRDefault="00E3332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B581C" w:rsidRPr="006B3590" w:rsidRDefault="00E3332C" w:rsidP="009C30D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9C30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B359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B581C" w:rsidRPr="006B3590" w:rsidRDefault="009C30D3" w:rsidP="001B581C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B581C" w:rsidRPr="006B3590" w:rsidRDefault="009C30D3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</w:tbl>
    <w:p w:rsidR="001B581C" w:rsidRPr="00A22371" w:rsidRDefault="001B581C" w:rsidP="001B581C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4C5042" w:rsidRPr="004C5042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 вышеприведенного анализа наблюдается тенденция   увеличения доходов в отчетном периоде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202,9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также на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042">
        <w:rPr>
          <w:rFonts w:ascii="Times New Roman" w:eastAsia="Times New Roman" w:hAnsi="Times New Roman" w:cs="Times New Roman"/>
          <w:sz w:val="28"/>
          <w:szCs w:val="28"/>
          <w:lang w:eastAsia="ru-RU"/>
        </w:rPr>
        <w:t>294,7 тыс. рублей, или на 5,5 процентов.</w:t>
      </w:r>
    </w:p>
    <w:p w:rsidR="001B581C" w:rsidRPr="004C5042" w:rsidRDefault="004C5042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1B581C"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собственным доходам наблюдается уменьшение   по сравнению с первоначально утвержденными назначениями </w:t>
      </w:r>
      <w:r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1B581C"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185,8 </w:t>
      </w:r>
      <w:r w:rsidR="001B581C"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55,3</w:t>
      </w:r>
      <w:r w:rsidR="001B581C" w:rsidRPr="004C50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C5042" w:rsidRDefault="001B581C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4C5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разрезе источников </w:t>
      </w:r>
      <w:r w:rsidR="004C5042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произошло  </w:t>
      </w:r>
      <w:r w:rsidR="004C5042" w:rsidRPr="001E3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4C5042" w:rsidRPr="001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189,5 тыс. рублей, в том числе:</w:t>
      </w:r>
    </w:p>
    <w:p w:rsidR="004C5042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</w:t>
      </w:r>
      <w:r w:rsidR="001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физических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 28,0</w:t>
      </w:r>
      <w:r w:rsidR="001E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16,4 процента;</w:t>
      </w:r>
    </w:p>
    <w:p w:rsidR="004C5042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по налогу на имущество физических лиц на 154,0 тыс. рублей, или в 3,0 раза;</w:t>
      </w:r>
    </w:p>
    <w:p w:rsidR="004C5042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земельному налогу на 7,0 тыс. рублей, или на 8,8 процента;</w:t>
      </w:r>
    </w:p>
    <w:p w:rsidR="004C5042" w:rsidRPr="00156F23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государственной пошлине на 0,5 тыс. рублей, или на 7,7 процента.</w:t>
      </w:r>
    </w:p>
    <w:p w:rsidR="004C5042" w:rsidRPr="004C5042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50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</w:p>
    <w:p w:rsidR="004C5042" w:rsidRPr="004C5042" w:rsidRDefault="001E31E3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4C5042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неналоговым доходам </w:t>
      </w:r>
      <w:r w:rsidR="004C5042" w:rsidRP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C50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величились </w:t>
      </w:r>
      <w:r w:rsidR="004C5042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42" w:rsidRPr="001E3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3,7 тыс. рублей</w:t>
      </w:r>
      <w:r w:rsidR="004C5042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штрафам, санкциям, возмещени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5042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на </w:t>
      </w:r>
      <w:r w:rsidR="004C5042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4C5042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процентов.</w:t>
      </w:r>
    </w:p>
    <w:p w:rsidR="004C5042" w:rsidRPr="00241FD4" w:rsidRDefault="004C5042" w:rsidP="004C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FD4" w:rsidRPr="00241FD4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E3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увеличивается  по сравнению с первоначально утвержденными показателями бюджета на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388,7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процентов, в том числе:</w:t>
      </w:r>
    </w:p>
    <w:p w:rsidR="00241FD4" w:rsidRDefault="00241FD4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бюджетам поселений на выравнивание бюджетной обеспеченности и сбалансированности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94,0 тыс. рублей, или на 3,4 процента;</w:t>
      </w:r>
    </w:p>
    <w:p w:rsidR="00241FD4" w:rsidRDefault="00241FD4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1B581C"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субсидий бюджетам сельских поселений на 140,0  тыс. рублей, или на 29,6 процента;</w:t>
      </w:r>
    </w:p>
    <w:p w:rsidR="00241FD4" w:rsidRDefault="00241FD4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м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</w:r>
      <w:r w:rsidR="001B581C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114,7</w:t>
      </w:r>
      <w:r w:rsidR="001B581C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 процента;</w:t>
      </w:r>
    </w:p>
    <w:p w:rsidR="001B581C" w:rsidRPr="00241FD4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прочие поступления (пожертвование от физических и юридических лиц)  на 40,0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процентов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1B581C" w:rsidRPr="00241FD4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Остались без изменений субвенции бюджетам поселений.</w:t>
      </w:r>
    </w:p>
    <w:p w:rsidR="00241FD4" w:rsidRPr="00A22371" w:rsidRDefault="00241FD4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241FD4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связи с увеличением  объема доходной части бюджета соответственно произошло увеличение и расходной части бюджета.</w:t>
      </w:r>
    </w:p>
    <w:p w:rsidR="00241FD4" w:rsidRDefault="001B581C" w:rsidP="00241FD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41F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первоначально утвержденными показателями бюджета произошло по разделам:</w:t>
      </w:r>
      <w:r w:rsidR="00241FD4"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41FD4" w:rsidRPr="00241FD4" w:rsidRDefault="00241FD4" w:rsidP="00241F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Жилищно</w:t>
      </w:r>
      <w:r w:rsidR="00B97C35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-коммунальное хозяйство -  на 17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9,6 тыс. рублей, или на  </w:t>
      </w:r>
      <w:r w:rsidR="00B97C3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22,1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   </w:t>
      </w:r>
    </w:p>
    <w:p w:rsidR="001B581C" w:rsidRPr="00241FD4" w:rsidRDefault="00241FD4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«Культура и кинематография» - на 50,0 тыс. рублей, или на 100,0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процентов;</w:t>
      </w:r>
    </w:p>
    <w:p w:rsidR="00241FD4" w:rsidRPr="00241FD4" w:rsidRDefault="001B581C" w:rsidP="00241FD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1FD4"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Социальная политика – на 6,0 тыс. рублей, или на  3,8  процента;   </w:t>
      </w:r>
    </w:p>
    <w:p w:rsidR="00241FD4" w:rsidRPr="00A22371" w:rsidRDefault="00241FD4" w:rsidP="00241F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241F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Физическая культура и спорт -  на  169,7 тыс. рублей, или на  12,0  процентов.    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8C7B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разделам:</w:t>
      </w:r>
    </w:p>
    <w:p w:rsidR="008C7B32" w:rsidRPr="00A22371" w:rsidRDefault="001B581C" w:rsidP="008C7B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8C7B32"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Общегосударственные вопросы  - на  79,6 тыс. рублей, или на 3,3 процента; </w:t>
      </w:r>
    </w:p>
    <w:p w:rsidR="001B581C" w:rsidRPr="008C7B32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Образование – на </w:t>
      </w:r>
      <w:r w:rsidR="008C7B32"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 тыс. рублей, или на 50,0</w:t>
      </w:r>
      <w:r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C7B32"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7B32" w:rsidRPr="00675502" w:rsidRDefault="008C7B32" w:rsidP="008C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8C7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остались расходы по разделам «Национальная оборона»,</w:t>
      </w:r>
      <w:r w:rsidRP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</w:t>
      </w:r>
      <w:r w:rsidRPr="008C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«Национальная экономика».</w:t>
      </w:r>
    </w:p>
    <w:p w:rsidR="001B581C" w:rsidRDefault="001B581C" w:rsidP="001B581C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E31E3" w:rsidRDefault="008C7B32" w:rsidP="00D44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 расходам в сторону </w:t>
      </w:r>
      <w:r w:rsidRPr="001E3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увеличения</w:t>
      </w:r>
      <w:r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следующим  </w:t>
      </w:r>
      <w:r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1E31E3" w:rsidRDefault="001E31E3" w:rsidP="00D44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32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7B32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8C7B32" w:rsidRPr="00B07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благоустройство территорий, </w:t>
      </w:r>
      <w:r w:rsidR="008C7B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уличное освещение, </w:t>
      </w:r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>на проведение мероприятий по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изации проекта «Народный бюджет;</w:t>
      </w:r>
    </w:p>
    <w:p w:rsidR="001E31E3" w:rsidRDefault="001E31E3" w:rsidP="00D44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5BD">
        <w:rPr>
          <w:rFonts w:ascii="Times New Roman" w:eastAsia="Times New Roman" w:hAnsi="Times New Roman"/>
          <w:sz w:val="28"/>
          <w:szCs w:val="28"/>
          <w:lang w:eastAsia="ru-RU"/>
        </w:rPr>
        <w:t xml:space="preserve">по «Культуре и кинематографии» на </w:t>
      </w:r>
      <w:r w:rsidR="00D44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«Народный бюджет» на пошив сценических костюмов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ансамбля «Туровчанка»;</w:t>
      </w:r>
    </w:p>
    <w:p w:rsidR="001E31E3" w:rsidRDefault="001E31E3" w:rsidP="00D44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«Социальной политике» на доплату к пенсии муниципальному служащему,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вышедшему на заслуженный отдых;</w:t>
      </w:r>
    </w:p>
    <w:p w:rsidR="008C7B32" w:rsidRDefault="001E31E3" w:rsidP="00D44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45BD" w:rsidRPr="00F740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>Физическая</w:t>
      </w:r>
      <w:proofErr w:type="gramEnd"/>
      <w:r w:rsidR="008C7B3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культура и спорт» </w:t>
      </w:r>
      <w:r w:rsidR="00D445BD">
        <w:rPr>
          <w:rFonts w:ascii="Times New Roman" w:eastAsia="Times New Roman" w:hAnsi="Times New Roman"/>
          <w:sz w:val="28"/>
          <w:szCs w:val="28"/>
          <w:lang w:eastAsia="ru-RU"/>
        </w:rPr>
        <w:t>на п</w:t>
      </w:r>
      <w:r w:rsidR="00D44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должностных окладов   работников  МБУ ФОК «Олимп» на 10,0  процентов.</w:t>
      </w:r>
    </w:p>
    <w:p w:rsidR="00A46BCD" w:rsidRDefault="00A46BCD" w:rsidP="00D44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5BD" w:rsidRPr="00A22371" w:rsidRDefault="00D445BD" w:rsidP="00D445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CF6BA6" w:rsidRDefault="001B581C" w:rsidP="001B581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6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Анализ исполнения бюджета за 202</w:t>
      </w:r>
      <w:r w:rsidR="00CF6BA6" w:rsidRPr="00CF6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</w:t>
      </w:r>
      <w:r w:rsidRPr="00CF6BA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167"/>
        <w:gridCol w:w="640"/>
        <w:gridCol w:w="494"/>
      </w:tblGrid>
      <w:tr w:rsidR="00CF6BA6" w:rsidRPr="00CF6BA6" w:rsidTr="0052738A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CF6BA6" w:rsidRDefault="001B581C" w:rsidP="001B581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F6B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>Анализ испо</w:t>
            </w:r>
            <w:r w:rsidR="00CF6BA6" w:rsidRPr="00CF6B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лнения бюджета поселения за 2021</w:t>
            </w:r>
            <w:r w:rsidRPr="00CF6BA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 представлен следующими данными: </w:t>
            </w:r>
          </w:p>
        </w:tc>
      </w:tr>
      <w:tr w:rsidR="00A22371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A2237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A2237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A2237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1B581C" w:rsidRPr="00A22371" w:rsidRDefault="001B581C" w:rsidP="001B581C">
            <w:pPr>
              <w:spacing w:after="0" w:line="240" w:lineRule="auto"/>
              <w:ind w:right="-141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A2237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тыс. руб.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A22371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22371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A22371" w:rsidRPr="00A22371" w:rsidTr="0052738A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A22371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81C" w:rsidRPr="00407C14" w:rsidRDefault="001B581C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333,0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100,1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EE2230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407C14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14" w:rsidRPr="00407C14" w:rsidRDefault="00407C14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14" w:rsidRPr="00407C14" w:rsidRDefault="00407C14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14" w:rsidRPr="00407C14" w:rsidRDefault="00407C14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59DF" w:rsidRPr="00407C14" w:rsidRDefault="00407C14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25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100,1</w:t>
            </w:r>
          </w:p>
        </w:tc>
      </w:tr>
      <w:tr w:rsidR="003A59DF" w:rsidRPr="00A22371" w:rsidTr="0052738A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5222,3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5092,6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-129,7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A59DF" w:rsidRPr="00407C14" w:rsidRDefault="00407C1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97,5</w:t>
            </w:r>
          </w:p>
        </w:tc>
      </w:tr>
      <w:tr w:rsidR="003A59DF" w:rsidRPr="00A22371" w:rsidTr="0052738A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3A59DF" w:rsidRPr="00A22371" w:rsidTr="0052738A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</w:t>
            </w: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1641,7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1641,7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3A59DF">
        <w:trPr>
          <w:trHeight w:val="37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5558,5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5429,3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3A59DF" w:rsidRPr="00A22371" w:rsidTr="0052738A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59DF" w:rsidRPr="00A22371" w:rsidTr="0052738A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2385,3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2383,8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3A59DF" w:rsidRPr="00A22371" w:rsidTr="0052738A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C8737C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3A59DF" w:rsidRPr="00A22371" w:rsidTr="0052738A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59DF" w:rsidRPr="00A22371" w:rsidTr="0052738A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B97C3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B97C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B97C3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</w:t>
            </w:r>
            <w:r w:rsidR="00B97C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B97C35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3A59DF" w:rsidRPr="00A22371" w:rsidTr="0052738A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9DF" w:rsidRPr="00407C14" w:rsidRDefault="003A59DF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3A59DF" w:rsidP="003A59DF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9DF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108A" w:rsidRPr="00A22371" w:rsidTr="0052738A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8A" w:rsidRPr="00407C14" w:rsidRDefault="0001108A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7C40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108A" w:rsidRPr="00A22371" w:rsidTr="0052738A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8A" w:rsidRPr="00407C14" w:rsidRDefault="0001108A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7C40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108A" w:rsidRPr="00A22371" w:rsidTr="0052738A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8A" w:rsidRPr="00407C14" w:rsidRDefault="0001108A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01108A" w:rsidP="007C405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08A" w:rsidRPr="00407C14" w:rsidRDefault="006701F4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1108A" w:rsidRPr="00A22371" w:rsidTr="0052738A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1108A" w:rsidRPr="00407C14" w:rsidRDefault="0001108A" w:rsidP="001B581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1108A" w:rsidRPr="00407C14" w:rsidRDefault="00B97C35" w:rsidP="003A59D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568</w:t>
            </w:r>
            <w:r w:rsidR="0001108A"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1108A" w:rsidRPr="00407C14" w:rsidRDefault="0001108A" w:rsidP="007C405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1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5545,7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1108A" w:rsidRPr="00407C14" w:rsidRDefault="00B97C35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-13</w:t>
            </w:r>
            <w:r w:rsidR="006701F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01108A" w:rsidRPr="00407C14" w:rsidRDefault="00B97C35" w:rsidP="001B581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</w:tbl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18"/>
          <w:szCs w:val="18"/>
          <w:lang w:eastAsia="ru-RU"/>
        </w:rPr>
      </w:pPr>
    </w:p>
    <w:p w:rsidR="001B581C" w:rsidRPr="004530D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0D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</w:t>
      </w:r>
      <w:r w:rsidR="00A46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202</w:t>
      </w:r>
      <w:r w:rsidR="004530DA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4530DA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5429,3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</w:p>
    <w:p w:rsidR="001B581C" w:rsidRPr="004530DA" w:rsidRDefault="004530DA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97,7</w:t>
      </w:r>
      <w:r w:rsidR="001B581C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– 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336,7</w:t>
      </w:r>
      <w:r w:rsidR="001B581C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100,1</w:t>
      </w:r>
      <w:r w:rsidR="001B581C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5092,6</w:t>
      </w:r>
      <w:r w:rsidR="001B581C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97,5</w:t>
      </w:r>
      <w:r w:rsidR="001B581C" w:rsidRPr="00453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202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собственных доходов  в сумме 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522,0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и дополнений в течение 202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объем  собственных доходов снизился 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185,8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55,3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B581C" w:rsidRPr="00206DE5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Фактическое исполнение собственных доходов в отчетном периоде 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выше 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годовых назначений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B581C" w:rsidRPr="00206DE5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46B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собственных доходов наблюдается по налогу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имущество 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 лиц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3,3 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по земельному налогу  на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0,01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206DE5"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и перерасчеты по отмененным налогам  на 0,2 тыс. рублей, или на 100,0 процентов</w:t>
      </w:r>
      <w:r w:rsidRPr="00206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B581C" w:rsidRPr="00EE2230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A46B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</w:t>
      </w:r>
      <w:r w:rsidR="00206DE5"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3,2 тыс. рублей, или на 1,9 %,</w:t>
      </w: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206DE5"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пошлине</w:t>
      </w: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06DE5"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2230"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EE2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B581C" w:rsidRPr="00A22371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изменения в течение года по данному доходному источнику уточнялись по 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дотациям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субсидиям, 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межбюджетным трансфертам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передаваемые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C3A8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0C3A8D">
        <w:rPr>
          <w:rFonts w:ascii="Times New Roman" w:eastAsia="Times New Roman" w:hAnsi="Times New Roman"/>
          <w:sz w:val="28"/>
          <w:szCs w:val="28"/>
        </w:rPr>
        <w:t>поступлениям от денежных пожертвований, предоставляемых физическими  и юридическими лицами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Дотации бюджету сельского поселения составили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2821,6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из них: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2626,0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– дотация на выравнивание бюджетной обеспеченности;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195,6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поддержку мер по обеспечению сбалансированности бюджетов. 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106,5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в том числе: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первичного воинского учета на территориях, где отсутствуют военные комиссариаты –</w:t>
      </w:r>
      <w:r w:rsidR="000C3A8D"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104,5 </w:t>
      </w: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B581C" w:rsidRPr="000C3A8D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– 2,0 тыс. рублей.</w:t>
      </w:r>
    </w:p>
    <w:p w:rsidR="001B581C" w:rsidRPr="00A22371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FD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сельских поселений составили </w:t>
      </w:r>
      <w:r w:rsidR="005F2BF4" w:rsidRPr="00FD6BE9">
        <w:rPr>
          <w:rFonts w:ascii="Times New Roman" w:eastAsia="Times New Roman" w:hAnsi="Times New Roman" w:cs="Times New Roman"/>
          <w:sz w:val="28"/>
          <w:szCs w:val="28"/>
          <w:lang w:eastAsia="ru-RU"/>
        </w:rPr>
        <w:t>482,8</w:t>
      </w:r>
      <w:r w:rsidRPr="00FD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F2BF4" w:rsidRPr="00FD6BE9"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Pr="00FD6BE9">
        <w:rPr>
          <w:rFonts w:ascii="Times New Roman" w:eastAsia="Times New Roman" w:hAnsi="Times New Roman" w:cs="Times New Roman"/>
          <w:sz w:val="28"/>
          <w:szCs w:val="28"/>
          <w:lang w:eastAsia="ru-RU"/>
        </w:rPr>
        <w:t>%) , в том числе:</w:t>
      </w:r>
    </w:p>
    <w:p w:rsidR="001B581C" w:rsidRPr="00E769F3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уличного освещения в рамках программы «</w:t>
      </w:r>
      <w:proofErr w:type="spellStart"/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Энергоэфективность</w:t>
      </w:r>
      <w:proofErr w:type="spellEnd"/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газификации на территории Вологодской области на 2014-2020 годы» - </w:t>
      </w:r>
      <w:r w:rsidR="00E769F3"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342,8</w:t>
      </w:r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E769F3" w:rsidRDefault="001B581C" w:rsidP="001B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реализацию мероприятий по проект</w:t>
      </w:r>
      <w:r w:rsid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 - </w:t>
      </w:r>
      <w:r w:rsidR="00E769F3"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E76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64B0" w:rsidRPr="00CC64B0" w:rsidRDefault="001B581C" w:rsidP="001B581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бюджет поселения в сумме </w:t>
      </w:r>
      <w:r w:rsidR="00E769F3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1641,7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на осуществление части полномочий по решению вопросов местного значения в соответствии с заключенными соглашениями – 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1641,7  тыс. рублей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64B0" w:rsidRPr="00CC64B0" w:rsidRDefault="00CC64B0" w:rsidP="001B581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B581C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374,9</w:t>
      </w:r>
      <w:r w:rsidR="001B581C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аправляется на содержание дорог;</w:t>
      </w:r>
    </w:p>
    <w:p w:rsidR="00CC64B0" w:rsidRDefault="00CC64B0" w:rsidP="00CC64B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581C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1266,8</w:t>
      </w:r>
      <w:r w:rsidR="001B581C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реализацию расходных обязательств в части в</w:t>
      </w:r>
      <w:r w:rsidR="001B581C" w:rsidRPr="00CC64B0">
        <w:rPr>
          <w:rFonts w:ascii="Times New Roman" w:hAnsi="Times New Roman" w:cs="Times New Roman"/>
          <w:sz w:val="28"/>
          <w:szCs w:val="28"/>
        </w:rPr>
        <w:t>ыплат</w:t>
      </w:r>
      <w:r w:rsidRPr="00CC64B0">
        <w:rPr>
          <w:rFonts w:ascii="Times New Roman" w:hAnsi="Times New Roman" w:cs="Times New Roman"/>
          <w:sz w:val="28"/>
          <w:szCs w:val="28"/>
        </w:rPr>
        <w:t>ы</w:t>
      </w:r>
      <w:r w:rsidR="001B581C" w:rsidRPr="00CC64B0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81C" w:rsidRPr="00CC64B0" w:rsidRDefault="001B581C" w:rsidP="00CC64B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денежных пожертвований, поступивших от физических и юридических лиц – 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тыс. рублей 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«Народный бюджет».</w:t>
      </w:r>
    </w:p>
    <w:p w:rsidR="001B581C" w:rsidRPr="00CC64B0" w:rsidRDefault="001B581C" w:rsidP="001B5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Возврат остатков субсидий, субвенций и ИМТ, имеющих  целевое назначение  из бюджета поселения на осуществление дорожной деятельности в 202</w:t>
      </w:r>
      <w:r w:rsidR="00CC64B0"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отсутствует. 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B34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</w:t>
      </w:r>
      <w:r w:rsidR="00B34D42" w:rsidRPr="00B34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5545,7</w:t>
      </w:r>
      <w:r w:rsidRPr="00B34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34D42" w:rsidRPr="00B34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97,6</w:t>
      </w:r>
      <w:r w:rsidRPr="00B34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1B581C" w:rsidRPr="00A22371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B34D42" w:rsidRDefault="001B581C" w:rsidP="001B581C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34D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202</w:t>
      </w:r>
      <w:r w:rsidR="00B34D42" w:rsidRPr="00B34D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</w:t>
      </w:r>
      <w:r w:rsidRPr="00B34D4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1B581C" w:rsidRPr="0054774A" w:rsidRDefault="001B581C" w:rsidP="001B58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54774A">
      <w:pPr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9729C5" wp14:editId="2C904C07">
            <wp:extent cx="5940425" cy="4236436"/>
            <wp:effectExtent l="19050" t="0" r="6032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54774A" w:rsidRDefault="0054774A" w:rsidP="001B581C">
      <w:pPr>
        <w:spacing w:after="0" w:line="240" w:lineRule="auto"/>
        <w:ind w:left="426" w:firstLine="360"/>
        <w:contextualSpacing/>
        <w:jc w:val="both"/>
        <w:rPr>
          <w:noProof/>
          <w:lang w:eastAsia="ru-RU"/>
        </w:rPr>
      </w:pPr>
    </w:p>
    <w:p w:rsidR="001B581C" w:rsidRPr="007A7047" w:rsidRDefault="0054774A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B581C" w:rsidRPr="003A5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="001B581C" w:rsidRPr="003A5E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="001B581C" w:rsidRPr="003A5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A5EB1" w:rsidRPr="003A5E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2383,8</w:t>
      </w:r>
      <w:r w:rsidR="001B581C" w:rsidRPr="003A5E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99,9 % от утвержденных годовых </w:t>
      </w:r>
      <w:r w:rsidR="001B581C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назначений. Доля расходов по данному разделу в общем объеме расходов бюджета поселения составила </w:t>
      </w:r>
      <w:r w:rsidR="003A5EB1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43,0</w:t>
      </w:r>
      <w:r w:rsidR="001B581C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57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B581C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202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местного самоуправления поселения –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2111,9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функционирование высшего должностного лица муниципального образования –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577,9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функционирование местной администрации -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1534,0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иные межбюджетные трансферты – 66,6 тыс. рублей, в том числе: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осуществление полномочий контрольно-счетного органа поселения по осуществлению внешнего муниципального финансового контроля – 56,2 тыс. рублей; 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полномочий в сфере  внутреннего муниципального финансового контроля – 10,4 тыс. рублей; 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7A70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 – 205,3 тыс. рублей, из них:</w:t>
      </w:r>
    </w:p>
    <w:p w:rsidR="001B581C" w:rsidRPr="007A7047" w:rsidRDefault="001B581C" w:rsidP="003A5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</w:t>
      </w:r>
      <w:proofErr w:type="gramStart"/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трансферты</w:t>
      </w:r>
      <w:proofErr w:type="gramEnd"/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передаваемые на уровень района  на осуществление полномочий по составлению и рассмотрению проекта бюджета поселения, утверждению и исполнению бюджета поселения, осуществления контроля за его исполнением,  составлению и утверждению 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отчета об исполнении бюджета поселения в части ведения бухгалтерского учета – 202,3 тыс. рублей;</w:t>
      </w:r>
    </w:p>
    <w:p w:rsidR="001B581C" w:rsidRPr="007A7047" w:rsidRDefault="001B581C" w:rsidP="003A5E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членские взносы в Ассоциацию «Совет муниципальных образований» - 3,0 тыс. рублей.</w:t>
      </w:r>
    </w:p>
    <w:p w:rsidR="001B581C" w:rsidRPr="00A22371" w:rsidRDefault="001B581C" w:rsidP="003A5EB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</w:t>
      </w:r>
      <w:r w:rsidRPr="007A70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</w:t>
      </w:r>
      <w:r w:rsidRPr="007A70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104,5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100,0 % от годовых назначений. Доля расходов по данному разделу в общем объеме расходов бюджета поселения составила 1,9 %. По данному разделу произведены расходы на осуществление первичного воинского учета на территории поселения, где отсутствуют военные комиссариаты.</w:t>
      </w:r>
    </w:p>
    <w:p w:rsidR="001B581C" w:rsidRPr="00A22371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по </w:t>
      </w:r>
      <w:r w:rsidRPr="007A70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 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выполнение полномочий  по пожарной безопасности направлено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24,6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98,4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утвержденных годовых назначений. Средства направлены на приобретение огнетушителей и табличек для пожарных водоемов. Доля расходов по данному разделу в общем объеме расходов бюджета поселения составила 0,4 процента.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A70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374,9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 бюджета поселения составила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</w:t>
      </w:r>
    </w:p>
    <w:p w:rsidR="001B581C" w:rsidRPr="007A7047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границах поселения в сумме </w:t>
      </w:r>
      <w:r w:rsidR="007A7047"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374,9</w:t>
      </w:r>
      <w:r w:rsidRPr="007A70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за счет иных межбюджетных трансфертов из бюджета района.    </w:t>
      </w:r>
    </w:p>
    <w:p w:rsidR="001B581C" w:rsidRPr="00A22371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1C07CD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1C07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861,0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86,6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</w:t>
      </w:r>
    </w:p>
    <w:p w:rsidR="001B581C" w:rsidRPr="001C07CD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202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подразделу 0503 «Благоустройство» в сумме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861,0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2B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(согласно пояснительной записке администрации поселения): </w:t>
      </w:r>
    </w:p>
    <w:p w:rsidR="001B581C" w:rsidRPr="001C07CD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ули</w:t>
      </w:r>
      <w:r w:rsidR="002B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чное освещение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604,8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за счет софинансирования  из областного бюджета в сумме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342,8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бюджета поселения </w:t>
      </w:r>
      <w:r w:rsidR="002B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262,0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A22371" w:rsidRDefault="001B581C" w:rsidP="001C07C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на прочие мероприятия по благоустройству – </w:t>
      </w:r>
      <w:r w:rsidR="001C07CD"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C07CD" w:rsidRPr="001C07CD" w:rsidRDefault="001C07CD" w:rsidP="001C07CD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по проекту «Народный бюджет»  </w:t>
      </w:r>
      <w:r w:rsidR="0057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приобретение роторной косилки 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 244,0 тыс. рублей, из них</w:t>
      </w:r>
      <w:r w:rsidR="002B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софинансирования  из областного бюджета в сумме 105,0 тыс. рублей, за счет дотации на сбалансированность </w:t>
      </w:r>
      <w:r w:rsidRPr="001C07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бюджетов – 94,0 тыс. рублей, за счет средств поселения  15,0 тыс. рублей и  за счет пожертвований физических и юридических лиц в сумме 30,0  тыс. рублей.</w:t>
      </w:r>
      <w:proofErr w:type="gramEnd"/>
    </w:p>
    <w:p w:rsidR="001B581C" w:rsidRPr="00A22371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30316B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031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0316B"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 % от годовых назначений.</w:t>
      </w:r>
    </w:p>
    <w:p w:rsidR="001B581C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202</w:t>
      </w:r>
      <w:r w:rsidR="0030316B"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мероприятий в области молодежной политики – </w:t>
      </w:r>
      <w:r w:rsidR="0030316B"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30316B"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(приобретение подарков для первоклассников на 1 сентября 2021 года)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0316B" w:rsidRDefault="0030316B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316B" w:rsidRPr="0030316B" w:rsidRDefault="0030316B" w:rsidP="0030316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3031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031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3031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 % от годовых назначений.</w:t>
      </w:r>
    </w:p>
    <w:p w:rsidR="0030316B" w:rsidRDefault="0030316B" w:rsidP="0030316B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рассматриваемому разделу в 2021 году осуществлено финансирование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303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по проекту «Народный бюджет» в сумме 50,0 тыс. рублей на приобретение сценических костюмов для ансамбля «Туровчанка».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F164F3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F16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F164F3"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165,2 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100,0 % от годовых назначений. Доля расходов по данному разделу в общем объеме расходов бюджета поселения составила </w:t>
      </w:r>
      <w:r w:rsidR="00F164F3"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1B581C" w:rsidRPr="00F164F3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данном разделе отражены расходы  на доплату к пенсиям бывш</w:t>
      </w:r>
      <w:r w:rsidR="00F164F3"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 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и  главному бухгалтеру поселения.</w:t>
      </w:r>
    </w:p>
    <w:p w:rsidR="001B581C" w:rsidRPr="00A22371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F164F3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Расходы по </w:t>
      </w:r>
      <w:r w:rsidRPr="00F164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F164F3"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1579,7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28,</w:t>
      </w:r>
      <w:r w:rsidR="00F164F3"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164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1B581C" w:rsidRPr="00C57266" w:rsidRDefault="001B581C" w:rsidP="003A5EB1">
      <w:pPr>
        <w:spacing w:after="0" w:line="240" w:lineRule="auto"/>
        <w:ind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предоставление субсидий на выполнение муниципального задания МБУ ФОК «Олимп» в сумме </w:t>
      </w:r>
      <w:r w:rsidR="00F164F3"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1579,7</w:t>
      </w:r>
      <w:r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за счет реализации  расходных обязательств  в части выплаты заработной платы работникам муниципальных учреждений в сумме </w:t>
      </w:r>
      <w:r w:rsidR="00F164F3"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777,8</w:t>
      </w:r>
      <w:r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C57266"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C57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1B581C" w:rsidRPr="00A22371" w:rsidRDefault="001B581C" w:rsidP="003A5EB1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A22371" w:rsidRDefault="001B581C" w:rsidP="00574F22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</w:t>
      </w:r>
      <w:r w:rsidRPr="007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7C4051" w:rsidRPr="007C4051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2020</w:t>
      </w:r>
      <w:r w:rsidRPr="007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C4051" w:rsidRPr="007C4051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Туровецкое  на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первоначальный бюджет поселения на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 (профицита).  Решением Совета поселения от 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декабря  2021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67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уточненный бюджет утвержден  с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121,8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7C4051">
        <w:rPr>
          <w:rFonts w:eastAsiaTheme="minorEastAsia"/>
          <w:sz w:val="28"/>
          <w:szCs w:val="28"/>
          <w:lang w:eastAsia="ru-RU"/>
        </w:rPr>
        <w:t xml:space="preserve">        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ab/>
        <w:t xml:space="preserve">     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исполнения  бюджета поселения за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116,4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соответствии с данными  баланса исполнения  бюджета поселения  объем остатков средств  бюджета поселения  по состоянию на 01.01.202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273,8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157,4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1B581C" w:rsidRPr="00A22371" w:rsidRDefault="001B581C" w:rsidP="003A5EB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B581C" w:rsidRPr="007C4051" w:rsidRDefault="001B581C" w:rsidP="003A5EB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1B581C" w:rsidRPr="00A22371" w:rsidRDefault="001B581C" w:rsidP="003A5EB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</w:p>
    <w:p w:rsid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Объем кредиторской задолженности  получателей средств бюджета  поселения  по состоянию на 01.01.202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кредиторская задолженность отсутствует.   На 01.01.202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кредиторская задолженность  составляла 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167,3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кредиторская задолженность также отсутствовала.  По сравнению с 202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у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меньшился 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46,5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7C4051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38,5</w:t>
      </w: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B581C" w:rsidRPr="007C405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Структура кредиторской задолженности имеет следующий вид: </w:t>
      </w:r>
    </w:p>
    <w:p w:rsidR="001B581C" w:rsidRPr="00071A7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по данным налоговой инспекции – </w:t>
      </w:r>
      <w:r w:rsidR="007C4051"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57,6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071A7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 </w:t>
      </w:r>
      <w:r w:rsidR="00071A7E"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 района за публикацию НПА  – 1,0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317FA5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 за услуги связи за декабрь  202</w:t>
      </w:r>
      <w:r w:rsidR="00317FA5"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317FA5"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задолженность за электроэнергию за декабрь 202</w:t>
      </w:r>
      <w:r w:rsidR="00317FA5"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– </w:t>
      </w:r>
      <w:r w:rsidR="00317FA5"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36,6</w:t>
      </w:r>
      <w:r w:rsidRPr="00317F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071A7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 по договорам  с финансистом</w:t>
      </w:r>
      <w:r w:rsidR="00071A7E"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13,5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задолженность </w:t>
      </w:r>
      <w:proofErr w:type="gramStart"/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МРИ</w:t>
      </w:r>
      <w:proofErr w:type="gramEnd"/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России №1 по НДФЛ за декабрь 202</w:t>
      </w:r>
      <w:r w:rsidR="00071A7E"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– 2,0 тыс. рублей;</w:t>
      </w:r>
    </w:p>
    <w:p w:rsidR="001B581C" w:rsidRPr="00071A7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задолженность </w:t>
      </w:r>
      <w:proofErr w:type="gramStart"/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МРИ</w:t>
      </w:r>
      <w:proofErr w:type="gramEnd"/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России №1 по страховым взносам  за декабрь 202</w:t>
      </w:r>
      <w:r w:rsidR="00071A7E"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07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Дебиторская задолженность перед получателями бюджетных средств на 01.01.202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48,6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 у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34,0 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 Структур дебиторской задолженности имеет следующий вид: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авансовые платежи за  электроэнергию (за декабрь 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года)  ООО «Северная сбытовая компания» -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авансовые платежи за  подписку  (за декабрь 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года)  УФПС  «Почта России» -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задолженность по налогам по данным налоговой инспекции  –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36,8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- переплата  </w:t>
      </w:r>
      <w:proofErr w:type="gramStart"/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России №1 по НДФЛ –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611A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на 01.01.202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36,8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налогам.</w:t>
      </w:r>
    </w:p>
    <w:p w:rsidR="001B581C" w:rsidRPr="00A22371" w:rsidRDefault="001B581C" w:rsidP="003A5EB1">
      <w:pPr>
        <w:spacing w:after="0" w:line="240" w:lineRule="auto"/>
        <w:ind w:right="-143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611A8E" w:rsidRDefault="001B581C" w:rsidP="003A5EB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1B581C" w:rsidRPr="00611A8E" w:rsidRDefault="001B581C" w:rsidP="003A5EB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202</w:t>
      </w:r>
      <w:r w:rsidR="00611A8E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 Исходя из анализа расходной части бюджета поселения в разделе 0100 «Общегосударственные расходы» расход средств по подразделу 0111«Резервные фонды» не проводился.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611A8E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11A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9. Выводы  и  предложения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1B581C" w:rsidRPr="00E771F2" w:rsidRDefault="001B581C" w:rsidP="003A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202</w:t>
      </w:r>
      <w:r w:rsidR="00E771F2"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с нарушением установленного срока. Наличие представленных документов и материалов к отчету об исполнении бюджета поселения за 202</w:t>
      </w:r>
      <w:r w:rsidR="00E771F2"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7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05 декабря 2014 года №37 </w:t>
      </w: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нормам статьи 264.6 Бюджетного кодекса Российской Федерации.  </w:t>
      </w:r>
    </w:p>
    <w:p w:rsidR="001B581C" w:rsidRPr="00E771F2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7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202</w:t>
      </w:r>
      <w:r w:rsidR="00E771F2" w:rsidRPr="00E771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71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1B581C" w:rsidRPr="00BC3330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202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5355,6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522,0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202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произошло увеличение доходов на 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202,9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в части собственных доходов     уменьшение  составило  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185,8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55,3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в части безвозмездных поступлений увеличение – 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388,7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C3330"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BC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1B581C" w:rsidRPr="009D3451" w:rsidRDefault="001B581C" w:rsidP="009D3451">
      <w:pPr>
        <w:pStyle w:val="3"/>
        <w:jc w:val="both"/>
        <w:rPr>
          <w:rFonts w:eastAsiaTheme="minorEastAsia"/>
          <w:b w:val="0"/>
          <w:color w:val="C00000"/>
          <w:sz w:val="28"/>
          <w:szCs w:val="28"/>
          <w:lang w:eastAsia="ru-RU"/>
        </w:rPr>
      </w:pPr>
      <w:r w:rsidRPr="009D3451">
        <w:rPr>
          <w:rFonts w:eastAsiaTheme="minorEastAsia"/>
          <w:b w:val="0"/>
          <w:color w:val="C00000"/>
          <w:sz w:val="28"/>
          <w:szCs w:val="28"/>
          <w:lang w:eastAsia="ru-RU"/>
        </w:rPr>
        <w:t xml:space="preserve">         </w:t>
      </w:r>
      <w:r w:rsidRPr="009D3451">
        <w:rPr>
          <w:rFonts w:eastAsiaTheme="minorEastAsia"/>
          <w:b w:val="0"/>
          <w:sz w:val="28"/>
          <w:szCs w:val="28"/>
          <w:lang w:eastAsia="ru-RU"/>
        </w:rPr>
        <w:t>В бюджет поселения за 202</w:t>
      </w:r>
      <w:r w:rsidR="00D4532D" w:rsidRPr="009D3451">
        <w:rPr>
          <w:rFonts w:eastAsiaTheme="minorEastAsia"/>
          <w:b w:val="0"/>
          <w:sz w:val="28"/>
          <w:szCs w:val="28"/>
          <w:lang w:eastAsia="ru-RU"/>
        </w:rPr>
        <w:t>1</w:t>
      </w:r>
      <w:r w:rsidRPr="009D3451">
        <w:rPr>
          <w:rFonts w:eastAsiaTheme="minorEastAsia"/>
          <w:b w:val="0"/>
          <w:sz w:val="28"/>
          <w:szCs w:val="28"/>
          <w:lang w:eastAsia="ru-RU"/>
        </w:rPr>
        <w:t xml:space="preserve"> год поступили доходы в объеме </w:t>
      </w:r>
      <w:r w:rsidR="00025CA6" w:rsidRPr="009D3451">
        <w:rPr>
          <w:rFonts w:eastAsiaTheme="minorEastAsia"/>
          <w:b w:val="0"/>
          <w:sz w:val="28"/>
          <w:szCs w:val="28"/>
          <w:lang w:eastAsia="ru-RU"/>
        </w:rPr>
        <w:t>5429,3</w:t>
      </w:r>
      <w:r w:rsidRPr="009D3451">
        <w:rPr>
          <w:rFonts w:eastAsiaTheme="minorEastAsia"/>
          <w:b w:val="0"/>
          <w:sz w:val="28"/>
          <w:szCs w:val="28"/>
          <w:lang w:eastAsia="ru-RU"/>
        </w:rPr>
        <w:t xml:space="preserve"> тыс. рублей, или   </w:t>
      </w:r>
      <w:r w:rsidR="00025CA6" w:rsidRPr="009D3451">
        <w:rPr>
          <w:rFonts w:eastAsiaTheme="minorEastAsia"/>
          <w:b w:val="0"/>
          <w:sz w:val="28"/>
          <w:szCs w:val="28"/>
          <w:lang w:eastAsia="ru-RU"/>
        </w:rPr>
        <w:t>97,7</w:t>
      </w:r>
      <w:r w:rsidRPr="009D3451">
        <w:rPr>
          <w:rFonts w:eastAsiaTheme="minorEastAsia"/>
          <w:b w:val="0"/>
          <w:sz w:val="28"/>
          <w:szCs w:val="28"/>
          <w:lang w:eastAsia="ru-RU"/>
        </w:rPr>
        <w:t xml:space="preserve"> % от утвержденных назначений в сумме </w:t>
      </w:r>
      <w:r w:rsidR="00025CA6" w:rsidRPr="009D3451">
        <w:rPr>
          <w:rFonts w:eastAsiaTheme="minorEastAsia"/>
          <w:b w:val="0"/>
          <w:sz w:val="28"/>
          <w:szCs w:val="28"/>
          <w:lang w:eastAsia="ru-RU"/>
        </w:rPr>
        <w:t>5558,5</w:t>
      </w:r>
      <w:r w:rsidRPr="009D3451">
        <w:rPr>
          <w:rFonts w:eastAsiaTheme="minorEastAsia"/>
          <w:b w:val="0"/>
          <w:sz w:val="28"/>
          <w:szCs w:val="28"/>
          <w:lang w:eastAsia="ru-RU"/>
        </w:rPr>
        <w:t xml:space="preserve"> тыс. рублей.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собственных доходов в отчетном периоде  ниже  утвержденных годовых назначений на </w:t>
      </w:r>
      <w:r w:rsidR="00025CA6"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129,2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5CA6"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2,4 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в 202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годом на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215,1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 снижение на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71,4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Наиболее значительное </w:t>
      </w:r>
      <w:r w:rsidRPr="00025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от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муниципального имущества на 44,6 тыс. рублей, или на 100,0 %, по 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налогу на имущество физических лиц  в сумме</w:t>
      </w:r>
      <w:proofErr w:type="gramEnd"/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54,%,  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земельному налогу на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4,5%</w:t>
      </w:r>
      <w:r w:rsidR="009D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3451" w:rsidRPr="009D3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="009D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CA6" w:rsidRPr="0002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 и по штрафам, санкциям, возмещение ущерба на 8,5 тыс. рублей и 3,7 тыс. рублей соответственно.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структуре собственных доходов наибольший удельный вес  занимает налог на доходы физических лиц – </w:t>
      </w:r>
      <w:r w:rsidR="00025CA6"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174,2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25CA6"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51,7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земельный налог -</w:t>
      </w:r>
      <w:r w:rsid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79,9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025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025CA6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– 71,7 тыс. рублей (21,3 %),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 тыс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(2,2%)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B581C" w:rsidRPr="0089165B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Фактическое исполнение  безвозмездных поступлений в отчетном периоде  составило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97,5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утвержденных годовых назначений.</w:t>
      </w: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произведены в сумме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5545,7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98,1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116,4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273,8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202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</w:t>
      </w:r>
      <w:r w:rsidR="0089165B"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157,4 </w:t>
      </w: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89165B" w:rsidRPr="00E66A69" w:rsidRDefault="001B581C" w:rsidP="008916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9165B" w:rsidRPr="005D09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Расходная часть бюджета  поселения в 2021 году по сравнению с 2020 годом  также увеличилась на 571,1  тыс. рублей, или на 11,5  процентов, 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числе: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оборон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11,0 тыс. рублей (на 25,1%), 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безопасность и правоохранительной деятельности на 4,3 тыс. рублей (на 21,2%), по национальной экономике на 75,9 тыс. рублей (на 25,4%), по жилищно-коммунально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хозяйству</w:t>
      </w:r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313,1</w:t>
      </w:r>
      <w:proofErr w:type="gramEnd"/>
      <w:r w:rsidR="0089165B" w:rsidRPr="00FE5D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165B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(на 57,1%), по образованию на 1,5 тыс. рублей (на 33,3%)</w:t>
      </w:r>
      <w:r w:rsidR="008916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культуре и кинематографии  на 50,0 тыс. рублей (на</w:t>
      </w:r>
      <w:r w:rsidR="0089165B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100,0%),  по физической  культуре и спорту </w:t>
      </w:r>
      <w:proofErr w:type="gramStart"/>
      <w:r w:rsidR="0089165B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89165B"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170,7 тыс. рублей (на 12,1%).</w:t>
      </w:r>
    </w:p>
    <w:p w:rsidR="0089165B" w:rsidRPr="00E66A69" w:rsidRDefault="0089165B" w:rsidP="008916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E66A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 по общегосударственным вопросам на 24,7 тыс. рублей (на 1,0%),  по социальной политике на 30,7 тыс. рублей (на 18,6%).</w:t>
      </w:r>
    </w:p>
    <w:p w:rsidR="001B581C" w:rsidRPr="00B15757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202</w:t>
      </w:r>
      <w:r w:rsidR="0089165B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89165B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на физическую культуру  и спорт –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28,4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жилищно-коммунальное хозяйство –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национальную экономику – 6,8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социальную политику –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национальную оборону, на национальную безопасность и п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равоохранительную деятельность,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образование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культуру, кинематографию 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B15757" w:rsidRPr="00F972A8" w:rsidRDefault="001B581C" w:rsidP="00B157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принят решением Совета поселения</w:t>
      </w:r>
      <w:r w:rsidRPr="00B1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25 декабря 2020  года № 67  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бюджете поселения Туровецкое  на 202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и утвержден без дефицита (профицита).  Решением Совета поселения </w:t>
      </w:r>
      <w:r w:rsidR="00B15757" w:rsidRP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 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декабря  2021 года № </w:t>
      </w:r>
      <w:r w:rsid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25.12.2020 года  №67»</w:t>
      </w:r>
      <w:r w:rsid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уточненный бюджет утвержден 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дефицитом бюджета поселения в сумме </w:t>
      </w:r>
      <w:r w:rsidR="00B157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121,8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</w:t>
      </w:r>
      <w:r w:rsidR="00B15757" w:rsidRPr="00F2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15757">
        <w:rPr>
          <w:rFonts w:ascii="Times New Roman" w:eastAsia="Times New Roman" w:hAnsi="Times New Roman" w:cs="Times New Roman"/>
          <w:sz w:val="28"/>
          <w:szCs w:val="28"/>
          <w:lang w:eastAsia="ru-RU"/>
        </w:rPr>
        <w:t>36,2</w:t>
      </w:r>
      <w:r w:rsidR="00B15757" w:rsidRPr="00F2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15757" w:rsidRPr="00F21173" w:rsidRDefault="001B581C" w:rsidP="00B157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B15757"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B15757" w:rsidRPr="00F972A8" w:rsidRDefault="00B15757" w:rsidP="00B157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17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FF4366" w:rsidRPr="00FF4366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0D5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10D58" w:rsidRPr="0081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81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Кредиторская задолженность бюджета поселения по своим обязательств</w:t>
      </w:r>
      <w:r w:rsidR="00B15757" w:rsidRPr="00810D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составила 120,8 тыс. рублей. Просроченная кредиторская задолженность отсутствует. По сравнению с 2020 годом объем задолженности  уменьшился    на 46,</w:t>
      </w:r>
      <w:r w:rsidR="00B15757" w:rsidRPr="007C40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  тыс. рублей, или  на 38,5 процента.</w:t>
      </w:r>
      <w:r w:rsidR="00FF43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1B581C" w:rsidRPr="00A22371" w:rsidRDefault="00FF4366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1B581C" w:rsidRPr="00A2237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01.01.2022 года  составила 48,6 тыс. рублей. По сравнению с отчетным периодом прошлого года дебиторская задолженность  уменьшилась   на 16,5 тыс. рублей, или на 34,0 процента.</w:t>
      </w:r>
    </w:p>
    <w:p w:rsidR="00FF4366" w:rsidRDefault="001B581C" w:rsidP="00FF436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FF43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FF4366" w:rsidRPr="00611A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задолженность на 01.01.2022  года составила 36,8 тыс. рублей по налогам.</w:t>
      </w:r>
    </w:p>
    <w:p w:rsidR="009D3451" w:rsidRPr="00A22371" w:rsidRDefault="009D3451" w:rsidP="00FF436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B581C" w:rsidRPr="00A22371" w:rsidRDefault="001B581C" w:rsidP="003A5E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F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FF43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FF4366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ревизионная комиссия предлагает:</w:t>
      </w:r>
    </w:p>
    <w:p w:rsidR="00236B90" w:rsidRPr="008B07A5" w:rsidRDefault="00236B90" w:rsidP="0023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1.Осуществлять детальный анализ при планировании и исполнении 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и расходной части бюджета поселения.</w:t>
      </w:r>
    </w:p>
    <w:p w:rsidR="008B07A5" w:rsidRPr="001B241C" w:rsidRDefault="008B07A5" w:rsidP="0023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Не допускать п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ринятие решений 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решение о бюджете поселения без  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B90" w:rsidRPr="001B241C" w:rsidRDefault="00236B90" w:rsidP="0023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07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5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поселения   отчет об исполнении бюджета поселения за 2021 год. </w:t>
      </w:r>
    </w:p>
    <w:p w:rsidR="001B581C" w:rsidRPr="00A22371" w:rsidRDefault="001B581C" w:rsidP="003A5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2237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1B581C" w:rsidRPr="00A22371" w:rsidRDefault="001B581C" w:rsidP="003A5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B581C" w:rsidRPr="00236B90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1B581C" w:rsidRPr="00236B90" w:rsidRDefault="001B581C" w:rsidP="003A5EB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Шестакова М.И.</w:t>
      </w:r>
    </w:p>
    <w:p w:rsidR="00CC6889" w:rsidRPr="00A22371" w:rsidRDefault="00CC6889" w:rsidP="003A5EB1">
      <w:pPr>
        <w:rPr>
          <w:color w:val="C00000"/>
        </w:rPr>
      </w:pPr>
    </w:p>
    <w:sectPr w:rsidR="00CC6889" w:rsidRPr="00A2237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8D" w:rsidRDefault="008E2F8D" w:rsidP="00A8415A">
      <w:pPr>
        <w:spacing w:after="0" w:line="240" w:lineRule="auto"/>
      </w:pPr>
      <w:r>
        <w:separator/>
      </w:r>
    </w:p>
  </w:endnote>
  <w:endnote w:type="continuationSeparator" w:id="0">
    <w:p w:rsidR="008E2F8D" w:rsidRDefault="008E2F8D" w:rsidP="00A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8D" w:rsidRDefault="008E2F8D" w:rsidP="00A8415A">
      <w:pPr>
        <w:spacing w:after="0" w:line="240" w:lineRule="auto"/>
      </w:pPr>
      <w:r>
        <w:separator/>
      </w:r>
    </w:p>
  </w:footnote>
  <w:footnote w:type="continuationSeparator" w:id="0">
    <w:p w:rsidR="008E2F8D" w:rsidRDefault="008E2F8D" w:rsidP="00A8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82961"/>
      <w:docPartObj>
        <w:docPartGallery w:val="Page Numbers (Top of Page)"/>
        <w:docPartUnique/>
      </w:docPartObj>
    </w:sdtPr>
    <w:sdtEndPr/>
    <w:sdtContent>
      <w:p w:rsidR="00BE74F6" w:rsidRDefault="00BE74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B2">
          <w:rPr>
            <w:noProof/>
          </w:rPr>
          <w:t>1</w:t>
        </w:r>
        <w:r>
          <w:fldChar w:fldCharType="end"/>
        </w:r>
      </w:p>
    </w:sdtContent>
  </w:sdt>
  <w:p w:rsidR="00BE74F6" w:rsidRDefault="00BE74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F"/>
    <w:rsid w:val="0001108A"/>
    <w:rsid w:val="00025CA6"/>
    <w:rsid w:val="00035DD8"/>
    <w:rsid w:val="00066AB4"/>
    <w:rsid w:val="0007048F"/>
    <w:rsid w:val="00071A7E"/>
    <w:rsid w:val="00082280"/>
    <w:rsid w:val="000C3A8D"/>
    <w:rsid w:val="000C6961"/>
    <w:rsid w:val="000C6AB2"/>
    <w:rsid w:val="00117A77"/>
    <w:rsid w:val="001B581C"/>
    <w:rsid w:val="001C07CD"/>
    <w:rsid w:val="001E31E3"/>
    <w:rsid w:val="00206DE5"/>
    <w:rsid w:val="00236B90"/>
    <w:rsid w:val="00241FD4"/>
    <w:rsid w:val="00265A32"/>
    <w:rsid w:val="002B6852"/>
    <w:rsid w:val="0030316B"/>
    <w:rsid w:val="00317FA5"/>
    <w:rsid w:val="00341E6F"/>
    <w:rsid w:val="00393EF9"/>
    <w:rsid w:val="003A59DF"/>
    <w:rsid w:val="003A5EB1"/>
    <w:rsid w:val="003E4D72"/>
    <w:rsid w:val="00407C14"/>
    <w:rsid w:val="004530DA"/>
    <w:rsid w:val="004C5042"/>
    <w:rsid w:val="004F3352"/>
    <w:rsid w:val="00500A7D"/>
    <w:rsid w:val="00517815"/>
    <w:rsid w:val="0052738A"/>
    <w:rsid w:val="0054774A"/>
    <w:rsid w:val="00574F22"/>
    <w:rsid w:val="005D0987"/>
    <w:rsid w:val="005E221F"/>
    <w:rsid w:val="005F2BF4"/>
    <w:rsid w:val="00611A8E"/>
    <w:rsid w:val="006701F4"/>
    <w:rsid w:val="006B0001"/>
    <w:rsid w:val="006B3590"/>
    <w:rsid w:val="007A7047"/>
    <w:rsid w:val="007C4051"/>
    <w:rsid w:val="00810D58"/>
    <w:rsid w:val="00843821"/>
    <w:rsid w:val="0089165B"/>
    <w:rsid w:val="008A035E"/>
    <w:rsid w:val="008B07A5"/>
    <w:rsid w:val="008C7B32"/>
    <w:rsid w:val="008E2F8D"/>
    <w:rsid w:val="009015E4"/>
    <w:rsid w:val="009C30D3"/>
    <w:rsid w:val="009C5232"/>
    <w:rsid w:val="009D3451"/>
    <w:rsid w:val="00A044F2"/>
    <w:rsid w:val="00A20183"/>
    <w:rsid w:val="00A22371"/>
    <w:rsid w:val="00A46BCD"/>
    <w:rsid w:val="00A8415A"/>
    <w:rsid w:val="00B15757"/>
    <w:rsid w:val="00B25449"/>
    <w:rsid w:val="00B27FAE"/>
    <w:rsid w:val="00B34D42"/>
    <w:rsid w:val="00B97C35"/>
    <w:rsid w:val="00BC3330"/>
    <w:rsid w:val="00BC3EF1"/>
    <w:rsid w:val="00BC5725"/>
    <w:rsid w:val="00BE74F6"/>
    <w:rsid w:val="00C57266"/>
    <w:rsid w:val="00C62FB3"/>
    <w:rsid w:val="00C71069"/>
    <w:rsid w:val="00C8737C"/>
    <w:rsid w:val="00C91FEC"/>
    <w:rsid w:val="00CC64B0"/>
    <w:rsid w:val="00CC6889"/>
    <w:rsid w:val="00CF6BA6"/>
    <w:rsid w:val="00D10D29"/>
    <w:rsid w:val="00D445BD"/>
    <w:rsid w:val="00D4532D"/>
    <w:rsid w:val="00DA3C74"/>
    <w:rsid w:val="00E3332C"/>
    <w:rsid w:val="00E66A69"/>
    <w:rsid w:val="00E769F3"/>
    <w:rsid w:val="00E771F2"/>
    <w:rsid w:val="00EA77A2"/>
    <w:rsid w:val="00EE2230"/>
    <w:rsid w:val="00F164F3"/>
    <w:rsid w:val="00F21173"/>
    <w:rsid w:val="00F5277E"/>
    <w:rsid w:val="00FA38FF"/>
    <w:rsid w:val="00FD6BE9"/>
    <w:rsid w:val="00FE5DD5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8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B58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8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B581C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B581C"/>
  </w:style>
  <w:style w:type="character" w:styleId="a3">
    <w:name w:val="Strong"/>
    <w:qFormat/>
    <w:rsid w:val="001B581C"/>
    <w:rPr>
      <w:b/>
      <w:bCs/>
    </w:rPr>
  </w:style>
  <w:style w:type="paragraph" w:styleId="a4">
    <w:name w:val="Normal (Web)"/>
    <w:basedOn w:val="a"/>
    <w:rsid w:val="001B58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B5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B5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581C"/>
  </w:style>
  <w:style w:type="table" w:styleId="a8">
    <w:name w:val="Table Grid"/>
    <w:basedOn w:val="a1"/>
    <w:rsid w:val="001B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58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1B5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B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B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1B581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1B58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1B581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B581C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B581C"/>
  </w:style>
  <w:style w:type="paragraph" w:styleId="ad">
    <w:name w:val="List Paragraph"/>
    <w:basedOn w:val="a"/>
    <w:uiPriority w:val="34"/>
    <w:qFormat/>
    <w:rsid w:val="001B581C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58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B58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8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B581C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B581C"/>
  </w:style>
  <w:style w:type="character" w:styleId="a3">
    <w:name w:val="Strong"/>
    <w:qFormat/>
    <w:rsid w:val="001B581C"/>
    <w:rPr>
      <w:b/>
      <w:bCs/>
    </w:rPr>
  </w:style>
  <w:style w:type="paragraph" w:styleId="a4">
    <w:name w:val="Normal (Web)"/>
    <w:basedOn w:val="a"/>
    <w:rsid w:val="001B581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B5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B5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581C"/>
  </w:style>
  <w:style w:type="table" w:styleId="a8">
    <w:name w:val="Table Grid"/>
    <w:basedOn w:val="a1"/>
    <w:rsid w:val="001B5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B58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1B58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B5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B58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1B581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1B58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1B581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1B581C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B581C"/>
  </w:style>
  <w:style w:type="paragraph" w:styleId="ad">
    <w:name w:val="List Paragraph"/>
    <w:basedOn w:val="a"/>
    <w:uiPriority w:val="34"/>
    <w:qFormat/>
    <w:rsid w:val="001B58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43,0%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6,8%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"Культура"</a:t>
                    </a:r>
                    <a:r>
                      <a:rPr lang="ru-RU" baseline="0"/>
                      <a:t> 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Лист1!$B$273:$B$281</c:f>
              <c:numCache>
                <c:formatCode>General</c:formatCode>
                <c:ptCount val="9"/>
                <c:pt idx="0">
                  <c:v>43</c:v>
                </c:pt>
                <c:pt idx="1">
                  <c:v>1.9</c:v>
                </c:pt>
                <c:pt idx="2">
                  <c:v>0.4</c:v>
                </c:pt>
                <c:pt idx="3">
                  <c:v>6.8</c:v>
                </c:pt>
                <c:pt idx="4">
                  <c:v>15.5</c:v>
                </c:pt>
                <c:pt idx="5">
                  <c:v>0.1</c:v>
                </c:pt>
                <c:pt idx="6">
                  <c:v>0.9</c:v>
                </c:pt>
                <c:pt idx="7">
                  <c:v>3</c:v>
                </c:pt>
                <c:pt idx="8">
                  <c:v>28.4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D901-2CCD-4352-832A-8CC8FABF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2022-03-22T09:21:00Z</cp:lastPrinted>
  <dcterms:created xsi:type="dcterms:W3CDTF">2022-03-24T07:04:00Z</dcterms:created>
  <dcterms:modified xsi:type="dcterms:W3CDTF">2022-03-24T07:04:00Z</dcterms:modified>
</cp:coreProperties>
</file>