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35D5D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428884C1" wp14:editId="0A59BB1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D5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A35D5D" w:rsidRPr="00A35D5D" w:rsidRDefault="00A35D5D" w:rsidP="00A35D5D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D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A35D5D" w:rsidRPr="00A35D5D" w:rsidRDefault="00A35D5D" w:rsidP="00A35D5D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D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A35D5D" w:rsidRPr="00A35D5D" w:rsidRDefault="00A35D5D" w:rsidP="00A35D5D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5D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A35D5D" w:rsidRPr="00A35D5D" w:rsidRDefault="00A35D5D" w:rsidP="00A35D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района</w:t>
      </w:r>
    </w:p>
    <w:p w:rsidR="00A35D5D" w:rsidRPr="00A35D5D" w:rsidRDefault="00A35D5D" w:rsidP="00A35D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  202</w:t>
      </w:r>
      <w:r w:rsidR="00783D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35D5D" w:rsidRPr="00A35D5D" w:rsidRDefault="00A35D5D" w:rsidP="00A35D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D5D" w:rsidRPr="00AC5555" w:rsidRDefault="00A35D5D" w:rsidP="00A35D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D5D" w:rsidRPr="00AC5555" w:rsidRDefault="008F7CA8" w:rsidP="00A35D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0F21" w:rsidRPr="00AC55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5555" w:rsidRPr="00AC55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5D5D" w:rsidRPr="00A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55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A35D5D" w:rsidRPr="00A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83D3E" w:rsidRPr="00AC55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D5D" w:rsidRPr="00AC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решением Представительного Собрания Междуреченского муниципального района от 26 февраля 2013 года № 2 «О бюджетном процессе в Междуреченском муниципальном районе» отчет об исполнении бюджета района за первый квартал, полугодие и девять месяцев текущего финансового года утверждается и направляется администрацией района в Представительное Собрание района и ревизионную комиссию.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района за 1 полугодие  202</w:t>
      </w:r>
      <w:r w:rsidR="00783D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район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16 июля 202</w:t>
      </w:r>
      <w:r w:rsidR="00032269"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32269"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5D5D" w:rsidRPr="00032269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A35D5D" w:rsidRPr="00032269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района  за 1 полугодие 202</w:t>
      </w:r>
      <w:r w:rsidR="00032269"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A35D5D" w:rsidRPr="00032269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A35D5D" w:rsidRPr="00032269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района за 1 полугодие 202</w:t>
      </w:r>
      <w:r w:rsidR="00032269"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A35D5D" w:rsidRPr="00032269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управлением финансов района представлена информация о доходах и об основных направлениях расходов за 1 полугодие  202</w:t>
      </w:r>
      <w:r w:rsidR="00032269"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0322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района. </w:t>
      </w:r>
    </w:p>
    <w:p w:rsidR="00A35D5D" w:rsidRPr="00A35D5D" w:rsidRDefault="00A35D5D" w:rsidP="00A35D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района за 1 полугодие  202</w:t>
      </w:r>
      <w:r w:rsidR="00DC18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района в форме приложений: 1 – по доходам бюджета района, 2 – по расходам  бюджета района по разделам,  3 – по показателям дефицита (профицита) бюджета района.</w:t>
      </w:r>
    </w:p>
    <w:p w:rsidR="00225E24" w:rsidRPr="00AA4C93" w:rsidRDefault="00A35D5D" w:rsidP="00225E2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решение «О бюджете района на 202</w:t>
      </w:r>
      <w:r w:rsidR="00032269"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2269"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2269"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1 полугодии 202</w:t>
      </w:r>
      <w:r w:rsidR="00032269"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 </w:t>
      </w:r>
      <w:r w:rsidR="00032269"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032269"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032269"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района от </w:t>
      </w:r>
      <w:r w:rsidR="00032269"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269"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032269"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32269"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>3 и от 18 мая 2021 года №17</w:t>
      </w:r>
      <w:r w:rsidRPr="0003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5E24" w:rsidRPr="00D342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</w:t>
      </w:r>
      <w:r w:rsidR="00225E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r w:rsidR="00225E24" w:rsidRPr="00D342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повлекл</w:t>
      </w:r>
      <w:r w:rsidR="00225E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25E24" w:rsidRPr="00D342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изменения в основные параметры бюджета района.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225E24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 района на 202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 решением Представительного Собрания района от 1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4, со  следующими параметрами:</w:t>
      </w:r>
    </w:p>
    <w:p w:rsidR="00A35D5D" w:rsidRPr="00225E24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объем доходов бюджета района – 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295510,7</w:t>
      </w:r>
      <w:r w:rsidRPr="002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A35D5D" w:rsidRPr="00225E24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района  - 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307945,7</w:t>
      </w:r>
      <w:r w:rsidRPr="002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A35D5D" w:rsidRPr="00225E24" w:rsidRDefault="00A35D5D" w:rsidP="00A35D5D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дефицит бюджет района   - 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12435,0</w:t>
      </w:r>
      <w:r w:rsidRPr="00225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A35D5D" w:rsidRPr="00225E24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Утвержденный бюджет с учетом вносимых поправок  составил:</w:t>
      </w:r>
    </w:p>
    <w:p w:rsidR="00A35D5D" w:rsidRPr="00225E24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объем доходов бюджета района 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306464,0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35D5D" w:rsidRPr="00225E24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объем расходов бюджета района 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324715,4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35D5D" w:rsidRPr="00225E24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дефицит  бюджета    составил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18251,4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35D5D" w:rsidRPr="00225E24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отчета об исполнении бюджета доходы   составили 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121730,2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39,7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306464,0 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расходы – 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130272,4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40,1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324715,4 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дефицит  составил –  </w:t>
      </w:r>
      <w:r w:rsidR="00225E24"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>8542,2</w:t>
      </w:r>
      <w:r w:rsidRPr="0022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A35D5D" w:rsidRPr="00A35D5D" w:rsidRDefault="00A35D5D" w:rsidP="00A35D5D">
      <w:pPr>
        <w:tabs>
          <w:tab w:val="left" w:pos="54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821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района за 1 полугодие  202</w:t>
      </w:r>
      <w:r w:rsidR="00A82179" w:rsidRPr="00A8217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</w:t>
      </w:r>
      <w:r w:rsidR="00A82179" w:rsidRPr="00A821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8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8F7CA8" w:rsidRDefault="008F7CA8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CA8" w:rsidRDefault="008F7CA8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CA8" w:rsidRPr="00A82179" w:rsidRDefault="008F7CA8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D5D" w:rsidRPr="00A82179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D5D" w:rsidRPr="00A82179" w:rsidRDefault="00A82179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№ 1 </w:t>
      </w:r>
      <w:r w:rsidRPr="00A82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1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A35D5D" w:rsidRPr="00A82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274"/>
        <w:gridCol w:w="1248"/>
        <w:gridCol w:w="1274"/>
        <w:gridCol w:w="1271"/>
        <w:gridCol w:w="1325"/>
        <w:gridCol w:w="1402"/>
      </w:tblGrid>
      <w:tr w:rsidR="00783D3E" w:rsidRPr="00A35D5D" w:rsidTr="00606505">
        <w:trPr>
          <w:trHeight w:val="2158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06505" w:rsidRDefault="00A35D5D" w:rsidP="006065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1 полугодие 20</w:t>
            </w:r>
            <w:r w:rsidR="00606505"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06505"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  <w:p w:rsidR="00A35D5D" w:rsidRPr="00606505" w:rsidRDefault="00A35D5D" w:rsidP="006065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06505"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Абсолютное отклонение 1полугодия</w:t>
            </w: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06505"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 от</w:t>
            </w: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1полугодия</w:t>
            </w: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06505"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 20</w:t>
            </w:r>
            <w:r w:rsidR="00606505"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A35D5D" w:rsidRPr="00606505" w:rsidRDefault="00A35D5D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D3E" w:rsidRPr="00A35D5D" w:rsidTr="00606505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06505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06505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06505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06505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06505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06505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06505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06505" w:rsidRPr="00A35D5D" w:rsidTr="00606505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05" w:rsidRPr="00606505" w:rsidRDefault="00606505" w:rsidP="00A35D5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05" w:rsidRPr="00606505" w:rsidRDefault="00606505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115557,6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05" w:rsidRPr="00606505" w:rsidRDefault="0060650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306464,0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05" w:rsidRPr="00606505" w:rsidRDefault="0060650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121730,2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05" w:rsidRPr="00606505" w:rsidRDefault="0060650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05" w:rsidRPr="00606505" w:rsidRDefault="0060650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6172,6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05" w:rsidRPr="00606505" w:rsidRDefault="0060650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</w:tr>
      <w:tr w:rsidR="00606505" w:rsidRPr="00A35D5D" w:rsidTr="00606505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05" w:rsidRPr="00606505" w:rsidRDefault="0060650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05" w:rsidRPr="00606505" w:rsidRDefault="00606505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116593,5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05" w:rsidRPr="00606505" w:rsidRDefault="0060650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324715,4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05" w:rsidRPr="00606505" w:rsidRDefault="0060650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130272,4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05" w:rsidRPr="00606505" w:rsidRDefault="0060650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05" w:rsidRPr="00606505" w:rsidRDefault="0060650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13678,9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05" w:rsidRPr="00606505" w:rsidRDefault="0060650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</w:t>
            </w:r>
          </w:p>
        </w:tc>
      </w:tr>
      <w:tr w:rsidR="00606505" w:rsidRPr="00A35D5D" w:rsidTr="00606505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05" w:rsidRPr="00606505" w:rsidRDefault="0060650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(-),</w:t>
            </w:r>
          </w:p>
          <w:p w:rsidR="00606505" w:rsidRPr="00606505" w:rsidRDefault="0060650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 (+)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05" w:rsidRPr="00606505" w:rsidRDefault="00606505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-1035,9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05" w:rsidRPr="00606505" w:rsidRDefault="00606505" w:rsidP="006065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18251,4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05" w:rsidRPr="00606505" w:rsidRDefault="00606505" w:rsidP="006065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8542,2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05" w:rsidRPr="00606505" w:rsidRDefault="0060650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05" w:rsidRPr="00606505" w:rsidRDefault="0060650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7506,3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05" w:rsidRPr="00606505" w:rsidRDefault="0060650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8,2 раза</w:t>
            </w:r>
          </w:p>
        </w:tc>
      </w:tr>
    </w:tbl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полугодием 20</w:t>
      </w:r>
      <w:r w:rsidR="001F0C09"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района увеличились на </w:t>
      </w:r>
      <w:r w:rsidR="001F0C09"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>6172,6</w:t>
      </w:r>
      <w:r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1F0C09"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расходы также увеличились на </w:t>
      </w:r>
      <w:r w:rsidR="001F0C09"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>13678,9</w:t>
      </w:r>
      <w:r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1F0C09"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>%. Бюджет района за 1 полугодие 202</w:t>
      </w:r>
      <w:r w:rsidR="001F0C09"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дефицитом в сумме  </w:t>
      </w:r>
      <w:r w:rsidR="001F0C09"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>8542,2</w:t>
      </w:r>
      <w:r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</w:t>
      </w:r>
      <w:r w:rsidR="001F0C09"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 исполнен также с дефицитом  в сумме </w:t>
      </w:r>
      <w:r w:rsidR="001F0C09"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1035,9 </w:t>
      </w:r>
      <w:r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A35D5D" w:rsidRPr="001F0C09" w:rsidRDefault="00A35D5D" w:rsidP="00A35D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причиной низкого  исполнения   доходной части бюджета является то, что из областного бюджета поступили субсидии   только </w:t>
      </w:r>
      <w:r w:rsidR="001F0C09" w:rsidRPr="001F0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18,2 процента (13272,9</w:t>
      </w:r>
      <w:r w:rsidRPr="001F0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1F0C09" w:rsidRPr="001F0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F0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вместо 50,0 </w:t>
      </w:r>
      <w:r w:rsidR="001F0C09" w:rsidRPr="001F0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процентов</w:t>
      </w:r>
      <w:r w:rsidRPr="001F0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основная часть поступления субсидий планируется </w:t>
      </w:r>
      <w:r w:rsidR="0095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</w:t>
      </w:r>
      <w:r w:rsidRPr="001F0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второ</w:t>
      </w:r>
      <w:r w:rsidR="0095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1F0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полугоди</w:t>
      </w:r>
      <w:r w:rsidR="0095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F0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т.г.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</w:t>
      </w:r>
    </w:p>
    <w:p w:rsidR="00A35D5D" w:rsidRPr="00A35D5D" w:rsidRDefault="00A35D5D" w:rsidP="00A35D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A35D5D" w:rsidRPr="001F0C09" w:rsidRDefault="00A35D5D" w:rsidP="00A35D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F0C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района. </w:t>
      </w:r>
    </w:p>
    <w:p w:rsidR="00A35D5D" w:rsidRPr="00A35D5D" w:rsidRDefault="00A35D5D" w:rsidP="00A35D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 бюджета района в  202</w:t>
      </w:r>
      <w:r w:rsidR="001F0C09"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по сравнению с первоначально утвержденными показателями увеличилась на </w:t>
      </w:r>
      <w:r w:rsid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>10953,3</w:t>
      </w:r>
      <w:r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района по доходам за 1 полугодие  202</w:t>
      </w:r>
      <w:r w:rsidR="001F0C09"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0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A35D5D" w:rsidRPr="001F0C09" w:rsidRDefault="00A35D5D" w:rsidP="00A35D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</w:t>
      </w:r>
      <w:r w:rsidRPr="001F0C09">
        <w:rPr>
          <w:rFonts w:ascii="Times New Roman" w:eastAsia="Times New Roman" w:hAnsi="Times New Roman" w:cs="Times New Roman"/>
          <w:lang w:eastAsia="ru-RU"/>
        </w:rPr>
        <w:t xml:space="preserve">Таблица 2                         </w:t>
      </w:r>
      <w:r w:rsidRPr="001F0C0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</w:t>
      </w:r>
      <w:r w:rsidR="001F0C09" w:rsidRPr="001F0C09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1F0C09">
        <w:rPr>
          <w:rFonts w:ascii="Times New Roman" w:eastAsia="Times New Roman" w:hAnsi="Times New Roman" w:cs="Times New Roman"/>
          <w:lang w:eastAsia="ru-RU"/>
        </w:rPr>
        <w:t xml:space="preserve">     тыс. руб.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993"/>
        <w:gridCol w:w="993"/>
        <w:gridCol w:w="567"/>
        <w:gridCol w:w="994"/>
        <w:gridCol w:w="1135"/>
        <w:gridCol w:w="703"/>
        <w:gridCol w:w="857"/>
        <w:gridCol w:w="851"/>
        <w:gridCol w:w="236"/>
      </w:tblGrid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1F0C09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1F0C09" w:rsidRDefault="00A35D5D" w:rsidP="001F0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</w:t>
            </w:r>
            <w:r w:rsidR="001F0C09"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1F0C09" w:rsidRDefault="00A35D5D" w:rsidP="001F0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полугодие 20</w:t>
            </w:r>
            <w:r w:rsidR="001F0C09"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5D" w:rsidRPr="001F0C09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A35D5D" w:rsidRPr="001F0C09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1F0C09" w:rsidRDefault="00A35D5D" w:rsidP="001F0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1F0C09"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1F0C09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A35D5D" w:rsidRPr="001F0C09" w:rsidRDefault="00A35D5D" w:rsidP="001F0C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полугодие 202</w:t>
            </w:r>
            <w:r w:rsidR="001F0C09"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5D" w:rsidRPr="001F0C09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A35D5D" w:rsidRPr="001F0C09" w:rsidRDefault="00A35D5D" w:rsidP="00A35D5D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1F0C09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A35D5D" w:rsidRPr="001F0C09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A35D5D" w:rsidRPr="001F0C09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A35D5D" w:rsidRPr="001F0C09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1F0C09" w:rsidRPr="001F0C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Pr="001F0C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 от</w:t>
            </w:r>
          </w:p>
          <w:p w:rsidR="00A35D5D" w:rsidRPr="001F0C09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A35D5D" w:rsidRPr="001F0C09" w:rsidRDefault="00A35D5D" w:rsidP="001F0C09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1F0C09" w:rsidRPr="001F0C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1F0C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1F0C09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A35D5D" w:rsidRPr="001F0C09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</w:t>
            </w:r>
          </w:p>
          <w:p w:rsidR="00A35D5D" w:rsidRPr="001F0C09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A35D5D" w:rsidRPr="001F0C09" w:rsidRDefault="00A35D5D" w:rsidP="00A35D5D">
            <w:pPr>
              <w:spacing w:after="0" w:line="240" w:lineRule="auto"/>
              <w:ind w:left="-108" w:right="-1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1F0C09" w:rsidRPr="001F0C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1F0C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A35D5D" w:rsidRPr="001F0C09" w:rsidRDefault="00A35D5D" w:rsidP="00A35D5D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НАЛОГОВЫЕ ДОХОДЫ: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63369,0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hanging="108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28167,3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left="-107" w:right="-109" w:hang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44,4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65747,0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D96BE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31037,4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left="-107" w:right="-109" w:hang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ind w:left="-249" w:right="34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110,2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52641,0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24009,0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45,6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56566,0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25504,1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106,2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- акцизы по подакцизным товарам (продукции)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5999,0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2587,7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43,1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2971,2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114,8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- налог на совокупный доход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4218,0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1257,7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2284,2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181,6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511,0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312,9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3834,0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1733,2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45,2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7695,0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5529,5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3,2 раза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2104,0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825,3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1188,7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- платежи при пользовании природными ресурсами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604,0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211,8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112,4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861,0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359,0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right="-109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4120,7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right="-109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6D1CD8" w:rsidRDefault="006D1CD8" w:rsidP="006D1CD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CD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  <w:r w:rsidRPr="006D1CD8">
              <w:rPr>
                <w:rFonts w:ascii="Times New Roman" w:eastAsia="Times New Roman" w:hAnsi="Times New Roman" w:cs="Times New Roman"/>
                <w:lang w:eastAsia="ru-RU"/>
              </w:rPr>
              <w:t xml:space="preserve"> раза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- 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201,0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321,0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right="-108"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159,7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047316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51,1</w:t>
            </w:r>
          </w:p>
        </w:tc>
      </w:tr>
      <w:tr w:rsidR="00047316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Pr="001F0C09" w:rsidRDefault="00047316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прочие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Pr="001F0C09" w:rsidRDefault="00047316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Pr="001F0C09" w:rsidRDefault="00047316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Pr="001F0C09" w:rsidRDefault="00047316" w:rsidP="00047316">
            <w:pPr>
              <w:spacing w:after="0" w:line="240" w:lineRule="auto"/>
              <w:ind w:right="-108"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Default="00047316" w:rsidP="00047316">
            <w:pPr>
              <w:spacing w:after="0" w:line="240" w:lineRule="auto"/>
              <w:ind w:right="-108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Pr="001F0C09" w:rsidRDefault="006D1CD8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16" w:rsidRPr="001F0C09" w:rsidRDefault="006D1CD8" w:rsidP="00A35D5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67203,0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29900,5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44,5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73442,0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36566,9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6666,4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122,3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237633,6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85657,1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36,0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233022,0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85163,3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36,5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-493,8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6D1CD8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99,4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80081,5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6D1CD8" w:rsidP="00047316">
            <w:pPr>
              <w:spacing w:after="0" w:line="240" w:lineRule="auto"/>
              <w:ind w:hanging="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1F0C09" w:rsidRPr="001F0C09">
              <w:rPr>
                <w:rFonts w:ascii="Times New Roman" w:eastAsia="Times New Roman" w:hAnsi="Times New Roman" w:cs="Times New Roman"/>
                <w:lang w:eastAsia="ru-RU"/>
              </w:rPr>
              <w:t>35433,8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44,2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78277,6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985A72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28489,6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985A72" w:rsidP="00A35D5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-6944,2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985A72" w:rsidP="00A35D5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- субсидии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77799,6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1966,7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72950,5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13272,9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right="-1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985A72" w:rsidP="00A35D5D">
            <w:pPr>
              <w:spacing w:after="0" w:line="240" w:lineRule="auto"/>
              <w:ind w:left="-107" w:right="-25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985A72" w:rsidRDefault="00985A72" w:rsidP="00985A72">
            <w:pPr>
              <w:spacing w:after="0" w:line="240" w:lineRule="auto"/>
              <w:ind w:left="-108" w:right="-10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3,2</w:t>
            </w:r>
            <w:r w:rsidRPr="00985A72">
              <w:rPr>
                <w:rFonts w:ascii="Times New Roman" w:eastAsia="Times New Roman" w:hAnsi="Times New Roman" w:cs="Times New Roman"/>
                <w:lang w:eastAsia="ru-RU"/>
              </w:rPr>
              <w:t>раза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78173,3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47677,2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61,0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79940,5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42300,5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8F1746" w:rsidP="00A35D5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-5376,7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8F1746" w:rsidP="00A35D5D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1579,2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579,4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1683,4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8F174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8F174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157,1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- прочие 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47316" w:rsidP="00004840">
            <w:pPr>
              <w:spacing w:after="0" w:line="240" w:lineRule="auto"/>
              <w:ind w:right="-103" w:hanging="10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8F174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8F174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0C09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04840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04840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04840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Default="008F174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72,2</w:t>
            </w:r>
          </w:p>
          <w:p w:rsidR="00004840" w:rsidRPr="001F0C09" w:rsidRDefault="00004840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8F174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04840" w:rsidRPr="001F0C09" w:rsidTr="00004840">
        <w:trPr>
          <w:gridAfter w:val="1"/>
          <w:wAfter w:w="236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40" w:rsidRPr="001F0C09" w:rsidRDefault="00004840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-возврат </w:t>
            </w: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t xml:space="preserve">остатков субсидий, субвенций и иных межбюджетных </w:t>
            </w:r>
            <w:r w:rsidRPr="001F0C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40" w:rsidRPr="001F0C09" w:rsidRDefault="00004840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40" w:rsidRPr="001F0C09" w:rsidRDefault="00004840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40" w:rsidRPr="001F0C09" w:rsidRDefault="00004840" w:rsidP="0004731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40" w:rsidRDefault="00004840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40" w:rsidRDefault="00004840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-72,3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40" w:rsidRDefault="00004840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40" w:rsidRDefault="008F174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40" w:rsidRPr="001F0C09" w:rsidRDefault="008F1746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F0C09" w:rsidRPr="001F0C09" w:rsidTr="00004840">
        <w:trPr>
          <w:trHeight w:val="309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047316">
            <w:pPr>
              <w:tabs>
                <w:tab w:val="left" w:pos="525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304836,6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8F1746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115557,6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09" w:rsidRPr="001F0C09" w:rsidRDefault="001F0C09" w:rsidP="008F174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C09">
              <w:rPr>
                <w:rFonts w:ascii="Times New Roman" w:eastAsia="Times New Roman" w:hAnsi="Times New Roman" w:cs="Times New Roman"/>
                <w:b/>
                <w:lang w:eastAsia="ru-RU"/>
              </w:rPr>
              <w:t>37,9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09" w:rsidRPr="001F0C09" w:rsidRDefault="00004840" w:rsidP="008F1746">
            <w:pPr>
              <w:tabs>
                <w:tab w:val="left" w:pos="525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306464,0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0C09" w:rsidRPr="001F0C09" w:rsidRDefault="00004840" w:rsidP="008F1746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121730,2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0C09" w:rsidRPr="001F0C09" w:rsidRDefault="00004840" w:rsidP="00A35D5D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39,7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0C09" w:rsidRPr="001F0C09" w:rsidRDefault="008F1746" w:rsidP="00A35D5D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6172,6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0C09" w:rsidRPr="001F0C09" w:rsidRDefault="008F1746" w:rsidP="00A35D5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105,3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C09" w:rsidRPr="001F0C09" w:rsidRDefault="001F0C09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35D5D" w:rsidRPr="00A35D5D" w:rsidRDefault="00A35D5D" w:rsidP="00A35D5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35D5D" w:rsidRPr="005B0697" w:rsidRDefault="00A35D5D" w:rsidP="00A35D5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B0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Налоговые и неналоговые доходы бюджета района</w:t>
      </w:r>
      <w:r w:rsidRPr="00A35D5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. </w:t>
      </w:r>
    </w:p>
    <w:p w:rsidR="00A35D5D" w:rsidRPr="00A35D5D" w:rsidRDefault="00A35D5D" w:rsidP="00A35D5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35D5D" w:rsidRPr="005B0697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5B0697" w:rsidRPr="005B0697">
        <w:rPr>
          <w:rFonts w:ascii="Times New Roman" w:eastAsia="Times New Roman" w:hAnsi="Times New Roman" w:cs="Times New Roman"/>
          <w:sz w:val="28"/>
          <w:szCs w:val="28"/>
          <w:lang w:eastAsia="ru-RU"/>
        </w:rPr>
        <w:t>36566,9</w:t>
      </w:r>
      <w:r w:rsidRPr="005B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5B0697" w:rsidRPr="005B0697">
        <w:rPr>
          <w:rFonts w:ascii="Times New Roman" w:eastAsia="Times New Roman" w:hAnsi="Times New Roman" w:cs="Times New Roman"/>
          <w:sz w:val="28"/>
          <w:szCs w:val="28"/>
          <w:lang w:eastAsia="ru-RU"/>
        </w:rPr>
        <w:t>49,8</w:t>
      </w:r>
      <w:r w:rsidRPr="005B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5B0697" w:rsidRPr="005B0697">
        <w:rPr>
          <w:rFonts w:ascii="Times New Roman" w:eastAsia="Times New Roman" w:hAnsi="Times New Roman" w:cs="Times New Roman"/>
          <w:sz w:val="28"/>
          <w:szCs w:val="28"/>
          <w:lang w:eastAsia="ru-RU"/>
        </w:rPr>
        <w:t>73442,0</w:t>
      </w:r>
      <w:r w:rsidRPr="005B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</w:t>
      </w:r>
      <w:r w:rsidR="005B0697" w:rsidRPr="005B069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B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у</w:t>
      </w:r>
      <w:r w:rsidR="005B0697" w:rsidRPr="005B06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5B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 w:rsidR="005B0697" w:rsidRPr="005B0697">
        <w:rPr>
          <w:rFonts w:ascii="Times New Roman" w:eastAsia="Times New Roman" w:hAnsi="Times New Roman" w:cs="Times New Roman"/>
          <w:sz w:val="28"/>
          <w:szCs w:val="28"/>
          <w:lang w:eastAsia="ru-RU"/>
        </w:rPr>
        <w:t>6666,4</w:t>
      </w:r>
      <w:r w:rsidRPr="005B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B0697" w:rsidRPr="005B0697">
        <w:rPr>
          <w:rFonts w:ascii="Times New Roman" w:eastAsia="Times New Roman" w:hAnsi="Times New Roman" w:cs="Times New Roman"/>
          <w:sz w:val="28"/>
          <w:szCs w:val="28"/>
          <w:lang w:eastAsia="ru-RU"/>
        </w:rPr>
        <w:t>22,3</w:t>
      </w:r>
      <w:r w:rsidRPr="005B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 </w:t>
      </w:r>
    </w:p>
    <w:p w:rsidR="00A35D5D" w:rsidRPr="005B0697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5B0697">
        <w:rPr>
          <w:rFonts w:ascii="Times New Roman" w:eastAsia="Calibri" w:hAnsi="Times New Roman" w:cs="Times New Roman"/>
          <w:sz w:val="28"/>
          <w:szCs w:val="28"/>
        </w:rPr>
        <w:t>Структура налоговых  и неналоговых доходов бюджета района  в сравнении с 1 полугодием 20</w:t>
      </w:r>
      <w:r w:rsidR="005B0697" w:rsidRPr="005B0697">
        <w:rPr>
          <w:rFonts w:ascii="Times New Roman" w:eastAsia="Calibri" w:hAnsi="Times New Roman" w:cs="Times New Roman"/>
          <w:sz w:val="28"/>
          <w:szCs w:val="28"/>
        </w:rPr>
        <w:t>20</w:t>
      </w:r>
      <w:r w:rsidRPr="005B0697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A35D5D" w:rsidRPr="005B0697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D5D" w:rsidRPr="005B0697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6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p w:rsidR="00A35D5D" w:rsidRPr="00A35D5D" w:rsidRDefault="0097454A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E2B872A" wp14:editId="542DDA6A">
            <wp:extent cx="5822830" cy="6072997"/>
            <wp:effectExtent l="0" t="0" r="26035" b="234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5D5D" w:rsidRPr="0097454A" w:rsidRDefault="00A35D5D" w:rsidP="00A35D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454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7454A">
        <w:rPr>
          <w:rFonts w:ascii="Times New Roman" w:eastAsia="Calibri" w:hAnsi="Times New Roman" w:cs="Times New Roman"/>
          <w:i/>
          <w:sz w:val="28"/>
          <w:szCs w:val="28"/>
        </w:rPr>
        <w:t>Налоговые доходы.</w:t>
      </w: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A35D5D" w:rsidRPr="007D3E27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E27">
        <w:rPr>
          <w:rFonts w:ascii="Times New Roman" w:eastAsia="Calibri" w:hAnsi="Times New Roman" w:cs="Times New Roman"/>
          <w:sz w:val="28"/>
          <w:szCs w:val="28"/>
        </w:rPr>
        <w:t>Налоговые доходы</w:t>
      </w:r>
      <w:r w:rsidRPr="007D3E2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D3E27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97454A" w:rsidRPr="007D3E27">
        <w:rPr>
          <w:rFonts w:ascii="Times New Roman" w:eastAsia="Calibri" w:hAnsi="Times New Roman" w:cs="Times New Roman"/>
          <w:sz w:val="28"/>
          <w:szCs w:val="28"/>
        </w:rPr>
        <w:t>31037,4</w:t>
      </w:r>
      <w:r w:rsidRPr="007D3E27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97454A" w:rsidRPr="007D3E27">
        <w:rPr>
          <w:rFonts w:ascii="Times New Roman" w:eastAsia="Calibri" w:hAnsi="Times New Roman" w:cs="Times New Roman"/>
          <w:sz w:val="28"/>
          <w:szCs w:val="28"/>
        </w:rPr>
        <w:t>47,2</w:t>
      </w:r>
      <w:r w:rsidRPr="007D3E27">
        <w:rPr>
          <w:rFonts w:ascii="Times New Roman" w:eastAsia="Calibri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97454A" w:rsidRPr="007D3E27">
        <w:rPr>
          <w:rFonts w:ascii="Times New Roman" w:eastAsia="Calibri" w:hAnsi="Times New Roman" w:cs="Times New Roman"/>
          <w:sz w:val="28"/>
          <w:szCs w:val="28"/>
        </w:rPr>
        <w:t>65747,0</w:t>
      </w:r>
      <w:r w:rsidRPr="007D3E27">
        <w:rPr>
          <w:rFonts w:ascii="Times New Roman" w:eastAsia="Calibri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района составила </w:t>
      </w:r>
      <w:r w:rsidR="007D3E27" w:rsidRPr="007D3E27">
        <w:rPr>
          <w:rFonts w:ascii="Times New Roman" w:eastAsia="Calibri" w:hAnsi="Times New Roman" w:cs="Times New Roman"/>
          <w:sz w:val="28"/>
          <w:szCs w:val="28"/>
        </w:rPr>
        <w:t>25,5</w:t>
      </w:r>
      <w:r w:rsidRPr="007D3E27">
        <w:rPr>
          <w:rFonts w:ascii="Times New Roman" w:eastAsia="Calibri" w:hAnsi="Times New Roman" w:cs="Times New Roman"/>
          <w:sz w:val="28"/>
          <w:szCs w:val="28"/>
        </w:rPr>
        <w:t xml:space="preserve"> процента.  </w:t>
      </w: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Pr="007D3E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полугодии 202</w:t>
      </w:r>
      <w:r w:rsidR="007D3E27" w:rsidRPr="007D3E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D96BE4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96BE4">
        <w:rPr>
          <w:rFonts w:ascii="Times New Roman" w:eastAsia="Times New Roman" w:hAnsi="Times New Roman" w:cs="Times New Roman"/>
          <w:lang w:eastAsia="ru-RU"/>
        </w:rPr>
        <w:t>Таблица № 3</w:t>
      </w:r>
      <w:r w:rsidRPr="00D96BE4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c"/>
        <w:tblW w:w="0" w:type="auto"/>
        <w:tblInd w:w="108" w:type="dxa"/>
        <w:tblLook w:val="01E0" w:firstRow="1" w:lastRow="1" w:firstColumn="1" w:lastColumn="1" w:noHBand="0" w:noVBand="0"/>
      </w:tblPr>
      <w:tblGrid>
        <w:gridCol w:w="1840"/>
        <w:gridCol w:w="1896"/>
        <w:gridCol w:w="1926"/>
        <w:gridCol w:w="1897"/>
        <w:gridCol w:w="1904"/>
      </w:tblGrid>
      <w:tr w:rsidR="00D96BE4" w:rsidRPr="00D96BE4" w:rsidTr="00D96BE4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D96BE4" w:rsidRDefault="00A35D5D" w:rsidP="00D96BE4">
            <w:pPr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D96BE4">
              <w:rPr>
                <w:rFonts w:eastAsia="Calibri"/>
                <w:sz w:val="28"/>
                <w:szCs w:val="28"/>
                <w:lang w:eastAsia="ru-RU"/>
              </w:rPr>
              <w:t xml:space="preserve">Фактическое исполнение за 1 </w:t>
            </w:r>
            <w:r w:rsidRPr="00D96BE4">
              <w:rPr>
                <w:rFonts w:eastAsia="Calibri"/>
                <w:sz w:val="28"/>
                <w:szCs w:val="28"/>
                <w:lang w:eastAsia="ru-RU"/>
              </w:rPr>
              <w:lastRenderedPageBreak/>
              <w:t>полугодие 20</w:t>
            </w:r>
            <w:r w:rsidR="00D96BE4" w:rsidRPr="00D96BE4">
              <w:rPr>
                <w:rFonts w:eastAsia="Calibri"/>
                <w:sz w:val="28"/>
                <w:szCs w:val="28"/>
                <w:lang w:eastAsia="ru-RU"/>
              </w:rPr>
              <w:t>20</w:t>
            </w:r>
            <w:r w:rsidRPr="00D96BE4">
              <w:rPr>
                <w:rFonts w:eastAsia="Calibr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D96BE4" w:rsidRDefault="00A35D5D" w:rsidP="00D96BE4">
            <w:pPr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D96BE4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% исполнения от плановых </w:t>
            </w:r>
            <w:r w:rsidRPr="00D96BE4">
              <w:rPr>
                <w:rFonts w:eastAsia="Calibri"/>
                <w:sz w:val="28"/>
                <w:szCs w:val="28"/>
                <w:lang w:eastAsia="ru-RU"/>
              </w:rPr>
              <w:lastRenderedPageBreak/>
              <w:t>назначений на 20</w:t>
            </w:r>
            <w:r w:rsidR="00D96BE4" w:rsidRPr="00D96BE4">
              <w:rPr>
                <w:rFonts w:eastAsia="Calibri"/>
                <w:sz w:val="28"/>
                <w:szCs w:val="28"/>
                <w:lang w:eastAsia="ru-RU"/>
              </w:rPr>
              <w:t>20</w:t>
            </w:r>
            <w:r w:rsidRPr="00D96BE4">
              <w:rPr>
                <w:rFonts w:eastAsia="Calibri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D96BE4" w:rsidRDefault="00A35D5D" w:rsidP="00D96BE4">
            <w:pPr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D96BE4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Фактическое исполнение за 1 полугодие </w:t>
            </w:r>
            <w:r w:rsidRPr="00D96BE4">
              <w:rPr>
                <w:rFonts w:eastAsia="Calibri"/>
                <w:sz w:val="28"/>
                <w:szCs w:val="28"/>
                <w:lang w:eastAsia="ru-RU"/>
              </w:rPr>
              <w:lastRenderedPageBreak/>
              <w:t>202</w:t>
            </w:r>
            <w:r w:rsidR="00D96BE4" w:rsidRPr="00D96BE4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Pr="00D96BE4">
              <w:rPr>
                <w:rFonts w:eastAsia="Calibri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D96BE4" w:rsidRDefault="00A35D5D" w:rsidP="00D96BE4">
            <w:pPr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D96BE4">
              <w:rPr>
                <w:rFonts w:eastAsia="Calibri"/>
                <w:sz w:val="28"/>
                <w:szCs w:val="28"/>
                <w:lang w:eastAsia="ru-RU"/>
              </w:rPr>
              <w:lastRenderedPageBreak/>
              <w:t xml:space="preserve">% исполнения от плановых </w:t>
            </w:r>
            <w:r w:rsidRPr="00D96BE4">
              <w:rPr>
                <w:rFonts w:eastAsia="Calibri"/>
                <w:sz w:val="28"/>
                <w:szCs w:val="28"/>
                <w:lang w:eastAsia="ru-RU"/>
              </w:rPr>
              <w:lastRenderedPageBreak/>
              <w:t>назначений на 202</w:t>
            </w:r>
            <w:r w:rsidR="00D96BE4" w:rsidRPr="00D96BE4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Pr="00D96BE4">
              <w:rPr>
                <w:rFonts w:eastAsia="Calibri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D96BE4" w:rsidRDefault="00A35D5D" w:rsidP="00D96BE4">
            <w:pPr>
              <w:contextualSpacing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D96BE4">
              <w:rPr>
                <w:rFonts w:eastAsia="Calibri"/>
                <w:sz w:val="28"/>
                <w:szCs w:val="28"/>
                <w:lang w:eastAsia="ru-RU"/>
              </w:rPr>
              <w:lastRenderedPageBreak/>
              <w:t>Отклонение 1 полугодия 202</w:t>
            </w:r>
            <w:r w:rsidR="00D96BE4" w:rsidRPr="00D96BE4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Pr="00D96BE4">
              <w:rPr>
                <w:rFonts w:eastAsia="Calibri"/>
                <w:sz w:val="28"/>
                <w:szCs w:val="28"/>
                <w:lang w:eastAsia="ru-RU"/>
              </w:rPr>
              <w:t xml:space="preserve"> года от </w:t>
            </w:r>
            <w:r w:rsidRPr="00D96BE4">
              <w:rPr>
                <w:rFonts w:eastAsia="Calibri"/>
                <w:sz w:val="28"/>
                <w:szCs w:val="28"/>
                <w:lang w:eastAsia="ru-RU"/>
              </w:rPr>
              <w:lastRenderedPageBreak/>
              <w:t>1 полугодия 20</w:t>
            </w:r>
            <w:r w:rsidR="00D96BE4" w:rsidRPr="00D96BE4">
              <w:rPr>
                <w:rFonts w:eastAsia="Calibri"/>
                <w:sz w:val="28"/>
                <w:szCs w:val="28"/>
                <w:lang w:eastAsia="ru-RU"/>
              </w:rPr>
              <w:t>20</w:t>
            </w:r>
            <w:r w:rsidRPr="00D96BE4">
              <w:rPr>
                <w:rFonts w:eastAsia="Calibri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96BE4" w:rsidRPr="00D96BE4" w:rsidTr="00D96BE4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4" w:rsidRPr="00D96BE4" w:rsidRDefault="00D96BE4" w:rsidP="00D96BE4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D96BE4">
              <w:rPr>
                <w:rFonts w:eastAsia="Calibri"/>
                <w:sz w:val="28"/>
                <w:szCs w:val="28"/>
                <w:lang w:eastAsia="ru-RU"/>
              </w:rPr>
              <w:lastRenderedPageBreak/>
              <w:t>24009,0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4" w:rsidRPr="00D96BE4" w:rsidRDefault="00D96BE4" w:rsidP="00D96BE4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D96BE4">
              <w:rPr>
                <w:rFonts w:eastAsia="Calibri"/>
                <w:sz w:val="28"/>
                <w:szCs w:val="28"/>
                <w:lang w:eastAsia="ru-RU"/>
              </w:rPr>
              <w:t>45,6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4" w:rsidRPr="00D96BE4" w:rsidRDefault="00D96BE4" w:rsidP="00D96BE4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D96BE4">
              <w:rPr>
                <w:rFonts w:eastAsia="Calibri"/>
                <w:sz w:val="28"/>
                <w:szCs w:val="28"/>
                <w:lang w:eastAsia="ru-RU"/>
              </w:rPr>
              <w:t>25504,1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4" w:rsidRPr="00D96BE4" w:rsidRDefault="00D96BE4" w:rsidP="00D96BE4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D96BE4">
              <w:rPr>
                <w:rFonts w:eastAsia="Calibri"/>
                <w:sz w:val="28"/>
                <w:szCs w:val="28"/>
                <w:lang w:eastAsia="ru-RU"/>
              </w:rPr>
              <w:t>45,1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E4" w:rsidRPr="00D96BE4" w:rsidRDefault="00D96BE4" w:rsidP="00D96BE4">
            <w:pPr>
              <w:contextualSpacing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D96BE4">
              <w:rPr>
                <w:rFonts w:eastAsia="Calibri"/>
                <w:sz w:val="28"/>
                <w:szCs w:val="28"/>
                <w:lang w:eastAsia="ru-RU"/>
              </w:rPr>
              <w:t>1495,1</w:t>
            </w:r>
          </w:p>
        </w:tc>
      </w:tr>
    </w:tbl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</w:p>
    <w:p w:rsidR="00A35D5D" w:rsidRPr="00732527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D96BE4">
        <w:rPr>
          <w:rFonts w:ascii="Times New Roman" w:eastAsia="Calibri" w:hAnsi="Times New Roman" w:cs="Times New Roman"/>
          <w:sz w:val="28"/>
          <w:szCs w:val="28"/>
        </w:rPr>
        <w:t xml:space="preserve">Т. о.,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D96BE4" w:rsidRPr="00D96BE4">
        <w:rPr>
          <w:rFonts w:ascii="Times New Roman" w:eastAsia="Calibri" w:hAnsi="Times New Roman" w:cs="Times New Roman"/>
          <w:sz w:val="28"/>
          <w:szCs w:val="28"/>
          <w:lang w:eastAsia="ru-RU"/>
        </w:rPr>
        <w:t>25504,1</w:t>
      </w:r>
      <w:r w:rsidRPr="00D96BE4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D96BE4" w:rsidRPr="00D96BE4">
        <w:rPr>
          <w:rFonts w:ascii="Times New Roman" w:eastAsia="Calibri" w:hAnsi="Times New Roman" w:cs="Times New Roman"/>
          <w:sz w:val="28"/>
          <w:szCs w:val="28"/>
        </w:rPr>
        <w:t>45,1</w:t>
      </w:r>
      <w:r w:rsidRPr="00D96BE4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D96BE4" w:rsidRPr="00D96BE4">
        <w:rPr>
          <w:rFonts w:ascii="Times New Roman" w:eastAsia="Calibri" w:hAnsi="Times New Roman" w:cs="Times New Roman"/>
          <w:sz w:val="28"/>
          <w:szCs w:val="28"/>
        </w:rPr>
        <w:t>56566,0</w:t>
      </w:r>
      <w:r w:rsidRPr="00D96BE4">
        <w:rPr>
          <w:rFonts w:ascii="Times New Roman" w:eastAsia="Calibri" w:hAnsi="Times New Roman" w:cs="Times New Roman"/>
          <w:sz w:val="28"/>
          <w:szCs w:val="28"/>
        </w:rPr>
        <w:t xml:space="preserve">  тыс. рублей, что выше уровня 1  полугодия  20</w:t>
      </w:r>
      <w:r w:rsidR="00D96BE4" w:rsidRPr="00D96BE4">
        <w:rPr>
          <w:rFonts w:ascii="Times New Roman" w:eastAsia="Calibri" w:hAnsi="Times New Roman" w:cs="Times New Roman"/>
          <w:sz w:val="28"/>
          <w:szCs w:val="28"/>
        </w:rPr>
        <w:t>20</w:t>
      </w:r>
      <w:r w:rsidRPr="00D96BE4">
        <w:rPr>
          <w:rFonts w:ascii="Times New Roman" w:eastAsia="Calibri" w:hAnsi="Times New Roman" w:cs="Times New Roman"/>
          <w:sz w:val="28"/>
          <w:szCs w:val="28"/>
        </w:rPr>
        <w:t xml:space="preserve"> года на  </w:t>
      </w:r>
      <w:r w:rsidR="00D96BE4" w:rsidRPr="00D96BE4">
        <w:rPr>
          <w:rFonts w:ascii="Times New Roman" w:eastAsia="Calibri" w:hAnsi="Times New Roman" w:cs="Times New Roman"/>
          <w:sz w:val="28"/>
          <w:szCs w:val="28"/>
        </w:rPr>
        <w:t>1495,1</w:t>
      </w:r>
      <w:r w:rsidRPr="00D96BE4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D96BE4" w:rsidRPr="00D96BE4">
        <w:rPr>
          <w:rFonts w:ascii="Times New Roman" w:eastAsia="Calibri" w:hAnsi="Times New Roman" w:cs="Times New Roman"/>
          <w:sz w:val="28"/>
          <w:szCs w:val="28"/>
        </w:rPr>
        <w:t>6,2</w:t>
      </w:r>
      <w:r w:rsidRPr="00D96BE4">
        <w:rPr>
          <w:rFonts w:ascii="Times New Roman" w:eastAsia="Calibri" w:hAnsi="Times New Roman" w:cs="Times New Roman"/>
          <w:sz w:val="28"/>
          <w:szCs w:val="28"/>
        </w:rPr>
        <w:t xml:space="preserve">%. Доля  НДФЛ в налоговых доходах бюджета </w:t>
      </w:r>
      <w:r w:rsidR="00D96BE4" w:rsidRPr="00D96BE4">
        <w:rPr>
          <w:rFonts w:ascii="Times New Roman" w:eastAsia="Calibri" w:hAnsi="Times New Roman" w:cs="Times New Roman"/>
          <w:sz w:val="28"/>
          <w:szCs w:val="28"/>
        </w:rPr>
        <w:t>осталась на уровне 1 полугодия 2020 года и составила</w:t>
      </w:r>
      <w:r w:rsidRPr="00D96B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96BE4" w:rsidRPr="00D96BE4">
        <w:rPr>
          <w:rFonts w:ascii="Times New Roman" w:eastAsia="Calibri" w:hAnsi="Times New Roman" w:cs="Times New Roman"/>
          <w:sz w:val="28"/>
          <w:szCs w:val="28"/>
        </w:rPr>
        <w:t>82,5</w:t>
      </w:r>
      <w:r w:rsidRPr="00D96BE4">
        <w:rPr>
          <w:rFonts w:ascii="Times New Roman" w:eastAsia="Calibri" w:hAnsi="Times New Roman" w:cs="Times New Roman"/>
          <w:sz w:val="28"/>
          <w:szCs w:val="28"/>
        </w:rPr>
        <w:t xml:space="preserve"> процента. Причина по неисполнению НДФЛ связана с тем, что в первом полугодии 202</w:t>
      </w:r>
      <w:r w:rsidR="00D96BE4" w:rsidRPr="00D96BE4">
        <w:rPr>
          <w:rFonts w:ascii="Times New Roman" w:eastAsia="Calibri" w:hAnsi="Times New Roman" w:cs="Times New Roman"/>
          <w:sz w:val="28"/>
          <w:szCs w:val="28"/>
        </w:rPr>
        <w:t>1</w:t>
      </w:r>
      <w:r w:rsidRPr="00D96BE4">
        <w:rPr>
          <w:rFonts w:ascii="Times New Roman" w:eastAsia="Calibri" w:hAnsi="Times New Roman" w:cs="Times New Roman"/>
          <w:sz w:val="28"/>
          <w:szCs w:val="28"/>
        </w:rPr>
        <w:t xml:space="preserve"> года было поступление налога только за 5 месяцев, в декабре т.г.  </w:t>
      </w:r>
      <w:r w:rsidRPr="00732527">
        <w:rPr>
          <w:rFonts w:ascii="Times New Roman" w:eastAsia="Calibri" w:hAnsi="Times New Roman" w:cs="Times New Roman"/>
          <w:sz w:val="28"/>
          <w:szCs w:val="28"/>
        </w:rPr>
        <w:t>планируются выплаты досрочной зарплаты.</w:t>
      </w:r>
    </w:p>
    <w:p w:rsidR="00A35D5D" w:rsidRPr="00732527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527">
        <w:rPr>
          <w:rFonts w:ascii="Times New Roman" w:eastAsia="Calibri" w:hAnsi="Times New Roman" w:cs="Times New Roman"/>
          <w:sz w:val="28"/>
          <w:szCs w:val="28"/>
        </w:rPr>
        <w:t xml:space="preserve">       Второе  место по величине  поступлений в бюджет  района занимают акцизы. Поступления акцизов в  бюджет  района составили </w:t>
      </w:r>
      <w:r w:rsidR="0099514E">
        <w:rPr>
          <w:rFonts w:ascii="Times New Roman" w:eastAsia="Calibri" w:hAnsi="Times New Roman" w:cs="Times New Roman"/>
          <w:sz w:val="28"/>
          <w:szCs w:val="28"/>
        </w:rPr>
        <w:t>2971,2</w:t>
      </w:r>
      <w:r w:rsidRPr="0073252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9514E">
        <w:rPr>
          <w:rFonts w:ascii="Times New Roman" w:eastAsia="Calibri" w:hAnsi="Times New Roman" w:cs="Times New Roman"/>
          <w:sz w:val="28"/>
          <w:szCs w:val="28"/>
        </w:rPr>
        <w:t>50,6</w:t>
      </w:r>
      <w:r w:rsidRPr="00732527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99514E">
        <w:rPr>
          <w:rFonts w:ascii="Times New Roman" w:eastAsia="Calibri" w:hAnsi="Times New Roman" w:cs="Times New Roman"/>
          <w:sz w:val="28"/>
          <w:szCs w:val="28"/>
        </w:rPr>
        <w:t>5870,0</w:t>
      </w:r>
      <w:r w:rsidRPr="00732527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полугодием   20</w:t>
      </w:r>
      <w:r w:rsidR="00D96BE4" w:rsidRPr="00732527">
        <w:rPr>
          <w:rFonts w:ascii="Times New Roman" w:eastAsia="Calibri" w:hAnsi="Times New Roman" w:cs="Times New Roman"/>
          <w:sz w:val="28"/>
          <w:szCs w:val="28"/>
        </w:rPr>
        <w:t>20</w:t>
      </w:r>
      <w:r w:rsidRPr="00732527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 налога  у</w:t>
      </w:r>
      <w:r w:rsidR="00D96BE4" w:rsidRPr="00732527">
        <w:rPr>
          <w:rFonts w:ascii="Times New Roman" w:eastAsia="Calibri" w:hAnsi="Times New Roman" w:cs="Times New Roman"/>
          <w:sz w:val="28"/>
          <w:szCs w:val="28"/>
        </w:rPr>
        <w:t>величилось</w:t>
      </w:r>
      <w:r w:rsidRPr="0073252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9514E">
        <w:rPr>
          <w:rFonts w:ascii="Times New Roman" w:eastAsia="Calibri" w:hAnsi="Times New Roman" w:cs="Times New Roman"/>
          <w:sz w:val="28"/>
          <w:szCs w:val="28"/>
        </w:rPr>
        <w:t>383,5</w:t>
      </w:r>
      <w:r w:rsidRPr="00732527">
        <w:rPr>
          <w:rFonts w:ascii="Times New Roman" w:eastAsia="Calibri" w:hAnsi="Times New Roman" w:cs="Times New Roman"/>
          <w:sz w:val="28"/>
          <w:szCs w:val="28"/>
        </w:rPr>
        <w:t xml:space="preserve"> тыс. рублей, или в </w:t>
      </w:r>
      <w:r w:rsidR="0099514E">
        <w:rPr>
          <w:rFonts w:ascii="Times New Roman" w:eastAsia="Calibri" w:hAnsi="Times New Roman" w:cs="Times New Roman"/>
          <w:sz w:val="28"/>
          <w:szCs w:val="28"/>
        </w:rPr>
        <w:t>14,8%. Д</w:t>
      </w:r>
      <w:r w:rsidRPr="00732527">
        <w:rPr>
          <w:rFonts w:ascii="Times New Roman" w:eastAsia="Calibri" w:hAnsi="Times New Roman" w:cs="Times New Roman"/>
          <w:sz w:val="28"/>
          <w:szCs w:val="28"/>
        </w:rPr>
        <w:t>оля акцизов в налоговых доходах бюджета района  у</w:t>
      </w:r>
      <w:r w:rsidR="0099514E">
        <w:rPr>
          <w:rFonts w:ascii="Times New Roman" w:eastAsia="Calibri" w:hAnsi="Times New Roman" w:cs="Times New Roman"/>
          <w:sz w:val="28"/>
          <w:szCs w:val="28"/>
        </w:rPr>
        <w:t>величилась</w:t>
      </w:r>
      <w:r w:rsidRPr="00732527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D96BE4" w:rsidRPr="00732527">
        <w:rPr>
          <w:rFonts w:ascii="Times New Roman" w:eastAsia="Calibri" w:hAnsi="Times New Roman" w:cs="Times New Roman"/>
          <w:sz w:val="28"/>
          <w:szCs w:val="28"/>
        </w:rPr>
        <w:t>9,2</w:t>
      </w:r>
      <w:r w:rsidRPr="00732527">
        <w:rPr>
          <w:rFonts w:ascii="Times New Roman" w:eastAsia="Calibri" w:hAnsi="Times New Roman" w:cs="Times New Roman"/>
          <w:sz w:val="28"/>
          <w:szCs w:val="28"/>
        </w:rPr>
        <w:t xml:space="preserve"> % до </w:t>
      </w:r>
      <w:r w:rsidR="0099514E">
        <w:rPr>
          <w:rFonts w:ascii="Times New Roman" w:eastAsia="Calibri" w:hAnsi="Times New Roman" w:cs="Times New Roman"/>
          <w:sz w:val="28"/>
          <w:szCs w:val="28"/>
        </w:rPr>
        <w:t>9,6</w:t>
      </w:r>
      <w:r w:rsidRPr="0073252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99514E" w:rsidRPr="0099514E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Третий  по величине налоговый доходный источник - налог на совокупный доход. Поступление указанного налога составило  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2284,2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 тыс. рублей, или 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81,6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 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2800,0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полугодием 20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20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года  произошло 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поступления  налога на совокупный доход  на 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1026,5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81,6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%. Доля налога на совокупный доход  в налоговых доходах бюджета района  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увеличилась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 с  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4,5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% до 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7,4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:rsidR="00A35D5D" w:rsidRPr="0099514E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     Четвертое и последнее место по величине поступлений в бюджет района  занимает государственная пошлина. Поступления  указанного налога составило 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277,9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54,4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511,0 тыс. рублей.  По сравнению с 1 полугодием  20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20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года  поступление государственной пошлины   уменьшилось на 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35,0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тыс. рублей, или  на 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12,6</w:t>
      </w:r>
      <w:r w:rsidRPr="0099514E">
        <w:rPr>
          <w:rFonts w:ascii="Times New Roman" w:eastAsia="Calibri" w:hAnsi="Times New Roman" w:cs="Times New Roman"/>
          <w:sz w:val="28"/>
          <w:szCs w:val="28"/>
        </w:rPr>
        <w:t>%. Доля  государственной пошлины  в налоговых доходах бюджета района  уменьшилась с 1,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1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% до 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0,9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A35D5D" w:rsidRPr="0099514E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Исполнение  </w:t>
      </w:r>
      <w:r w:rsidRPr="0099514E">
        <w:rPr>
          <w:rFonts w:ascii="Times New Roman" w:eastAsia="Calibri" w:hAnsi="Times New Roman" w:cs="Times New Roman"/>
          <w:sz w:val="28"/>
          <w:szCs w:val="28"/>
        </w:rPr>
        <w:t>бюджета района по налоговым доходам  за  1 полугодие 202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1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года ниже 50,0% 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 xml:space="preserve"> только </w:t>
      </w:r>
      <w:r w:rsidRPr="0099514E">
        <w:rPr>
          <w:rFonts w:ascii="Times New Roman" w:eastAsia="Calibri" w:hAnsi="Times New Roman" w:cs="Times New Roman"/>
          <w:sz w:val="28"/>
          <w:szCs w:val="28"/>
        </w:rPr>
        <w:t xml:space="preserve"> по НДФЛ (45,</w:t>
      </w:r>
      <w:r w:rsidR="0099514E" w:rsidRPr="0099514E">
        <w:rPr>
          <w:rFonts w:ascii="Times New Roman" w:eastAsia="Calibri" w:hAnsi="Times New Roman" w:cs="Times New Roman"/>
          <w:sz w:val="28"/>
          <w:szCs w:val="28"/>
        </w:rPr>
        <w:t>1%).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0968A4">
        <w:rPr>
          <w:rFonts w:ascii="Times New Roman" w:eastAsia="Calibri" w:hAnsi="Times New Roman" w:cs="Times New Roman"/>
          <w:i/>
          <w:sz w:val="28"/>
          <w:szCs w:val="28"/>
        </w:rPr>
        <w:t>Неналоговые доходы.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</w:t>
      </w:r>
      <w:r w:rsidR="000968A4" w:rsidRPr="000968A4">
        <w:rPr>
          <w:rFonts w:ascii="Times New Roman" w:eastAsia="Calibri" w:hAnsi="Times New Roman" w:cs="Times New Roman"/>
          <w:sz w:val="28"/>
          <w:szCs w:val="28"/>
        </w:rPr>
        <w:t>5529,5</w:t>
      </w: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0968A4" w:rsidRPr="000968A4">
        <w:rPr>
          <w:rFonts w:ascii="Times New Roman" w:eastAsia="Calibri" w:hAnsi="Times New Roman" w:cs="Times New Roman"/>
          <w:sz w:val="28"/>
          <w:szCs w:val="28"/>
        </w:rPr>
        <w:t>71,9</w:t>
      </w: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0968A4" w:rsidRPr="000968A4">
        <w:rPr>
          <w:rFonts w:ascii="Times New Roman" w:eastAsia="Calibri" w:hAnsi="Times New Roman" w:cs="Times New Roman"/>
          <w:sz w:val="28"/>
          <w:szCs w:val="28"/>
        </w:rPr>
        <w:t>7695,0</w:t>
      </w: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неналоговых доходов в структуре доходов бюджета  района составила </w:t>
      </w:r>
      <w:r w:rsidR="000968A4" w:rsidRPr="000968A4">
        <w:rPr>
          <w:rFonts w:ascii="Times New Roman" w:eastAsia="Calibri" w:hAnsi="Times New Roman" w:cs="Times New Roman"/>
          <w:sz w:val="28"/>
          <w:szCs w:val="28"/>
        </w:rPr>
        <w:t>4,5</w:t>
      </w: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</w:t>
      </w:r>
      <w:r w:rsidRPr="000968A4">
        <w:rPr>
          <w:rFonts w:ascii="Times New Roman" w:eastAsia="Calibri" w:hAnsi="Times New Roman" w:cs="Times New Roman"/>
          <w:sz w:val="28"/>
          <w:szCs w:val="28"/>
        </w:rPr>
        <w:t>Данные об утвержденных и исполненных неналоговых доходах за 1 полугодие  202</w:t>
      </w:r>
      <w:r w:rsidR="000968A4" w:rsidRPr="000968A4">
        <w:rPr>
          <w:rFonts w:ascii="Times New Roman" w:eastAsia="Calibri" w:hAnsi="Times New Roman" w:cs="Times New Roman"/>
          <w:sz w:val="28"/>
          <w:szCs w:val="28"/>
        </w:rPr>
        <w:t>1</w:t>
      </w: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года, а также сравнительный анализ с показателями аналогичного периода прошлого года изложены в таблице  2.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35D5D" w:rsidRPr="000968A4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     Всего в отчетном периоде 202</w:t>
      </w:r>
      <w:r w:rsidR="000968A4" w:rsidRPr="000968A4">
        <w:rPr>
          <w:rFonts w:ascii="Times New Roman" w:eastAsia="Calibri" w:hAnsi="Times New Roman" w:cs="Times New Roman"/>
          <w:sz w:val="28"/>
          <w:szCs w:val="28"/>
        </w:rPr>
        <w:t>1</w:t>
      </w: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года осуще</w:t>
      </w:r>
      <w:r w:rsidR="000968A4" w:rsidRPr="000968A4">
        <w:rPr>
          <w:rFonts w:ascii="Times New Roman" w:eastAsia="Calibri" w:hAnsi="Times New Roman" w:cs="Times New Roman"/>
          <w:sz w:val="28"/>
          <w:szCs w:val="28"/>
        </w:rPr>
        <w:t>ствлялось администрирование по 6</w:t>
      </w: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0968A4">
        <w:rPr>
          <w:rFonts w:ascii="Times New Roman" w:eastAsia="Calibri" w:hAnsi="Times New Roman" w:cs="Times New Roman"/>
          <w:sz w:val="28"/>
          <w:szCs w:val="28"/>
        </w:rPr>
        <w:t>одгруппам неналоговых доходов. С</w:t>
      </w:r>
      <w:r w:rsidRPr="000968A4">
        <w:rPr>
          <w:rFonts w:ascii="Times New Roman" w:eastAsia="Calibri" w:hAnsi="Times New Roman" w:cs="Times New Roman"/>
          <w:sz w:val="28"/>
          <w:szCs w:val="28"/>
        </w:rPr>
        <w:t>труктур</w:t>
      </w:r>
      <w:r w:rsidR="000968A4">
        <w:rPr>
          <w:rFonts w:ascii="Times New Roman" w:eastAsia="Calibri" w:hAnsi="Times New Roman" w:cs="Times New Roman"/>
          <w:sz w:val="28"/>
          <w:szCs w:val="28"/>
        </w:rPr>
        <w:t>а</w:t>
      </w: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неналоговых доходов </w:t>
      </w:r>
      <w:r w:rsidR="000968A4">
        <w:rPr>
          <w:rFonts w:ascii="Times New Roman" w:eastAsia="Calibri" w:hAnsi="Times New Roman" w:cs="Times New Roman"/>
          <w:sz w:val="28"/>
          <w:szCs w:val="28"/>
        </w:rPr>
        <w:t>имеет следующий вид</w:t>
      </w:r>
      <w:r w:rsidRPr="000968A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968A4" w:rsidRPr="000968A4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968A4" w:rsidRPr="000968A4">
        <w:rPr>
          <w:rFonts w:ascii="Times New Roman" w:eastAsia="Calibri" w:hAnsi="Times New Roman" w:cs="Times New Roman"/>
          <w:sz w:val="28"/>
          <w:szCs w:val="28"/>
        </w:rPr>
        <w:t>- доходы от продажи материальных и нематериальных активов – 74,5 процента;</w:t>
      </w:r>
    </w:p>
    <w:p w:rsidR="00A35D5D" w:rsidRPr="000968A4" w:rsidRDefault="000968A4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35D5D" w:rsidRPr="000968A4">
        <w:rPr>
          <w:rFonts w:ascii="Times New Roman" w:eastAsia="Calibri" w:hAnsi="Times New Roman" w:cs="Times New Roman"/>
          <w:sz w:val="28"/>
          <w:szCs w:val="28"/>
        </w:rPr>
        <w:t xml:space="preserve">- доходы  от использования имущества, находящегося в государственной и муниципальной собственности – </w:t>
      </w:r>
      <w:r w:rsidRPr="000968A4">
        <w:rPr>
          <w:rFonts w:ascii="Times New Roman" w:eastAsia="Calibri" w:hAnsi="Times New Roman" w:cs="Times New Roman"/>
          <w:sz w:val="28"/>
          <w:szCs w:val="28"/>
        </w:rPr>
        <w:t>21,5 процента</w:t>
      </w:r>
      <w:r w:rsidR="00A35D5D" w:rsidRPr="000968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5D5D" w:rsidRPr="000968A4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- поступления от штрафов, санкций, возмещения ущерба – </w:t>
      </w:r>
      <w:r w:rsidR="000968A4" w:rsidRPr="000968A4">
        <w:rPr>
          <w:rFonts w:ascii="Times New Roman" w:eastAsia="Calibri" w:hAnsi="Times New Roman" w:cs="Times New Roman"/>
          <w:sz w:val="28"/>
          <w:szCs w:val="28"/>
        </w:rPr>
        <w:t>3,0 процента</w:t>
      </w:r>
      <w:r w:rsidRPr="000968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5D5D" w:rsidRPr="000968A4" w:rsidRDefault="000968A4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35D5D" w:rsidRPr="000968A4">
        <w:rPr>
          <w:rFonts w:ascii="Times New Roman" w:eastAsia="Calibri" w:hAnsi="Times New Roman" w:cs="Times New Roman"/>
          <w:sz w:val="28"/>
          <w:szCs w:val="28"/>
        </w:rPr>
        <w:t xml:space="preserve">-  платежи при  использовании природными ресурсами – </w:t>
      </w:r>
      <w:r w:rsidRPr="000968A4">
        <w:rPr>
          <w:rFonts w:ascii="Times New Roman" w:eastAsia="Calibri" w:hAnsi="Times New Roman" w:cs="Times New Roman"/>
          <w:sz w:val="28"/>
          <w:szCs w:val="28"/>
        </w:rPr>
        <w:t>0,6 процента</w:t>
      </w:r>
      <w:r w:rsidR="00A35D5D" w:rsidRPr="000968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68A4" w:rsidRPr="000968A4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 - платежи от оказания платных услуг и компенсация затрат государства  – </w:t>
      </w:r>
      <w:r w:rsidR="000968A4" w:rsidRPr="000968A4">
        <w:rPr>
          <w:rFonts w:ascii="Times New Roman" w:eastAsia="Calibri" w:hAnsi="Times New Roman" w:cs="Times New Roman"/>
          <w:sz w:val="28"/>
          <w:szCs w:val="28"/>
        </w:rPr>
        <w:t>0,3 процента;</w:t>
      </w:r>
    </w:p>
    <w:p w:rsidR="00A35D5D" w:rsidRPr="000968A4" w:rsidRDefault="000968A4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 - прочие неналоговые доходы – 0,1 процента</w:t>
      </w:r>
      <w:r w:rsidR="00A35D5D" w:rsidRPr="000968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5D5D" w:rsidRPr="000968A4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8A4"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В сравнении с 1 полугодием  20</w:t>
      </w:r>
      <w:r w:rsidR="000968A4" w:rsidRPr="000968A4">
        <w:rPr>
          <w:rFonts w:ascii="Times New Roman" w:eastAsia="Calibri" w:hAnsi="Times New Roman" w:cs="Times New Roman"/>
          <w:sz w:val="28"/>
          <w:szCs w:val="28"/>
        </w:rPr>
        <w:t>20</w:t>
      </w: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неналоговых доходов </w:t>
      </w:r>
      <w:r w:rsidRPr="000968A4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0968A4" w:rsidRPr="000968A4">
        <w:rPr>
          <w:rFonts w:ascii="Times New Roman" w:eastAsia="Calibri" w:hAnsi="Times New Roman" w:cs="Times New Roman"/>
          <w:i/>
          <w:sz w:val="28"/>
          <w:szCs w:val="28"/>
        </w:rPr>
        <w:t>величилось</w:t>
      </w: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8A4" w:rsidRPr="000968A4">
        <w:rPr>
          <w:rFonts w:ascii="Times New Roman" w:eastAsia="Calibri" w:hAnsi="Times New Roman" w:cs="Times New Roman"/>
          <w:sz w:val="28"/>
          <w:szCs w:val="28"/>
        </w:rPr>
        <w:t xml:space="preserve">в целом </w:t>
      </w: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968A4" w:rsidRPr="000968A4">
        <w:rPr>
          <w:rFonts w:ascii="Times New Roman" w:eastAsia="Calibri" w:hAnsi="Times New Roman" w:cs="Times New Roman"/>
          <w:sz w:val="28"/>
          <w:szCs w:val="28"/>
        </w:rPr>
        <w:t>3796,3</w:t>
      </w: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968A4" w:rsidRPr="000968A4">
        <w:rPr>
          <w:rFonts w:ascii="Times New Roman" w:eastAsia="Calibri" w:hAnsi="Times New Roman" w:cs="Times New Roman"/>
          <w:sz w:val="28"/>
          <w:szCs w:val="28"/>
        </w:rPr>
        <w:t>в 3,2 раза</w:t>
      </w:r>
      <w:r w:rsidRPr="000968A4">
        <w:rPr>
          <w:rFonts w:ascii="Times New Roman" w:eastAsia="Calibri" w:hAnsi="Times New Roman" w:cs="Times New Roman"/>
          <w:sz w:val="28"/>
          <w:szCs w:val="28"/>
        </w:rPr>
        <w:t xml:space="preserve"> в том числе: 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DF02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0259" w:rsidRPr="00DF0259">
        <w:rPr>
          <w:rFonts w:ascii="Times New Roman" w:eastAsia="Calibri" w:hAnsi="Times New Roman" w:cs="Times New Roman"/>
          <w:i/>
          <w:sz w:val="28"/>
          <w:szCs w:val="28"/>
        </w:rPr>
        <w:t>увеличились</w:t>
      </w:r>
      <w:r w:rsidR="00DF0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259">
        <w:rPr>
          <w:rFonts w:ascii="Times New Roman" w:eastAsia="Calibri" w:hAnsi="Times New Roman" w:cs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 на </w:t>
      </w:r>
      <w:r w:rsidR="00DF0259" w:rsidRPr="00DF0259">
        <w:rPr>
          <w:rFonts w:ascii="Times New Roman" w:eastAsia="Calibri" w:hAnsi="Times New Roman" w:cs="Times New Roman"/>
          <w:sz w:val="28"/>
          <w:szCs w:val="28"/>
        </w:rPr>
        <w:t>363,4</w:t>
      </w:r>
      <w:r w:rsidRPr="00DF0259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DF0259" w:rsidRPr="00DF0259">
        <w:rPr>
          <w:rFonts w:ascii="Times New Roman" w:eastAsia="Calibri" w:hAnsi="Times New Roman" w:cs="Times New Roman"/>
          <w:sz w:val="28"/>
          <w:szCs w:val="28"/>
        </w:rPr>
        <w:t>44,0 процента;</w:t>
      </w:r>
      <w:r w:rsidRPr="00DF02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5D5D" w:rsidRPr="00DF0259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F0259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DF02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0259" w:rsidRPr="00DF0259">
        <w:rPr>
          <w:rFonts w:ascii="Times New Roman" w:eastAsia="Calibri" w:hAnsi="Times New Roman" w:cs="Times New Roman"/>
          <w:i/>
          <w:sz w:val="28"/>
          <w:szCs w:val="28"/>
        </w:rPr>
        <w:t>увеличились</w:t>
      </w:r>
      <w:r w:rsidR="00DF0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41D" w:rsidRPr="00B91474">
        <w:rPr>
          <w:rFonts w:ascii="Times New Roman" w:eastAsia="Calibri" w:hAnsi="Times New Roman" w:cs="Times New Roman"/>
          <w:sz w:val="28"/>
          <w:szCs w:val="28"/>
        </w:rPr>
        <w:t xml:space="preserve">платежи от оказания платных услуг и компенсация затрат государства </w:t>
      </w:r>
      <w:r w:rsidRPr="00DF025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F0259" w:rsidRPr="00DF0259">
        <w:rPr>
          <w:rFonts w:ascii="Times New Roman" w:eastAsia="Calibri" w:hAnsi="Times New Roman" w:cs="Times New Roman"/>
          <w:sz w:val="28"/>
          <w:szCs w:val="28"/>
        </w:rPr>
        <w:t>2,0</w:t>
      </w:r>
      <w:r w:rsidRPr="00DF0259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F0259" w:rsidRPr="00DF0259">
        <w:rPr>
          <w:rFonts w:ascii="Times New Roman" w:eastAsia="Calibri" w:hAnsi="Times New Roman" w:cs="Times New Roman"/>
          <w:sz w:val="28"/>
          <w:szCs w:val="28"/>
        </w:rPr>
        <w:t>12,4 процента</w:t>
      </w:r>
      <w:r w:rsidRPr="00DF0259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DF0259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DF025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0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259" w:rsidRPr="00DF0259">
        <w:rPr>
          <w:rFonts w:ascii="Times New Roman" w:eastAsia="Calibri" w:hAnsi="Times New Roman" w:cs="Times New Roman"/>
          <w:i/>
          <w:sz w:val="28"/>
          <w:szCs w:val="28"/>
        </w:rPr>
        <w:t>увеличились</w:t>
      </w:r>
      <w:r w:rsidR="00DF0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259">
        <w:rPr>
          <w:rFonts w:ascii="Times New Roman" w:eastAsia="Calibri" w:hAnsi="Times New Roman" w:cs="Times New Roman"/>
          <w:sz w:val="28"/>
          <w:szCs w:val="28"/>
        </w:rPr>
        <w:t xml:space="preserve"> доходы от продажи материальных и нематериальных активов  на </w:t>
      </w:r>
      <w:r w:rsidR="00DF0259" w:rsidRPr="00DF0259">
        <w:rPr>
          <w:rFonts w:ascii="Times New Roman" w:eastAsia="Calibri" w:hAnsi="Times New Roman" w:cs="Times New Roman"/>
          <w:sz w:val="28"/>
          <w:szCs w:val="28"/>
        </w:rPr>
        <w:t>3761,7</w:t>
      </w:r>
      <w:r w:rsidRPr="00DF0259">
        <w:rPr>
          <w:rFonts w:ascii="Times New Roman" w:eastAsia="Calibri" w:hAnsi="Times New Roman" w:cs="Times New Roman"/>
          <w:sz w:val="28"/>
          <w:szCs w:val="28"/>
        </w:rPr>
        <w:t xml:space="preserve"> тыс. рублей, или  </w:t>
      </w:r>
      <w:r w:rsidR="00DF0259" w:rsidRPr="00DF0259">
        <w:rPr>
          <w:rFonts w:ascii="Times New Roman" w:eastAsia="Calibri" w:hAnsi="Times New Roman" w:cs="Times New Roman"/>
          <w:sz w:val="28"/>
          <w:szCs w:val="28"/>
        </w:rPr>
        <w:t>в</w:t>
      </w:r>
      <w:r w:rsidRPr="00DF0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259" w:rsidRPr="00DF0259">
        <w:rPr>
          <w:rFonts w:ascii="Times New Roman" w:eastAsia="Calibri" w:hAnsi="Times New Roman" w:cs="Times New Roman"/>
          <w:sz w:val="28"/>
          <w:szCs w:val="28"/>
        </w:rPr>
        <w:t>11,5 раза</w:t>
      </w:r>
      <w:r w:rsidR="00DF02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F02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35D5D" w:rsidRPr="00B91474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47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F0259" w:rsidRPr="00B91474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DF0259" w:rsidRPr="00B91474">
        <w:rPr>
          <w:rFonts w:ascii="Times New Roman" w:hAnsi="Times New Roman" w:cs="Times New Roman"/>
          <w:i/>
          <w:sz w:val="28"/>
          <w:szCs w:val="28"/>
        </w:rPr>
        <w:t xml:space="preserve">уменьшились </w:t>
      </w:r>
      <w:r w:rsidR="00DF0259" w:rsidRPr="00B91474">
        <w:rPr>
          <w:rFonts w:ascii="Times New Roman" w:hAnsi="Times New Roman" w:cs="Times New Roman"/>
          <w:sz w:val="28"/>
          <w:szCs w:val="28"/>
        </w:rPr>
        <w:t xml:space="preserve"> </w:t>
      </w:r>
      <w:r w:rsidR="00D4441D" w:rsidRPr="00DF0259">
        <w:rPr>
          <w:rFonts w:ascii="Times New Roman" w:eastAsia="Calibri" w:hAnsi="Times New Roman" w:cs="Times New Roman"/>
          <w:sz w:val="28"/>
          <w:szCs w:val="28"/>
        </w:rPr>
        <w:t xml:space="preserve">платежи при использовании природными ресурсами  </w:t>
      </w:r>
      <w:r w:rsidR="00DF0259" w:rsidRPr="00B91474">
        <w:rPr>
          <w:rFonts w:ascii="Times New Roman" w:eastAsia="Calibri" w:hAnsi="Times New Roman" w:cs="Times New Roman"/>
          <w:sz w:val="28"/>
          <w:szCs w:val="28"/>
        </w:rPr>
        <w:t xml:space="preserve">на 176,0 тыс. рублей, или в 6,0 раз,  </w:t>
      </w:r>
      <w:r w:rsidR="00B91474" w:rsidRPr="00B91474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DF0259" w:rsidRPr="00B91474">
        <w:rPr>
          <w:rFonts w:ascii="Times New Roman" w:eastAsia="Calibri" w:hAnsi="Times New Roman" w:cs="Times New Roman"/>
          <w:i/>
          <w:sz w:val="28"/>
          <w:szCs w:val="28"/>
        </w:rPr>
        <w:t>снижение по данному неналоговому источнику связано с уменьшением количества плательщиков</w:t>
      </w:r>
      <w:r w:rsidR="00B91474" w:rsidRPr="00B9147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B91474">
        <w:rPr>
          <w:rFonts w:ascii="Times New Roman" w:eastAsia="Calibri" w:hAnsi="Times New Roman" w:cs="Times New Roman"/>
          <w:sz w:val="28"/>
          <w:szCs w:val="28"/>
        </w:rPr>
        <w:t xml:space="preserve">штрафы, санкции,  возмещение ущерба  на </w:t>
      </w:r>
      <w:r w:rsidR="00B91474" w:rsidRPr="00B91474">
        <w:rPr>
          <w:rFonts w:ascii="Times New Roman" w:eastAsia="Calibri" w:hAnsi="Times New Roman" w:cs="Times New Roman"/>
          <w:sz w:val="28"/>
          <w:szCs w:val="28"/>
        </w:rPr>
        <w:t>156,9</w:t>
      </w:r>
      <w:r w:rsidRPr="00B91474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B91474" w:rsidRPr="00B91474">
        <w:rPr>
          <w:rFonts w:ascii="Times New Roman" w:eastAsia="Calibri" w:hAnsi="Times New Roman" w:cs="Times New Roman"/>
          <w:sz w:val="28"/>
          <w:szCs w:val="28"/>
        </w:rPr>
        <w:t>95,6</w:t>
      </w:r>
      <w:r w:rsidRPr="00B91474">
        <w:rPr>
          <w:rFonts w:ascii="Times New Roman" w:eastAsia="Calibri" w:hAnsi="Times New Roman" w:cs="Times New Roman"/>
          <w:sz w:val="28"/>
          <w:szCs w:val="28"/>
        </w:rPr>
        <w:t xml:space="preserve"> процента.  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</w:p>
    <w:p w:rsidR="00A35D5D" w:rsidRPr="00B91474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Доходы от использования имущества, находящегося в государственной и муниципальной собственности, исполнены в сумме </w:t>
      </w:r>
      <w:r w:rsidR="00B91474"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>1188,7</w:t>
      </w:r>
      <w:r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B91474"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>51,2</w:t>
      </w:r>
      <w:r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</w:t>
      </w:r>
      <w:r w:rsidR="00B91474"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>2320,0</w:t>
      </w:r>
      <w:r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аренда земельных участков  в сумме – </w:t>
      </w:r>
      <w:r w:rsidR="00B91474"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>759,5</w:t>
      </w:r>
      <w:r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– </w:t>
      </w:r>
      <w:r w:rsidR="00B91474"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>49,8</w:t>
      </w:r>
      <w:r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B91474"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>1524,0</w:t>
      </w:r>
      <w:r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соответствии с  приложением 1 к  информации Управления финансов района от 1</w:t>
      </w:r>
      <w:r w:rsidR="00B91474"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B91474"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91474"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Pr="00B9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(информация) причина низкого исполнения связана с тем, что </w:t>
      </w:r>
      <w:r w:rsidR="00B91474" w:rsidRPr="00B91474">
        <w:rPr>
          <w:rFonts w:ascii="Times New Roman" w:eastAsia="Calibri" w:hAnsi="Times New Roman" w:cs="Times New Roman"/>
          <w:sz w:val="28"/>
          <w:szCs w:val="28"/>
        </w:rPr>
        <w:t>поступление</w:t>
      </w:r>
      <w:r w:rsidRPr="00B91474">
        <w:rPr>
          <w:rFonts w:ascii="Times New Roman" w:eastAsia="Calibri" w:hAnsi="Times New Roman" w:cs="Times New Roman"/>
          <w:sz w:val="28"/>
          <w:szCs w:val="28"/>
        </w:rPr>
        <w:t xml:space="preserve">  арендной платы за землю</w:t>
      </w:r>
      <w:r w:rsidR="00B91474" w:rsidRPr="00B91474">
        <w:rPr>
          <w:rFonts w:ascii="Times New Roman" w:eastAsia="Calibri" w:hAnsi="Times New Roman" w:cs="Times New Roman"/>
          <w:sz w:val="28"/>
          <w:szCs w:val="28"/>
        </w:rPr>
        <w:t xml:space="preserve"> от физических лиц   по сроку ожидается в 3,4 кварталах т.г.</w:t>
      </w:r>
      <w:r w:rsidRPr="00B9147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5D5D" w:rsidRPr="00E549F6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аренда имущества в сумме </w:t>
      </w:r>
      <w:r w:rsidR="00B91474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207,1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91474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46,4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 плановым назначениям в сумме </w:t>
      </w:r>
      <w:r w:rsidR="00B91474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446,0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549F6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(поступление платежей согласно договорам аренды)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49F6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прочие поступления (аренда муниципального жилья) в сумме </w:t>
      </w:r>
      <w:r w:rsidR="00E549F6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222,0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549F6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63,4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</w:t>
      </w:r>
      <w:r w:rsidR="00E549F6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350,0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A35D5D" w:rsidRPr="00A35D5D" w:rsidRDefault="00E549F6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35D5D"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35D5D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 платежей при пользовании природными ресурсами за 1 полугодии  202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D5D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35,8</w:t>
      </w:r>
      <w:r w:rsidR="00A35D5D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16,9</w:t>
      </w:r>
      <w:r w:rsidR="00A35D5D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212,0</w:t>
      </w:r>
      <w:r w:rsidR="00A35D5D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E549F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549F6">
        <w:rPr>
          <w:rFonts w:ascii="Times New Roman" w:eastAsia="Calibri" w:hAnsi="Times New Roman" w:cs="Times New Roman"/>
          <w:sz w:val="28"/>
          <w:szCs w:val="28"/>
        </w:rPr>
        <w:t>Снижение по данному неналоговому источнику связано с уменьшением количества плательщиков.</w:t>
      </w:r>
    </w:p>
    <w:p w:rsidR="00A35D5D" w:rsidRPr="00E549F6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доходов от оказания платных услуг и компенсации затрат государства за 1 полугодие    202</w:t>
      </w:r>
      <w:r w:rsidR="00E549F6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 1</w:t>
      </w:r>
      <w:r w:rsidR="00E549F6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 рублей, или </w:t>
      </w:r>
      <w:r w:rsidR="00E549F6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28,3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64,0 тыс. рублей</w:t>
      </w:r>
      <w:r w:rsid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(ожидаемое поступление платежей в декабре 2021 года)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5D5D" w:rsidRPr="00E549F6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исполнены в сумме </w:t>
      </w:r>
      <w:r w:rsidR="00E549F6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4120,7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549F6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86,2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E549F6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4782,0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A35D5D" w:rsidRPr="00E549F6" w:rsidRDefault="00A35D5D" w:rsidP="00A35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доходы от реализации иного имущества, находящегося в собственности муниципальных районов, в части реализации основных средств по указанному имуществу в сумме – </w:t>
      </w:r>
      <w:r w:rsidR="00E549F6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4000,0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– </w:t>
      </w:r>
      <w:r w:rsidR="00E549F6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95,2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плановым назначениям в сумме </w:t>
      </w:r>
      <w:r w:rsidR="00E549F6"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>4200,0</w:t>
      </w:r>
      <w:r w:rsidRPr="00E5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       </w:t>
      </w:r>
    </w:p>
    <w:p w:rsidR="00A35D5D" w:rsidRPr="006B34C3" w:rsidRDefault="00A35D5D" w:rsidP="00A35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5E29B4" w:rsidRPr="00BE1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Высокий процент исполнения связан с продажей</w:t>
      </w:r>
      <w:r w:rsidR="005E29B4" w:rsidRPr="00BE125E">
        <w:rPr>
          <w:i/>
          <w:sz w:val="24"/>
          <w:szCs w:val="24"/>
        </w:rPr>
        <w:t xml:space="preserve"> </w:t>
      </w:r>
      <w:r w:rsidR="005E29B4" w:rsidRPr="00BE125E">
        <w:rPr>
          <w:rFonts w:ascii="Times New Roman" w:hAnsi="Times New Roman" w:cs="Times New Roman"/>
          <w:i/>
          <w:sz w:val="28"/>
          <w:szCs w:val="28"/>
        </w:rPr>
        <w:t>транспортного средства</w:t>
      </w:r>
      <w:r w:rsidR="0095575F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5E29B4" w:rsidRPr="00BE125E">
        <w:rPr>
          <w:rFonts w:ascii="Times New Roman" w:hAnsi="Times New Roman" w:cs="Times New Roman"/>
          <w:i/>
          <w:sz w:val="28"/>
          <w:szCs w:val="28"/>
        </w:rPr>
        <w:t xml:space="preserve"> пассажирского водометного катер</w:t>
      </w:r>
      <w:r w:rsidR="0095575F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5E29B4" w:rsidRPr="00BE125E">
        <w:rPr>
          <w:rFonts w:ascii="Times New Roman" w:hAnsi="Times New Roman" w:cs="Times New Roman"/>
          <w:i/>
          <w:sz w:val="28"/>
          <w:szCs w:val="28"/>
        </w:rPr>
        <w:t xml:space="preserve"> КС-110-32А «Междуречье», 2005 года выпуск</w:t>
      </w:r>
      <w:r w:rsidR="005E29B4">
        <w:rPr>
          <w:rFonts w:ascii="Times New Roman" w:hAnsi="Times New Roman" w:cs="Times New Roman"/>
          <w:i/>
          <w:sz w:val="28"/>
          <w:szCs w:val="28"/>
        </w:rPr>
        <w:t>а</w:t>
      </w:r>
      <w:r w:rsidR="0095575F">
        <w:rPr>
          <w:rFonts w:ascii="Times New Roman" w:hAnsi="Times New Roman" w:cs="Times New Roman"/>
          <w:i/>
          <w:sz w:val="28"/>
          <w:szCs w:val="28"/>
        </w:rPr>
        <w:t>,</w:t>
      </w:r>
      <w:r w:rsidR="005E29B4" w:rsidRPr="00BE125E">
        <w:rPr>
          <w:rFonts w:ascii="Times New Roman" w:hAnsi="Times New Roman" w:cs="Times New Roman"/>
          <w:i/>
          <w:sz w:val="28"/>
          <w:szCs w:val="28"/>
        </w:rPr>
        <w:t xml:space="preserve">   по цене </w:t>
      </w:r>
      <w:r w:rsidR="005E29B4">
        <w:rPr>
          <w:rFonts w:ascii="Times New Roman" w:hAnsi="Times New Roman" w:cs="Times New Roman"/>
          <w:i/>
          <w:sz w:val="28"/>
          <w:szCs w:val="28"/>
        </w:rPr>
        <w:t>40</w:t>
      </w:r>
      <w:r w:rsidR="005E29B4" w:rsidRPr="00BE125E">
        <w:rPr>
          <w:rFonts w:ascii="Times New Roman" w:hAnsi="Times New Roman" w:cs="Times New Roman"/>
          <w:i/>
          <w:sz w:val="28"/>
          <w:szCs w:val="28"/>
        </w:rPr>
        <w:t>00,0 тыс. рублей.</w:t>
      </w:r>
      <w:r w:rsidR="005E29B4" w:rsidRPr="00BE1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</w:t>
      </w:r>
      <w:r w:rsidRPr="00F9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продажи земельных участков, государственная  собственность на которые не разграничена и которые расположены в границах поселений, в сумме </w:t>
      </w:r>
      <w:r w:rsidR="00F956FA" w:rsidRPr="00F956FA">
        <w:rPr>
          <w:rFonts w:ascii="Times New Roman" w:eastAsia="Times New Roman" w:hAnsi="Times New Roman" w:cs="Times New Roman"/>
          <w:sz w:val="28"/>
          <w:szCs w:val="28"/>
          <w:lang w:eastAsia="ru-RU"/>
        </w:rPr>
        <w:t>120,7</w:t>
      </w:r>
      <w:r w:rsidRPr="00F9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956FA" w:rsidRPr="00F956FA">
        <w:rPr>
          <w:rFonts w:ascii="Times New Roman" w:eastAsia="Times New Roman" w:hAnsi="Times New Roman" w:cs="Times New Roman"/>
          <w:sz w:val="28"/>
          <w:szCs w:val="28"/>
          <w:lang w:eastAsia="ru-RU"/>
        </w:rPr>
        <w:t>20,7</w:t>
      </w:r>
      <w:r w:rsidRPr="00F9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 плановым назначениям в сумме </w:t>
      </w:r>
      <w:r w:rsidR="00F956FA" w:rsidRPr="00F956FA">
        <w:rPr>
          <w:rFonts w:ascii="Times New Roman" w:eastAsia="Times New Roman" w:hAnsi="Times New Roman" w:cs="Times New Roman"/>
          <w:sz w:val="28"/>
          <w:szCs w:val="28"/>
          <w:lang w:eastAsia="ru-RU"/>
        </w:rPr>
        <w:t>582,0</w:t>
      </w:r>
      <w:r w:rsidRPr="00F9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соответствии с  предоставленной информацией причина низкого исполнения связана с тем, </w:t>
      </w:r>
      <w:r w:rsidR="009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F9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</w:t>
      </w:r>
      <w:r w:rsidR="00F956FA" w:rsidRPr="00F9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95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 w:rsidR="00F956FA" w:rsidRPr="00F95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провести в 3,4 кварталах т.г.</w:t>
      </w:r>
    </w:p>
    <w:p w:rsidR="00F956FA" w:rsidRPr="00BE125E" w:rsidRDefault="00F956FA" w:rsidP="00F95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65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Первоначальным  П</w:t>
      </w:r>
      <w:r w:rsidRPr="00165E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рогнозным  планом приватизации  </w:t>
      </w:r>
      <w:r w:rsidRPr="00165E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18.12. 2020  № 58 предусмотрены доходы от реализации муниципального имущества    на 2021 и плановый период 2022-2023 годы</w:t>
      </w:r>
      <w:r w:rsidR="001815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-  не менее 250,0 тыс. рублей, на 2022 год – не менее  250,0 тыс. рублей и на 2023 год – не менее 250,0 тыс. рублей. Внесени</w:t>
      </w:r>
      <w:r w:rsidR="009557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Прогнозный план приватизации в 1 полугодии  2021 года </w:t>
      </w:r>
      <w:r w:rsidR="002D4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производилось</w:t>
      </w:r>
      <w:r w:rsidR="006B34C3" w:rsidRPr="0016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</w:t>
      </w:r>
      <w:r w:rsidRPr="0016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165E80" w:rsidRDefault="006B34C3" w:rsidP="00165E8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5E80">
        <w:rPr>
          <w:rFonts w:ascii="Times New Roman" w:hAnsi="Times New Roman" w:cs="Times New Roman"/>
          <w:sz w:val="28"/>
          <w:szCs w:val="28"/>
        </w:rPr>
        <w:t>Решением Предст</w:t>
      </w:r>
      <w:r w:rsidR="00165E80" w:rsidRPr="00165E80">
        <w:rPr>
          <w:rFonts w:ascii="Times New Roman" w:hAnsi="Times New Roman" w:cs="Times New Roman"/>
          <w:sz w:val="28"/>
          <w:szCs w:val="28"/>
        </w:rPr>
        <w:t>авительного Собрания района от 18</w:t>
      </w:r>
      <w:r w:rsidRPr="00165E80">
        <w:rPr>
          <w:rFonts w:ascii="Times New Roman" w:hAnsi="Times New Roman" w:cs="Times New Roman"/>
          <w:sz w:val="28"/>
          <w:szCs w:val="28"/>
        </w:rPr>
        <w:t>.0</w:t>
      </w:r>
      <w:r w:rsidR="00165E80" w:rsidRPr="00165E80">
        <w:rPr>
          <w:rFonts w:ascii="Times New Roman" w:hAnsi="Times New Roman" w:cs="Times New Roman"/>
          <w:sz w:val="28"/>
          <w:szCs w:val="28"/>
        </w:rPr>
        <w:t>5</w:t>
      </w:r>
      <w:r w:rsidRPr="00165E80">
        <w:rPr>
          <w:rFonts w:ascii="Times New Roman" w:hAnsi="Times New Roman" w:cs="Times New Roman"/>
          <w:sz w:val="28"/>
          <w:szCs w:val="28"/>
        </w:rPr>
        <w:t>.202</w:t>
      </w:r>
      <w:r w:rsidR="00165E80" w:rsidRPr="00165E80">
        <w:rPr>
          <w:rFonts w:ascii="Times New Roman" w:hAnsi="Times New Roman" w:cs="Times New Roman"/>
          <w:sz w:val="28"/>
          <w:szCs w:val="28"/>
        </w:rPr>
        <w:t>1</w:t>
      </w:r>
      <w:r w:rsidRPr="00165E8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65E80" w:rsidRPr="00165E80">
        <w:rPr>
          <w:rFonts w:ascii="Times New Roman" w:hAnsi="Times New Roman" w:cs="Times New Roman"/>
          <w:sz w:val="28"/>
          <w:szCs w:val="28"/>
        </w:rPr>
        <w:t>19</w:t>
      </w:r>
      <w:r w:rsidRPr="00165E80">
        <w:rPr>
          <w:rFonts w:ascii="Times New Roman" w:hAnsi="Times New Roman" w:cs="Times New Roman"/>
          <w:sz w:val="28"/>
          <w:szCs w:val="28"/>
        </w:rPr>
        <w:t xml:space="preserve"> внесены изменения в Прогнозный план приватизации в части добавления </w:t>
      </w:r>
      <w:r w:rsidRPr="00165E80">
        <w:rPr>
          <w:rFonts w:ascii="Times New Roman" w:eastAsia="Calibri" w:hAnsi="Times New Roman" w:cs="Times New Roman"/>
          <w:sz w:val="28"/>
          <w:szCs w:val="28"/>
        </w:rPr>
        <w:t>транспортн</w:t>
      </w:r>
      <w:r w:rsidR="002D4DEF">
        <w:rPr>
          <w:rFonts w:ascii="Times New Roman" w:eastAsia="Calibri" w:hAnsi="Times New Roman" w:cs="Times New Roman"/>
          <w:sz w:val="28"/>
          <w:szCs w:val="28"/>
        </w:rPr>
        <w:t>ого</w:t>
      </w:r>
      <w:r w:rsidRPr="00165E80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2D4DEF">
        <w:rPr>
          <w:rFonts w:ascii="Times New Roman" w:eastAsia="Calibri" w:hAnsi="Times New Roman" w:cs="Times New Roman"/>
          <w:sz w:val="28"/>
          <w:szCs w:val="28"/>
        </w:rPr>
        <w:t>а</w:t>
      </w:r>
      <w:r w:rsidR="00165E80" w:rsidRPr="00165E8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65E80" w:rsidRPr="00165E80">
        <w:rPr>
          <w:rFonts w:ascii="Times New Roman" w:hAnsi="Times New Roman" w:cs="Times New Roman"/>
          <w:sz w:val="28"/>
          <w:szCs w:val="28"/>
        </w:rPr>
        <w:t>трактор</w:t>
      </w:r>
      <w:r w:rsidR="002D4DEF">
        <w:rPr>
          <w:rFonts w:ascii="Times New Roman" w:hAnsi="Times New Roman" w:cs="Times New Roman"/>
          <w:sz w:val="28"/>
          <w:szCs w:val="28"/>
        </w:rPr>
        <w:t>а</w:t>
      </w:r>
      <w:r w:rsidR="00165E80" w:rsidRPr="00165E80">
        <w:rPr>
          <w:rFonts w:ascii="Times New Roman" w:hAnsi="Times New Roman" w:cs="Times New Roman"/>
          <w:sz w:val="28"/>
          <w:szCs w:val="28"/>
        </w:rPr>
        <w:t xml:space="preserve"> – АГРОМАШ 90ТГ 2007А, год выпуска 2010, двигатель № 118546, коробка передач № 947363.  </w:t>
      </w:r>
      <w:r w:rsidRPr="00165E80">
        <w:rPr>
          <w:rFonts w:ascii="Times New Roman" w:hAnsi="Times New Roman" w:cs="Times New Roman"/>
          <w:i/>
          <w:sz w:val="28"/>
          <w:szCs w:val="28"/>
        </w:rPr>
        <w:t>Однако сумма  от реализации имущества</w:t>
      </w:r>
      <w:r w:rsidR="00165E80">
        <w:rPr>
          <w:rFonts w:ascii="Times New Roman" w:hAnsi="Times New Roman" w:cs="Times New Roman"/>
          <w:i/>
          <w:sz w:val="28"/>
          <w:szCs w:val="28"/>
        </w:rPr>
        <w:t xml:space="preserve"> на 2021 год </w:t>
      </w:r>
      <w:r w:rsidRPr="00165E80">
        <w:rPr>
          <w:rFonts w:ascii="Times New Roman" w:hAnsi="Times New Roman" w:cs="Times New Roman"/>
          <w:i/>
          <w:sz w:val="28"/>
          <w:szCs w:val="28"/>
        </w:rPr>
        <w:t xml:space="preserve"> осталась неизменной</w:t>
      </w:r>
      <w:r w:rsidR="00165E80" w:rsidRPr="00165E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5E80">
        <w:rPr>
          <w:rFonts w:ascii="Times New Roman" w:hAnsi="Times New Roman" w:cs="Times New Roman"/>
          <w:i/>
          <w:sz w:val="28"/>
          <w:szCs w:val="28"/>
        </w:rPr>
        <w:t xml:space="preserve">(не менее </w:t>
      </w:r>
      <w:r w:rsidR="00165E80" w:rsidRPr="00165E80">
        <w:rPr>
          <w:rFonts w:ascii="Times New Roman" w:hAnsi="Times New Roman" w:cs="Times New Roman"/>
          <w:i/>
          <w:sz w:val="28"/>
          <w:szCs w:val="28"/>
        </w:rPr>
        <w:t>250,</w:t>
      </w:r>
      <w:r w:rsidRPr="00165E80">
        <w:rPr>
          <w:rFonts w:ascii="Times New Roman" w:hAnsi="Times New Roman" w:cs="Times New Roman"/>
          <w:i/>
          <w:sz w:val="28"/>
          <w:szCs w:val="28"/>
        </w:rPr>
        <w:t>0 тыс. руб.).</w:t>
      </w:r>
    </w:p>
    <w:p w:rsidR="00A35D5D" w:rsidRPr="00F956FA" w:rsidRDefault="00165E80" w:rsidP="00165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E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D5D" w:rsidRPr="00F956FA"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исполнены в сумме </w:t>
      </w:r>
      <w:r w:rsidR="00F956FA" w:rsidRPr="00F956FA">
        <w:rPr>
          <w:rFonts w:ascii="Times New Roman" w:hAnsi="Times New Roman" w:cs="Times New Roman"/>
          <w:sz w:val="28"/>
          <w:szCs w:val="28"/>
        </w:rPr>
        <w:t>164,1</w:t>
      </w:r>
      <w:r w:rsidR="00A35D5D" w:rsidRPr="00F956F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956FA" w:rsidRPr="00F956FA">
        <w:rPr>
          <w:rFonts w:ascii="Times New Roman" w:hAnsi="Times New Roman" w:cs="Times New Roman"/>
          <w:sz w:val="28"/>
          <w:szCs w:val="28"/>
        </w:rPr>
        <w:t>5,8</w:t>
      </w:r>
      <w:r w:rsidR="00A35D5D" w:rsidRPr="00F956FA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F956FA" w:rsidRPr="00F956FA">
        <w:rPr>
          <w:rFonts w:ascii="Times New Roman" w:hAnsi="Times New Roman" w:cs="Times New Roman"/>
          <w:sz w:val="28"/>
          <w:szCs w:val="28"/>
        </w:rPr>
        <w:t>317,0</w:t>
      </w:r>
      <w:r w:rsidR="00A35D5D" w:rsidRPr="00F956FA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7CA8" w:rsidRDefault="008F7CA8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7CA8" w:rsidRPr="00A35D5D" w:rsidRDefault="008F7CA8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166F7B" w:rsidRDefault="00A35D5D" w:rsidP="00CC70E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66F7B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Безвозмездные поступления.</w:t>
      </w:r>
    </w:p>
    <w:p w:rsidR="00A35D5D" w:rsidRPr="00166F7B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F7B">
        <w:rPr>
          <w:rFonts w:ascii="Times New Roman" w:eastAsia="Calibri" w:hAnsi="Times New Roman" w:cs="Times New Roman"/>
          <w:sz w:val="28"/>
          <w:szCs w:val="28"/>
        </w:rPr>
        <w:t xml:space="preserve">     Безвозмездные поступления в бюджет района составили </w:t>
      </w:r>
      <w:r w:rsidR="00166F7B" w:rsidRPr="00166F7B">
        <w:rPr>
          <w:rFonts w:ascii="Times New Roman" w:eastAsia="Calibri" w:hAnsi="Times New Roman" w:cs="Times New Roman"/>
          <w:sz w:val="28"/>
          <w:szCs w:val="28"/>
        </w:rPr>
        <w:t>85163,3</w:t>
      </w:r>
      <w:r w:rsidRPr="00166F7B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66F7B" w:rsidRPr="00166F7B">
        <w:rPr>
          <w:rFonts w:ascii="Times New Roman" w:eastAsia="Calibri" w:hAnsi="Times New Roman" w:cs="Times New Roman"/>
          <w:sz w:val="28"/>
          <w:szCs w:val="28"/>
        </w:rPr>
        <w:t>36,5</w:t>
      </w:r>
      <w:r w:rsidRPr="00166F7B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166F7B" w:rsidRPr="00166F7B">
        <w:rPr>
          <w:rFonts w:ascii="Times New Roman" w:eastAsia="Calibri" w:hAnsi="Times New Roman" w:cs="Times New Roman"/>
          <w:sz w:val="28"/>
          <w:szCs w:val="28"/>
        </w:rPr>
        <w:t>233022,0</w:t>
      </w:r>
      <w:r w:rsidRPr="00166F7B">
        <w:rPr>
          <w:rFonts w:ascii="Times New Roman" w:eastAsia="Calibri" w:hAnsi="Times New Roman" w:cs="Times New Roman"/>
          <w:sz w:val="28"/>
          <w:szCs w:val="28"/>
        </w:rPr>
        <w:t xml:space="preserve">  тыс. рублей. По сравнению с 1 полугодием  20</w:t>
      </w:r>
      <w:r w:rsidR="00166F7B" w:rsidRPr="00166F7B">
        <w:rPr>
          <w:rFonts w:ascii="Times New Roman" w:eastAsia="Calibri" w:hAnsi="Times New Roman" w:cs="Times New Roman"/>
          <w:sz w:val="28"/>
          <w:szCs w:val="28"/>
        </w:rPr>
        <w:t>20</w:t>
      </w:r>
      <w:r w:rsidRPr="00166F7B">
        <w:rPr>
          <w:rFonts w:ascii="Times New Roman" w:eastAsia="Calibri" w:hAnsi="Times New Roman" w:cs="Times New Roman"/>
          <w:sz w:val="28"/>
          <w:szCs w:val="28"/>
        </w:rPr>
        <w:t xml:space="preserve"> года безвозмездные поступления </w:t>
      </w:r>
      <w:r w:rsidR="00166F7B" w:rsidRPr="00166F7B">
        <w:rPr>
          <w:rFonts w:ascii="Times New Roman" w:eastAsia="Calibri" w:hAnsi="Times New Roman" w:cs="Times New Roman"/>
          <w:sz w:val="28"/>
          <w:szCs w:val="28"/>
        </w:rPr>
        <w:t>снизились</w:t>
      </w:r>
      <w:r w:rsidRPr="00166F7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66F7B" w:rsidRPr="00166F7B">
        <w:rPr>
          <w:rFonts w:ascii="Times New Roman" w:eastAsia="Calibri" w:hAnsi="Times New Roman" w:cs="Times New Roman"/>
          <w:sz w:val="28"/>
          <w:szCs w:val="28"/>
        </w:rPr>
        <w:t>493,8</w:t>
      </w:r>
      <w:r w:rsidRPr="00166F7B">
        <w:rPr>
          <w:rFonts w:ascii="Times New Roman" w:eastAsia="Calibri" w:hAnsi="Times New Roman" w:cs="Times New Roman"/>
          <w:sz w:val="28"/>
          <w:szCs w:val="28"/>
        </w:rPr>
        <w:t xml:space="preserve"> тыс. рублей,  или на </w:t>
      </w:r>
      <w:r w:rsidR="00166F7B" w:rsidRPr="00166F7B">
        <w:rPr>
          <w:rFonts w:ascii="Times New Roman" w:eastAsia="Calibri" w:hAnsi="Times New Roman" w:cs="Times New Roman"/>
          <w:sz w:val="28"/>
          <w:szCs w:val="28"/>
        </w:rPr>
        <w:t>0,6</w:t>
      </w:r>
      <w:r w:rsidRPr="00166F7B">
        <w:rPr>
          <w:rFonts w:ascii="Times New Roman" w:eastAsia="Calibri" w:hAnsi="Times New Roman" w:cs="Times New Roman"/>
          <w:sz w:val="28"/>
          <w:szCs w:val="28"/>
        </w:rPr>
        <w:t xml:space="preserve"> %, их доля в общих доходах бюджета района составила </w:t>
      </w:r>
      <w:r w:rsidR="00166F7B" w:rsidRPr="00166F7B">
        <w:rPr>
          <w:rFonts w:ascii="Times New Roman" w:eastAsia="Calibri" w:hAnsi="Times New Roman" w:cs="Times New Roman"/>
          <w:sz w:val="28"/>
          <w:szCs w:val="28"/>
        </w:rPr>
        <w:t>70,0</w:t>
      </w:r>
      <w:r w:rsidRPr="00166F7B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166F7B" w:rsidRPr="00166F7B">
        <w:rPr>
          <w:rFonts w:ascii="Times New Roman" w:eastAsia="Calibri" w:hAnsi="Times New Roman" w:cs="Times New Roman"/>
          <w:sz w:val="28"/>
          <w:szCs w:val="28"/>
        </w:rPr>
        <w:t>ов</w:t>
      </w:r>
      <w:r w:rsidRPr="00166F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1573" w:rsidRPr="00166F7B" w:rsidRDefault="00181573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D5D" w:rsidRPr="00166F7B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166F7B">
        <w:rPr>
          <w:rFonts w:ascii="Times New Roman" w:eastAsia="Calibri" w:hAnsi="Times New Roman" w:cs="Times New Roman"/>
          <w:sz w:val="28"/>
          <w:szCs w:val="28"/>
        </w:rPr>
        <w:t>Структура безвозмездных поступлений в сравнении с 1 полугодием 20</w:t>
      </w:r>
      <w:r w:rsidR="00166F7B" w:rsidRPr="00166F7B">
        <w:rPr>
          <w:rFonts w:ascii="Times New Roman" w:eastAsia="Calibri" w:hAnsi="Times New Roman" w:cs="Times New Roman"/>
          <w:sz w:val="28"/>
          <w:szCs w:val="28"/>
        </w:rPr>
        <w:t>20</w:t>
      </w:r>
      <w:r w:rsidRPr="00166F7B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  <w:r w:rsidRPr="00166F7B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181573" w:rsidRPr="00166F7B" w:rsidRDefault="00181573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166F7B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тыс. руб.</w:t>
      </w:r>
      <w:r w:rsidR="00CC237F" w:rsidRPr="00CC237F">
        <w:rPr>
          <w:noProof/>
          <w:lang w:eastAsia="ru-RU"/>
        </w:rPr>
        <w:t xml:space="preserve"> </w:t>
      </w:r>
      <w:r w:rsidR="00CC237F">
        <w:rPr>
          <w:noProof/>
          <w:lang w:eastAsia="ru-RU"/>
        </w:rPr>
        <w:drawing>
          <wp:inline distT="0" distB="0" distL="0" distR="0" wp14:anchorId="5B67978B" wp14:editId="61A66F9F">
            <wp:extent cx="5891841" cy="4692770"/>
            <wp:effectExtent l="0" t="0" r="13970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237F" w:rsidRDefault="00CC237F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35D5D" w:rsidRPr="003833B7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</w:t>
      </w:r>
      <w:r w:rsidRPr="003833B7">
        <w:rPr>
          <w:rFonts w:ascii="Times New Roman" w:eastAsia="Calibri" w:hAnsi="Times New Roman" w:cs="Times New Roman"/>
          <w:i/>
          <w:sz w:val="28"/>
          <w:szCs w:val="28"/>
        </w:rPr>
        <w:t>дотации из областного  бюджета</w:t>
      </w: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 бюджетам субъектов Российской Федерации и муниципальным образованиям поступили  в сумме </w:t>
      </w:r>
      <w:r w:rsidR="003833B7" w:rsidRPr="003833B7">
        <w:rPr>
          <w:rFonts w:ascii="Times New Roman" w:eastAsia="Calibri" w:hAnsi="Times New Roman" w:cs="Times New Roman"/>
          <w:sz w:val="28"/>
          <w:szCs w:val="28"/>
        </w:rPr>
        <w:t>28489,6</w:t>
      </w: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  тыс. рублей, или </w:t>
      </w:r>
      <w:r w:rsidR="003833B7" w:rsidRPr="003833B7">
        <w:rPr>
          <w:rFonts w:ascii="Times New Roman" w:eastAsia="Calibri" w:hAnsi="Times New Roman" w:cs="Times New Roman"/>
          <w:sz w:val="28"/>
          <w:szCs w:val="28"/>
        </w:rPr>
        <w:t>36,4</w:t>
      </w: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3833B7" w:rsidRPr="003833B7">
        <w:rPr>
          <w:rFonts w:ascii="Times New Roman" w:eastAsia="Calibri" w:hAnsi="Times New Roman" w:cs="Times New Roman"/>
          <w:sz w:val="28"/>
          <w:szCs w:val="28"/>
        </w:rPr>
        <w:t>78277,6</w:t>
      </w: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:rsidR="00A35D5D" w:rsidRPr="003833B7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- на выравнивание бюджетной обеспеченности в сумме </w:t>
      </w:r>
      <w:r w:rsidR="003833B7" w:rsidRPr="003833B7">
        <w:rPr>
          <w:rFonts w:ascii="Times New Roman" w:eastAsia="Calibri" w:hAnsi="Times New Roman" w:cs="Times New Roman"/>
          <w:sz w:val="28"/>
          <w:szCs w:val="28"/>
        </w:rPr>
        <w:t>13458,5</w:t>
      </w: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35D5D" w:rsidRPr="003833B7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- на поддержку мер по обеспечению сбалансированности бюджетов в сумме </w:t>
      </w:r>
      <w:r w:rsidR="003833B7" w:rsidRPr="003833B7">
        <w:rPr>
          <w:rFonts w:ascii="Times New Roman" w:eastAsia="Calibri" w:hAnsi="Times New Roman" w:cs="Times New Roman"/>
          <w:sz w:val="28"/>
          <w:szCs w:val="28"/>
        </w:rPr>
        <w:t>1189,4</w:t>
      </w: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35D5D" w:rsidRPr="003833B7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3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на частичную компенсацию дополнительных расходов на повышение оплаты труда работников бюджетной сферы в сумме </w:t>
      </w:r>
      <w:r w:rsidR="003833B7" w:rsidRPr="003833B7">
        <w:rPr>
          <w:rFonts w:ascii="Times New Roman" w:eastAsia="Calibri" w:hAnsi="Times New Roman" w:cs="Times New Roman"/>
          <w:sz w:val="28"/>
          <w:szCs w:val="28"/>
        </w:rPr>
        <w:t>13841,7</w:t>
      </w: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3833B7" w:rsidRPr="003833B7">
        <w:rPr>
          <w:rFonts w:ascii="Times New Roman" w:eastAsia="Calibri" w:hAnsi="Times New Roman" w:cs="Times New Roman"/>
          <w:sz w:val="28"/>
          <w:szCs w:val="28"/>
        </w:rPr>
        <w:t>33,4</w:t>
      </w: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     </w:t>
      </w:r>
      <w:r w:rsidRPr="003833B7">
        <w:rPr>
          <w:rFonts w:ascii="Times New Roman" w:eastAsia="Calibri" w:hAnsi="Times New Roman" w:cs="Times New Roman"/>
          <w:i/>
          <w:sz w:val="28"/>
          <w:szCs w:val="28"/>
        </w:rPr>
        <w:t>Субсидии бюджетам</w:t>
      </w: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 субъектов РФ и муниципальным образованиям (межбюджетные субсидии) в 1 полугодии 202</w:t>
      </w:r>
      <w:r w:rsidR="003833B7" w:rsidRPr="003833B7">
        <w:rPr>
          <w:rFonts w:ascii="Times New Roman" w:eastAsia="Calibri" w:hAnsi="Times New Roman" w:cs="Times New Roman"/>
          <w:sz w:val="28"/>
          <w:szCs w:val="28"/>
        </w:rPr>
        <w:t>1</w:t>
      </w: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 года поступали в сумме </w:t>
      </w:r>
      <w:r w:rsidR="003833B7" w:rsidRPr="003833B7">
        <w:rPr>
          <w:rFonts w:ascii="Times New Roman" w:eastAsia="Calibri" w:hAnsi="Times New Roman" w:cs="Times New Roman"/>
          <w:sz w:val="28"/>
          <w:szCs w:val="28"/>
        </w:rPr>
        <w:t>13272,9</w:t>
      </w: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3833B7" w:rsidRPr="003833B7">
        <w:rPr>
          <w:rFonts w:ascii="Times New Roman" w:eastAsia="Calibri" w:hAnsi="Times New Roman" w:cs="Times New Roman"/>
          <w:sz w:val="28"/>
          <w:szCs w:val="28"/>
        </w:rPr>
        <w:t>18,2</w:t>
      </w: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% к утвержденным годовым назначениям  в сумме  </w:t>
      </w:r>
      <w:r w:rsidR="003833B7" w:rsidRPr="003833B7">
        <w:rPr>
          <w:rFonts w:ascii="Times New Roman" w:eastAsia="Calibri" w:hAnsi="Times New Roman" w:cs="Times New Roman"/>
          <w:sz w:val="28"/>
          <w:szCs w:val="28"/>
        </w:rPr>
        <w:t>72950,5</w:t>
      </w:r>
      <w:r w:rsidRPr="003833B7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:rsidR="00FE096D" w:rsidRPr="003833B7" w:rsidRDefault="00FE096D" w:rsidP="00FE09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3B7">
        <w:rPr>
          <w:rFonts w:ascii="Times New Roman" w:eastAsia="Calibri" w:hAnsi="Times New Roman" w:cs="Times New Roman"/>
          <w:sz w:val="28"/>
          <w:szCs w:val="28"/>
        </w:rPr>
        <w:t>- на внедрение и (или) эксплуатацию аппаратно-программного комплекса «Безопасный город» - 13,6 тыс. рублей;</w:t>
      </w:r>
    </w:p>
    <w:p w:rsidR="00FE096D" w:rsidRDefault="00FE096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организацию транспортного обслуживания населения на муниципальных маршрутах регулярных перевозок по регулируемым тарифам в сумме 558,2 тыс. рублей;</w:t>
      </w:r>
    </w:p>
    <w:p w:rsidR="00FE096D" w:rsidRPr="00FE096D" w:rsidRDefault="00FE096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96D">
        <w:rPr>
          <w:rFonts w:ascii="Times New Roman" w:eastAsia="Calibri" w:hAnsi="Times New Roman" w:cs="Times New Roman"/>
          <w:sz w:val="28"/>
          <w:szCs w:val="28"/>
        </w:rPr>
        <w:t>- на переселение граждан из аварийного жилищного фонда за счет средств Фонда содействия по реформированию ЖКХ – 5856,3 тыс. рублей;</w:t>
      </w:r>
    </w:p>
    <w:p w:rsidR="00FE096D" w:rsidRPr="00FE096D" w:rsidRDefault="00FE096D" w:rsidP="00FE09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96D">
        <w:rPr>
          <w:rFonts w:ascii="Times New Roman" w:eastAsia="Calibri" w:hAnsi="Times New Roman" w:cs="Times New Roman"/>
          <w:sz w:val="28"/>
          <w:szCs w:val="28"/>
        </w:rPr>
        <w:t xml:space="preserve">- на переселение граждан из аварийного жилищного фонда за счет средств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бюджета области </w:t>
      </w:r>
      <w:r w:rsidRPr="00FE096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244,0</w:t>
      </w:r>
      <w:r w:rsidRPr="00FE096D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FE096D" w:rsidRDefault="00FE096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организацию бесплатного горячего питания обучающихся в сумме 1119,0 тыс. рублей;</w:t>
      </w:r>
    </w:p>
    <w:p w:rsidR="00FE096D" w:rsidRPr="0009036B" w:rsidRDefault="00FE096D" w:rsidP="00FE09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36B">
        <w:rPr>
          <w:rFonts w:ascii="Times New Roman" w:eastAsia="Calibri" w:hAnsi="Times New Roman" w:cs="Times New Roman"/>
          <w:sz w:val="28"/>
          <w:szCs w:val="28"/>
        </w:rPr>
        <w:t xml:space="preserve">- на </w:t>
      </w:r>
      <w:r w:rsidR="0009036B" w:rsidRPr="0009036B">
        <w:rPr>
          <w:rFonts w:ascii="Times New Roman" w:eastAsia="Calibri" w:hAnsi="Times New Roman" w:cs="Times New Roman"/>
          <w:sz w:val="28"/>
          <w:szCs w:val="28"/>
        </w:rPr>
        <w:t>организацию и проведение на территории района организационных занятий  граждан физической культурой</w:t>
      </w:r>
      <w:r w:rsidRPr="0009036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9036B" w:rsidRPr="0009036B">
        <w:rPr>
          <w:rFonts w:ascii="Times New Roman" w:eastAsia="Calibri" w:hAnsi="Times New Roman" w:cs="Times New Roman"/>
          <w:sz w:val="28"/>
          <w:szCs w:val="28"/>
        </w:rPr>
        <w:t>300,0</w:t>
      </w:r>
      <w:r w:rsidRPr="0009036B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35D5D" w:rsidRPr="00FE096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96D">
        <w:rPr>
          <w:rFonts w:ascii="Times New Roman" w:eastAsia="Calibri" w:hAnsi="Times New Roman" w:cs="Times New Roman"/>
          <w:sz w:val="28"/>
          <w:szCs w:val="28"/>
        </w:rPr>
        <w:t xml:space="preserve">- на </w:t>
      </w:r>
      <w:r w:rsidR="00FE096D" w:rsidRPr="00FE096D">
        <w:rPr>
          <w:rFonts w:ascii="Times New Roman" w:eastAsia="Calibri" w:hAnsi="Times New Roman" w:cs="Times New Roman"/>
          <w:sz w:val="28"/>
          <w:szCs w:val="28"/>
        </w:rPr>
        <w:t>обеспечение комплексного развития  сельских территорий (современный облик)</w:t>
      </w:r>
      <w:r w:rsidRPr="00FE0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96D" w:rsidRPr="00FE096D">
        <w:rPr>
          <w:rFonts w:ascii="Times New Roman" w:eastAsia="Calibri" w:hAnsi="Times New Roman" w:cs="Times New Roman"/>
          <w:sz w:val="28"/>
          <w:szCs w:val="28"/>
        </w:rPr>
        <w:t>–</w:t>
      </w:r>
      <w:r w:rsidRPr="00FE0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96D" w:rsidRPr="00FE096D">
        <w:rPr>
          <w:rFonts w:ascii="Times New Roman" w:eastAsia="Calibri" w:hAnsi="Times New Roman" w:cs="Times New Roman"/>
          <w:sz w:val="28"/>
          <w:szCs w:val="28"/>
        </w:rPr>
        <w:t>3553,9</w:t>
      </w:r>
      <w:r w:rsidR="00FE096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A35D5D" w:rsidRPr="00FE096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96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036B">
        <w:rPr>
          <w:rFonts w:ascii="Times New Roman" w:eastAsia="Calibri" w:hAnsi="Times New Roman" w:cs="Times New Roman"/>
          <w:sz w:val="28"/>
          <w:szCs w:val="28"/>
        </w:rPr>
        <w:t>на</w:t>
      </w:r>
      <w:r w:rsidRPr="00FE096D">
        <w:rPr>
          <w:rFonts w:ascii="Times New Roman" w:eastAsia="Calibri" w:hAnsi="Times New Roman" w:cs="Times New Roman"/>
          <w:sz w:val="28"/>
          <w:szCs w:val="28"/>
        </w:rPr>
        <w:t xml:space="preserve"> улучшение жилищных условий граждан, проживающих в сельской местности, в т.ч. молодых семей в рамках ФЦП «Комплексное развитие сельских территорий» - </w:t>
      </w:r>
      <w:r w:rsidR="00FE096D" w:rsidRPr="00FE096D">
        <w:rPr>
          <w:rFonts w:ascii="Times New Roman" w:eastAsia="Calibri" w:hAnsi="Times New Roman" w:cs="Times New Roman"/>
          <w:sz w:val="28"/>
          <w:szCs w:val="28"/>
        </w:rPr>
        <w:t>1627,9</w:t>
      </w:r>
      <w:r w:rsidR="0009036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      </w:t>
      </w:r>
      <w:r w:rsidRPr="000038FB">
        <w:rPr>
          <w:rFonts w:ascii="Times New Roman" w:eastAsia="Calibri" w:hAnsi="Times New Roman" w:cs="Times New Roman"/>
          <w:i/>
          <w:sz w:val="28"/>
          <w:szCs w:val="28"/>
        </w:rPr>
        <w:t>Субвенции бюджетам</w:t>
      </w:r>
      <w:r w:rsidRPr="000038FB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 и муниципальных образований поступили в сумме </w:t>
      </w:r>
      <w:r w:rsidR="000038FB" w:rsidRPr="000038FB">
        <w:rPr>
          <w:rFonts w:ascii="Times New Roman" w:eastAsia="Calibri" w:hAnsi="Times New Roman" w:cs="Times New Roman"/>
          <w:sz w:val="28"/>
          <w:szCs w:val="28"/>
        </w:rPr>
        <w:t>42300,5</w:t>
      </w:r>
      <w:r w:rsidRPr="000038FB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038FB" w:rsidRPr="000038FB">
        <w:rPr>
          <w:rFonts w:ascii="Times New Roman" w:eastAsia="Calibri" w:hAnsi="Times New Roman" w:cs="Times New Roman"/>
          <w:sz w:val="28"/>
          <w:szCs w:val="28"/>
        </w:rPr>
        <w:t>52,9</w:t>
      </w:r>
      <w:r w:rsidRPr="000038FB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0038FB" w:rsidRPr="000038FB">
        <w:rPr>
          <w:rFonts w:ascii="Times New Roman" w:eastAsia="Calibri" w:hAnsi="Times New Roman" w:cs="Times New Roman"/>
          <w:sz w:val="28"/>
          <w:szCs w:val="28"/>
        </w:rPr>
        <w:t>79940,5</w:t>
      </w:r>
      <w:r w:rsidRPr="000038F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A35D5D" w:rsidRPr="000038FB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8FB">
        <w:rPr>
          <w:rFonts w:ascii="Times New Roman" w:eastAsia="Calibri" w:hAnsi="Times New Roman" w:cs="Times New Roman"/>
          <w:sz w:val="28"/>
          <w:szCs w:val="28"/>
        </w:rPr>
        <w:t xml:space="preserve">Субвенция в сумме </w:t>
      </w:r>
      <w:r w:rsidR="000038FB" w:rsidRPr="000038FB">
        <w:rPr>
          <w:rFonts w:ascii="Times New Roman" w:eastAsia="Calibri" w:hAnsi="Times New Roman" w:cs="Times New Roman"/>
          <w:sz w:val="28"/>
          <w:szCs w:val="28"/>
        </w:rPr>
        <w:t>42300,5</w:t>
      </w:r>
      <w:r w:rsidRPr="000038FB">
        <w:rPr>
          <w:rFonts w:ascii="Times New Roman" w:eastAsia="Calibri" w:hAnsi="Times New Roman" w:cs="Times New Roman"/>
          <w:sz w:val="28"/>
          <w:szCs w:val="28"/>
        </w:rPr>
        <w:t xml:space="preserve"> тыс. рублей поступила в район на выполнение передаваемых полномочий субъектов РФ, в том числе: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383357">
        <w:rPr>
          <w:rFonts w:ascii="Times New Roman" w:eastAsia="Calibri" w:hAnsi="Times New Roman" w:cs="Times New Roman"/>
          <w:sz w:val="28"/>
          <w:szCs w:val="28"/>
        </w:rPr>
        <w:t xml:space="preserve">- на осуществление отдельных  государственных  полномочий в сфере административных отношений – </w:t>
      </w:r>
      <w:r w:rsidR="000038FB" w:rsidRPr="00383357">
        <w:rPr>
          <w:rFonts w:ascii="Times New Roman" w:eastAsia="Calibri" w:hAnsi="Times New Roman" w:cs="Times New Roman"/>
          <w:sz w:val="28"/>
          <w:szCs w:val="28"/>
        </w:rPr>
        <w:t>366,5</w:t>
      </w:r>
      <w:r w:rsidRPr="0038335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35D5D" w:rsidRPr="00383357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357">
        <w:rPr>
          <w:rFonts w:ascii="Times New Roman" w:eastAsia="Calibri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архивного дела – </w:t>
      </w:r>
      <w:r w:rsidR="00383357" w:rsidRPr="00383357">
        <w:rPr>
          <w:rFonts w:ascii="Times New Roman" w:eastAsia="Calibri" w:hAnsi="Times New Roman" w:cs="Times New Roman"/>
          <w:sz w:val="28"/>
          <w:szCs w:val="28"/>
        </w:rPr>
        <w:t>173,0</w:t>
      </w:r>
      <w:r w:rsidRPr="0038335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383357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="00383357" w:rsidRPr="00383357">
        <w:rPr>
          <w:rFonts w:ascii="Times New Roman" w:eastAsia="Calibri" w:hAnsi="Times New Roman" w:cs="Times New Roman"/>
          <w:sz w:val="28"/>
          <w:szCs w:val="28"/>
        </w:rPr>
        <w:t>- на передаваемые полномочия по организации и осуществлению деятельности по опеке и попечительству – 217,4 тыс. рублей;</w:t>
      </w:r>
    </w:p>
    <w:p w:rsidR="00A35D5D" w:rsidRPr="00383357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357">
        <w:rPr>
          <w:rFonts w:ascii="Times New Roman" w:eastAsia="Calibri" w:hAnsi="Times New Roman" w:cs="Times New Roman"/>
          <w:sz w:val="28"/>
          <w:szCs w:val="28"/>
        </w:rPr>
        <w:t xml:space="preserve">         - на обеспечение социальной поддержки детей,  обучающихся в муниципальных общеобразовательных учреждениях, из многодетных семей, приемных семей, имеющих в составе трех и более детей, в том числе родных, в части предоставления денежных выплат на проезд </w:t>
      </w:r>
      <w:r w:rsidR="00383357" w:rsidRPr="00383357">
        <w:rPr>
          <w:rFonts w:ascii="Times New Roman" w:eastAsia="Calibri" w:hAnsi="Times New Roman" w:cs="Times New Roman"/>
          <w:sz w:val="28"/>
          <w:szCs w:val="28"/>
        </w:rPr>
        <w:t>327,6</w:t>
      </w:r>
      <w:r w:rsidRPr="0038335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383357">
        <w:rPr>
          <w:rFonts w:ascii="Times New Roman" w:eastAsia="Calibri" w:hAnsi="Times New Roman" w:cs="Times New Roman"/>
          <w:sz w:val="28"/>
          <w:szCs w:val="28"/>
        </w:rPr>
        <w:t xml:space="preserve">- на обеспечение  выплаты денежной  компенсации  части родительской платы, взымаемой с родителей за содержание  детей в МОУ – </w:t>
      </w:r>
      <w:r w:rsidR="00383357" w:rsidRPr="00383357">
        <w:rPr>
          <w:rFonts w:ascii="Times New Roman" w:eastAsia="Calibri" w:hAnsi="Times New Roman" w:cs="Times New Roman"/>
          <w:sz w:val="28"/>
          <w:szCs w:val="28"/>
        </w:rPr>
        <w:t>410,0</w:t>
      </w:r>
      <w:r w:rsidRPr="0038335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   </w:t>
      </w:r>
      <w:r w:rsidRPr="00383357">
        <w:rPr>
          <w:rFonts w:ascii="Times New Roman" w:eastAsia="Calibri" w:hAnsi="Times New Roman" w:cs="Times New Roman"/>
          <w:sz w:val="28"/>
          <w:szCs w:val="28"/>
        </w:rPr>
        <w:t xml:space="preserve">- на обеспечение общеобразовательного процесса (з/плата основного, прочего персонала  и учебные расходы) – </w:t>
      </w:r>
      <w:r w:rsidR="00383357" w:rsidRPr="00383357">
        <w:rPr>
          <w:rFonts w:ascii="Times New Roman" w:eastAsia="Calibri" w:hAnsi="Times New Roman" w:cs="Times New Roman"/>
          <w:sz w:val="28"/>
          <w:szCs w:val="28"/>
        </w:rPr>
        <w:t>25332,5</w:t>
      </w:r>
      <w:r w:rsidRPr="0038335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35D5D" w:rsidRPr="00383357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357">
        <w:rPr>
          <w:rFonts w:ascii="Times New Roman" w:eastAsia="Calibri" w:hAnsi="Times New Roman" w:cs="Times New Roman"/>
          <w:sz w:val="28"/>
          <w:szCs w:val="28"/>
        </w:rPr>
        <w:t xml:space="preserve">         - на обеспечение питанием отдельных категорий учащихся – </w:t>
      </w:r>
      <w:r w:rsidR="00383357" w:rsidRPr="00383357">
        <w:rPr>
          <w:rFonts w:ascii="Times New Roman" w:eastAsia="Calibri" w:hAnsi="Times New Roman" w:cs="Times New Roman"/>
          <w:sz w:val="28"/>
          <w:szCs w:val="28"/>
        </w:rPr>
        <w:t>649,5</w:t>
      </w:r>
      <w:r w:rsidRPr="0038335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383357">
        <w:rPr>
          <w:rFonts w:ascii="Times New Roman" w:eastAsia="Calibri" w:hAnsi="Times New Roman" w:cs="Times New Roman"/>
          <w:sz w:val="28"/>
          <w:szCs w:val="28"/>
        </w:rPr>
        <w:t xml:space="preserve">- на осуществление отдельных  государственных  полномочий  по предоставлению денежной компенсации взамен  предоставления земельного участка гражданам, имеющим трех и более детей – </w:t>
      </w:r>
      <w:r w:rsidR="00383357" w:rsidRPr="00383357">
        <w:rPr>
          <w:rFonts w:ascii="Times New Roman" w:eastAsia="Calibri" w:hAnsi="Times New Roman" w:cs="Times New Roman"/>
          <w:sz w:val="28"/>
          <w:szCs w:val="28"/>
        </w:rPr>
        <w:t>1587,3</w:t>
      </w:r>
      <w:r w:rsidRPr="0038335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934193">
        <w:rPr>
          <w:rFonts w:ascii="Times New Roman" w:eastAsia="Calibri" w:hAnsi="Times New Roman" w:cs="Times New Roman"/>
          <w:sz w:val="28"/>
          <w:szCs w:val="28"/>
        </w:rPr>
        <w:t xml:space="preserve">- на обеспечение дошкольного образования детей в  муниципальных дошкольных образовательных организациях (заработная плата основного и прочего персонала, учебные расходы) -  </w:t>
      </w:r>
      <w:r w:rsidR="00655AFA">
        <w:rPr>
          <w:rFonts w:ascii="Times New Roman" w:eastAsia="Calibri" w:hAnsi="Times New Roman" w:cs="Times New Roman"/>
          <w:sz w:val="28"/>
          <w:szCs w:val="28"/>
        </w:rPr>
        <w:t>9389,2</w:t>
      </w:r>
      <w:r w:rsidRPr="00934193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934193">
        <w:rPr>
          <w:rFonts w:ascii="Times New Roman" w:eastAsia="Calibri" w:hAnsi="Times New Roman" w:cs="Times New Roman"/>
          <w:sz w:val="28"/>
          <w:szCs w:val="28"/>
        </w:rPr>
        <w:t xml:space="preserve">- на осуществление отдельных  государственных  полномочий в сфере межбюджетных отношений на выравнивание бюджетной обеспеченности  поселений – </w:t>
      </w:r>
      <w:r w:rsidR="00934193" w:rsidRPr="00934193">
        <w:rPr>
          <w:rFonts w:ascii="Times New Roman" w:eastAsia="Calibri" w:hAnsi="Times New Roman" w:cs="Times New Roman"/>
          <w:sz w:val="28"/>
          <w:szCs w:val="28"/>
        </w:rPr>
        <w:t>361,8</w:t>
      </w:r>
      <w:r w:rsidRPr="00934193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35D5D" w:rsidRPr="00934193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193">
        <w:rPr>
          <w:rFonts w:ascii="Times New Roman" w:eastAsia="Calibri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организации деятельности  многофункциональных центров – </w:t>
      </w:r>
      <w:r w:rsidR="00934193" w:rsidRPr="00934193">
        <w:rPr>
          <w:rFonts w:ascii="Times New Roman" w:eastAsia="Calibri" w:hAnsi="Times New Roman" w:cs="Times New Roman"/>
          <w:sz w:val="28"/>
          <w:szCs w:val="28"/>
        </w:rPr>
        <w:t>481,0</w:t>
      </w:r>
      <w:r w:rsidRPr="00934193">
        <w:rPr>
          <w:rFonts w:ascii="Times New Roman" w:eastAsia="Calibri" w:hAnsi="Times New Roman" w:cs="Times New Roman"/>
          <w:sz w:val="28"/>
          <w:szCs w:val="28"/>
        </w:rPr>
        <w:t xml:space="preserve">  тыс. рублей;</w:t>
      </w:r>
    </w:p>
    <w:p w:rsidR="00934193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934193">
        <w:rPr>
          <w:rFonts w:ascii="Times New Roman" w:eastAsia="Calibri" w:hAnsi="Times New Roman" w:cs="Times New Roman"/>
          <w:sz w:val="28"/>
          <w:szCs w:val="28"/>
        </w:rPr>
        <w:t xml:space="preserve">- на содержание и обучение детей с ограниченными возможностями здоровья, в том числе  детей - сирот и детей, оставшихся без попечения родителей за время пребывания в мун. образованиях  – </w:t>
      </w:r>
      <w:r w:rsidR="00934193" w:rsidRPr="00934193">
        <w:rPr>
          <w:rFonts w:ascii="Times New Roman" w:eastAsia="Calibri" w:hAnsi="Times New Roman" w:cs="Times New Roman"/>
          <w:sz w:val="28"/>
          <w:szCs w:val="28"/>
        </w:rPr>
        <w:t>522,7</w:t>
      </w:r>
      <w:r w:rsidRPr="00934193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341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5D5D" w:rsidRPr="00A35D5D" w:rsidRDefault="00934193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D10A4">
        <w:rPr>
          <w:rFonts w:ascii="Times New Roman" w:hAnsi="Times New Roman" w:cs="Times New Roman"/>
          <w:sz w:val="28"/>
          <w:szCs w:val="28"/>
        </w:rPr>
        <w:t xml:space="preserve">- на ежемесячное денежное вознаграждение за классное руководство  - </w:t>
      </w:r>
      <w:r>
        <w:rPr>
          <w:rFonts w:ascii="Times New Roman" w:hAnsi="Times New Roman" w:cs="Times New Roman"/>
          <w:sz w:val="28"/>
          <w:szCs w:val="28"/>
        </w:rPr>
        <w:t>2482,0</w:t>
      </w:r>
      <w:r w:rsidRPr="00AD10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35D5D" w:rsidRPr="009341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5AFA" w:rsidRPr="00632923" w:rsidRDefault="00A35D5D" w:rsidP="00655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="00655AFA"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="00655AFA" w:rsidRPr="0075037B">
        <w:rPr>
          <w:rFonts w:ascii="Times New Roman" w:hAnsi="Times New Roman" w:cs="Times New Roman"/>
          <w:sz w:val="28"/>
          <w:szCs w:val="28"/>
        </w:rPr>
        <w:t xml:space="preserve">Субвенция  на осуществление </w:t>
      </w:r>
      <w:r w:rsidR="00655AFA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655AFA" w:rsidRPr="0075037B">
        <w:rPr>
          <w:rFonts w:ascii="Times New Roman" w:hAnsi="Times New Roman" w:cs="Times New Roman"/>
          <w:sz w:val="28"/>
          <w:szCs w:val="28"/>
        </w:rPr>
        <w:t>полномочий  в сфере</w:t>
      </w:r>
      <w:r w:rsidR="00655AFA">
        <w:rPr>
          <w:rFonts w:ascii="Times New Roman" w:hAnsi="Times New Roman" w:cs="Times New Roman"/>
          <w:sz w:val="28"/>
          <w:szCs w:val="28"/>
        </w:rPr>
        <w:t xml:space="preserve"> охраны окружающей среды,</w:t>
      </w:r>
      <w:r w:rsidR="00655AFA" w:rsidRPr="00655AFA">
        <w:rPr>
          <w:rFonts w:ascii="Times New Roman" w:hAnsi="Times New Roman" w:cs="Times New Roman"/>
          <w:sz w:val="28"/>
          <w:szCs w:val="28"/>
        </w:rPr>
        <w:t xml:space="preserve"> </w:t>
      </w:r>
      <w:r w:rsidR="00655AFA" w:rsidRPr="0075037B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655AFA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655AFA" w:rsidRPr="0075037B">
        <w:rPr>
          <w:rFonts w:ascii="Times New Roman" w:hAnsi="Times New Roman" w:cs="Times New Roman"/>
          <w:sz w:val="28"/>
          <w:szCs w:val="28"/>
        </w:rPr>
        <w:t>полномочий  в сфере</w:t>
      </w:r>
      <w:r w:rsidR="00655AFA">
        <w:rPr>
          <w:rFonts w:ascii="Times New Roman" w:hAnsi="Times New Roman" w:cs="Times New Roman"/>
          <w:sz w:val="28"/>
          <w:szCs w:val="28"/>
        </w:rPr>
        <w:t xml:space="preserve"> регулирования цен и тарифов,  </w:t>
      </w:r>
      <w:r w:rsidR="00655AFA" w:rsidRPr="0075037B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655AFA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655AFA" w:rsidRPr="0075037B">
        <w:rPr>
          <w:rFonts w:ascii="Times New Roman" w:hAnsi="Times New Roman" w:cs="Times New Roman"/>
          <w:sz w:val="28"/>
          <w:szCs w:val="28"/>
        </w:rPr>
        <w:t xml:space="preserve">полномочий  в сфере обеспечения санитарно-эпидемиологического благополучия населения, на составление списков кандидатов в  присяжные заседатели,  осуществление отдельных    полномочий  по предупреждению и ликвидации болезней животных, защите населения от болезней, общих для человека и животных,  на осуществление отдельных государственных полномочий в </w:t>
      </w:r>
      <w:r w:rsidR="00655AFA">
        <w:rPr>
          <w:rFonts w:ascii="Times New Roman" w:hAnsi="Times New Roman" w:cs="Times New Roman"/>
          <w:sz w:val="28"/>
          <w:szCs w:val="28"/>
        </w:rPr>
        <w:t>сфере выплаты педагогическим работникам, проживающим в сельской местности</w:t>
      </w:r>
      <w:r w:rsidR="00655AFA" w:rsidRPr="0075037B">
        <w:rPr>
          <w:rFonts w:ascii="Times New Roman" w:hAnsi="Times New Roman" w:cs="Times New Roman"/>
          <w:sz w:val="28"/>
          <w:szCs w:val="28"/>
        </w:rPr>
        <w:t xml:space="preserve"> и на пр</w:t>
      </w:r>
      <w:r w:rsidR="00655AFA">
        <w:rPr>
          <w:rFonts w:ascii="Times New Roman" w:hAnsi="Times New Roman" w:cs="Times New Roman"/>
          <w:sz w:val="28"/>
          <w:szCs w:val="28"/>
        </w:rPr>
        <w:t>о</w:t>
      </w:r>
      <w:r w:rsidR="00655AFA" w:rsidRPr="0075037B">
        <w:rPr>
          <w:rFonts w:ascii="Times New Roman" w:hAnsi="Times New Roman" w:cs="Times New Roman"/>
          <w:sz w:val="28"/>
          <w:szCs w:val="28"/>
        </w:rPr>
        <w:t>ведение Всероссийской переписи населения</w:t>
      </w:r>
      <w:r w:rsidR="00655AFA" w:rsidRPr="00376419">
        <w:rPr>
          <w:rFonts w:ascii="Times New Roman" w:hAnsi="Times New Roman" w:cs="Times New Roman"/>
          <w:sz w:val="28"/>
          <w:szCs w:val="28"/>
        </w:rPr>
        <w:t xml:space="preserve"> </w:t>
      </w:r>
      <w:r w:rsidR="00655AFA" w:rsidRPr="0075037B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A35D5D" w:rsidRPr="00655AFA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FA">
        <w:rPr>
          <w:rFonts w:ascii="Times New Roman" w:eastAsia="Calibri" w:hAnsi="Times New Roman" w:cs="Times New Roman"/>
          <w:sz w:val="28"/>
          <w:szCs w:val="28"/>
        </w:rPr>
        <w:t xml:space="preserve">     Доля субвенций в общем объеме безвозмездных поступлений  составила </w:t>
      </w:r>
      <w:r w:rsidR="00655AFA" w:rsidRPr="00655AFA">
        <w:rPr>
          <w:rFonts w:ascii="Times New Roman" w:eastAsia="Calibri" w:hAnsi="Times New Roman" w:cs="Times New Roman"/>
          <w:sz w:val="28"/>
          <w:szCs w:val="28"/>
        </w:rPr>
        <w:t>49,7</w:t>
      </w:r>
      <w:r w:rsidRPr="00655AFA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A35D5D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Pr="00105B47">
        <w:rPr>
          <w:rFonts w:ascii="Times New Roman" w:eastAsia="Calibri" w:hAnsi="Times New Roman" w:cs="Times New Roman"/>
          <w:i/>
          <w:sz w:val="28"/>
          <w:szCs w:val="28"/>
        </w:rPr>
        <w:t>Иные межбюджетные трансферты</w:t>
      </w:r>
      <w:r w:rsidRPr="00105B47">
        <w:rPr>
          <w:rFonts w:ascii="Times New Roman" w:eastAsia="Calibri" w:hAnsi="Times New Roman" w:cs="Times New Roman"/>
          <w:sz w:val="28"/>
          <w:szCs w:val="28"/>
        </w:rPr>
        <w:t xml:space="preserve">  в 1 полугодии 202</w:t>
      </w:r>
      <w:r w:rsidR="00655AFA" w:rsidRPr="00105B47">
        <w:rPr>
          <w:rFonts w:ascii="Times New Roman" w:eastAsia="Calibri" w:hAnsi="Times New Roman" w:cs="Times New Roman"/>
          <w:sz w:val="28"/>
          <w:szCs w:val="28"/>
        </w:rPr>
        <w:t>1</w:t>
      </w:r>
      <w:r w:rsidRPr="00105B47">
        <w:rPr>
          <w:rFonts w:ascii="Times New Roman" w:eastAsia="Calibri" w:hAnsi="Times New Roman" w:cs="Times New Roman"/>
          <w:sz w:val="28"/>
          <w:szCs w:val="28"/>
        </w:rPr>
        <w:t xml:space="preserve"> года исполнены в сумме </w:t>
      </w:r>
      <w:r w:rsidR="00105B47" w:rsidRPr="00105B47">
        <w:rPr>
          <w:rFonts w:ascii="Times New Roman" w:eastAsia="Calibri" w:hAnsi="Times New Roman" w:cs="Times New Roman"/>
          <w:sz w:val="28"/>
          <w:szCs w:val="28"/>
        </w:rPr>
        <w:t>910,4</w:t>
      </w:r>
      <w:r w:rsidRPr="00105B4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05B47" w:rsidRPr="00105B47">
        <w:rPr>
          <w:rFonts w:ascii="Times New Roman" w:eastAsia="Calibri" w:hAnsi="Times New Roman" w:cs="Times New Roman"/>
          <w:sz w:val="28"/>
          <w:szCs w:val="28"/>
        </w:rPr>
        <w:t>54,1</w:t>
      </w:r>
      <w:r w:rsidRPr="00105B47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105B47" w:rsidRPr="00105B47">
        <w:rPr>
          <w:rFonts w:ascii="Times New Roman" w:eastAsia="Calibri" w:hAnsi="Times New Roman" w:cs="Times New Roman"/>
          <w:sz w:val="28"/>
          <w:szCs w:val="28"/>
        </w:rPr>
        <w:t>1683,4</w:t>
      </w:r>
      <w:r w:rsidRPr="00105B47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        </w:t>
      </w:r>
      <w:r w:rsidRPr="00105B47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105B47">
        <w:rPr>
          <w:rFonts w:ascii="Times New Roman" w:eastAsia="Calibri" w:hAnsi="Times New Roman" w:cs="Times New Roman"/>
          <w:sz w:val="28"/>
          <w:szCs w:val="28"/>
        </w:rPr>
        <w:t xml:space="preserve">на передаваемые полномочия  по осуществлению внешнего муниципального финансового контроля – </w:t>
      </w:r>
      <w:r w:rsidR="00105B47" w:rsidRPr="00105B47">
        <w:rPr>
          <w:rFonts w:ascii="Times New Roman" w:eastAsia="Calibri" w:hAnsi="Times New Roman" w:cs="Times New Roman"/>
          <w:sz w:val="28"/>
          <w:szCs w:val="28"/>
        </w:rPr>
        <w:t>131,7</w:t>
      </w:r>
      <w:r w:rsidRPr="00105B4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105B47">
        <w:rPr>
          <w:rFonts w:ascii="Times New Roman" w:eastAsia="Calibri" w:hAnsi="Times New Roman" w:cs="Times New Roman"/>
          <w:sz w:val="28"/>
          <w:szCs w:val="28"/>
        </w:rPr>
        <w:t>- на передаваемые полномочия  по финансовому контролю за использованием бюджетных средств – 20,8 тыс. рублей;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105B47">
        <w:rPr>
          <w:rFonts w:ascii="Times New Roman" w:eastAsia="Calibri" w:hAnsi="Times New Roman" w:cs="Times New Roman"/>
          <w:sz w:val="28"/>
          <w:szCs w:val="28"/>
        </w:rPr>
        <w:t xml:space="preserve">- на осуществление  полномочий  по составлению и рассмотрению проекта  бюджета  поселения, утверждению и исполнению бюджета </w:t>
      </w:r>
      <w:r w:rsidRPr="00105B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поселения, осуществлению контроля за его исполнением, составлению и утверждению отчета об исполнении бюджета – </w:t>
      </w:r>
      <w:r w:rsidR="00105B47" w:rsidRPr="00105B47">
        <w:rPr>
          <w:rFonts w:ascii="Times New Roman" w:eastAsia="Calibri" w:hAnsi="Times New Roman" w:cs="Times New Roman"/>
          <w:sz w:val="28"/>
          <w:szCs w:val="28"/>
        </w:rPr>
        <w:t>417,9</w:t>
      </w:r>
      <w:r w:rsidRPr="00105B4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A35D5D" w:rsidRPr="00105B47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B47">
        <w:rPr>
          <w:rFonts w:ascii="Times New Roman" w:eastAsia="Calibri" w:hAnsi="Times New Roman" w:cs="Times New Roman"/>
          <w:sz w:val="28"/>
          <w:szCs w:val="28"/>
        </w:rPr>
        <w:t xml:space="preserve">        - на комплектование книжных фондов</w:t>
      </w:r>
      <w:r w:rsidR="00105B47" w:rsidRPr="00105B47">
        <w:rPr>
          <w:rFonts w:ascii="Times New Roman" w:eastAsia="Calibri" w:hAnsi="Times New Roman" w:cs="Times New Roman"/>
          <w:sz w:val="28"/>
          <w:szCs w:val="28"/>
        </w:rPr>
        <w:t xml:space="preserve"> муниципальных библиотек </w:t>
      </w:r>
      <w:r w:rsidRPr="00105B4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05B47" w:rsidRPr="00105B47">
        <w:rPr>
          <w:rFonts w:ascii="Times New Roman" w:eastAsia="Calibri" w:hAnsi="Times New Roman" w:cs="Times New Roman"/>
          <w:sz w:val="28"/>
          <w:szCs w:val="28"/>
        </w:rPr>
        <w:t>340,0</w:t>
      </w:r>
      <w:r w:rsidRPr="00105B4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105B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5B47" w:rsidRPr="00632923" w:rsidRDefault="00105B47" w:rsidP="00105B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A35D5D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Pr="00105B47">
        <w:rPr>
          <w:rFonts w:ascii="Times New Roman" w:eastAsia="Calibri" w:hAnsi="Times New Roman" w:cs="Times New Roman"/>
          <w:sz w:val="28"/>
          <w:szCs w:val="28"/>
        </w:rPr>
        <w:t>Иные межбюджетные трансферты  на осуществление полномочий в области  благоустройства с. Шуйское</w:t>
      </w:r>
      <w:r w:rsidRPr="0010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на поддержку отрасли культуры  </w:t>
      </w:r>
      <w:r w:rsidRPr="00105B47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105B47" w:rsidRDefault="00A35D5D" w:rsidP="00105B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105B47">
        <w:rPr>
          <w:rFonts w:ascii="Times New Roman" w:hAnsi="Times New Roman" w:cs="Times New Roman"/>
          <w:sz w:val="28"/>
          <w:szCs w:val="28"/>
        </w:rPr>
        <w:t xml:space="preserve">      </w:t>
      </w:r>
      <w:r w:rsidR="00105B47" w:rsidRPr="00376419">
        <w:rPr>
          <w:rFonts w:ascii="Times New Roman" w:hAnsi="Times New Roman" w:cs="Times New Roman"/>
          <w:i/>
          <w:sz w:val="28"/>
          <w:szCs w:val="28"/>
        </w:rPr>
        <w:t>Прочие безвозмездные  поступления</w:t>
      </w:r>
      <w:r w:rsidR="00105B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5B47" w:rsidRPr="0075037B">
        <w:rPr>
          <w:rFonts w:ascii="Times New Roman" w:hAnsi="Times New Roman" w:cs="Times New Roman"/>
          <w:sz w:val="28"/>
          <w:szCs w:val="28"/>
        </w:rPr>
        <w:t xml:space="preserve">в 1 </w:t>
      </w:r>
      <w:r w:rsidR="00105B47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105B47" w:rsidRPr="0075037B">
        <w:rPr>
          <w:rFonts w:ascii="Times New Roman" w:hAnsi="Times New Roman" w:cs="Times New Roman"/>
          <w:sz w:val="28"/>
          <w:szCs w:val="28"/>
        </w:rPr>
        <w:t xml:space="preserve"> 2021 года исполнены в сумме </w:t>
      </w:r>
      <w:r w:rsidR="00105B47">
        <w:rPr>
          <w:rFonts w:ascii="Times New Roman" w:hAnsi="Times New Roman" w:cs="Times New Roman"/>
          <w:sz w:val="28"/>
          <w:szCs w:val="28"/>
        </w:rPr>
        <w:t>190,0</w:t>
      </w:r>
      <w:r w:rsidR="00105B47" w:rsidRPr="0075037B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105B47" w:rsidRPr="00663739">
        <w:rPr>
          <w:rFonts w:ascii="Times New Roman" w:hAnsi="Times New Roman" w:cs="Times New Roman"/>
          <w:b/>
          <w:i/>
          <w:sz w:val="28"/>
          <w:szCs w:val="28"/>
        </w:rPr>
        <w:t>111,8 %</w:t>
      </w:r>
      <w:r w:rsidR="00105B47" w:rsidRPr="0075037B">
        <w:rPr>
          <w:rFonts w:ascii="Times New Roman" w:hAnsi="Times New Roman" w:cs="Times New Roman"/>
          <w:sz w:val="28"/>
          <w:szCs w:val="28"/>
        </w:rPr>
        <w:t xml:space="preserve"> к утвержденным назначениям в сумме </w:t>
      </w:r>
      <w:r w:rsidR="00105B47">
        <w:rPr>
          <w:rFonts w:ascii="Times New Roman" w:hAnsi="Times New Roman" w:cs="Times New Roman"/>
          <w:sz w:val="28"/>
          <w:szCs w:val="28"/>
        </w:rPr>
        <w:t>170,0</w:t>
      </w:r>
      <w:r w:rsidR="00105B47" w:rsidRPr="007503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05B47">
        <w:rPr>
          <w:rFonts w:ascii="Times New Roman" w:hAnsi="Times New Roman" w:cs="Times New Roman"/>
          <w:sz w:val="28"/>
          <w:szCs w:val="28"/>
        </w:rPr>
        <w:t xml:space="preserve">, данные доходы поступили на </w:t>
      </w:r>
      <w:r w:rsidR="00105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 муниципальной программы «Комплексное развитие сельских территорий Междуреченского муниципального района на 2020 -2025 годы»</w:t>
      </w:r>
      <w:r w:rsidR="00105B47">
        <w:rPr>
          <w:rFonts w:ascii="Times New Roman" w:hAnsi="Times New Roman" w:cs="Times New Roman"/>
          <w:sz w:val="28"/>
          <w:szCs w:val="28"/>
        </w:rPr>
        <w:t>.</w:t>
      </w:r>
    </w:p>
    <w:p w:rsidR="00105B47" w:rsidRPr="00174B50" w:rsidRDefault="00105B47" w:rsidP="00105B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4B50">
        <w:rPr>
          <w:rFonts w:ascii="Times New Roman" w:hAnsi="Times New Roman" w:cs="Times New Roman"/>
          <w:i/>
          <w:sz w:val="28"/>
          <w:szCs w:val="28"/>
        </w:rPr>
        <w:t xml:space="preserve">Доходы </w:t>
      </w:r>
      <w:r w:rsidR="00174B50" w:rsidRPr="00174B50">
        <w:rPr>
          <w:rFonts w:ascii="Times New Roman" w:hAnsi="Times New Roman" w:cs="Times New Roman"/>
          <w:i/>
          <w:sz w:val="28"/>
          <w:szCs w:val="28"/>
        </w:rPr>
        <w:t>бюджетов бюджетной системы РФ от возврата  бюджетами бюджетной системы РФ остатков субсидий, субвенций иных межбюджетных трансфертов, имеющих целевое назначение, прошлых лет</w:t>
      </w:r>
      <w:r w:rsidR="00174B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4B50">
        <w:rPr>
          <w:rFonts w:ascii="Times New Roman" w:hAnsi="Times New Roman" w:cs="Times New Roman"/>
          <w:sz w:val="28"/>
          <w:szCs w:val="28"/>
        </w:rPr>
        <w:t>в 1 полугодии 2021 года  поступили в сумме 72,2 тыс. рубле</w:t>
      </w:r>
      <w:r w:rsidR="00174B50" w:rsidRPr="00F158B0">
        <w:rPr>
          <w:rFonts w:ascii="Times New Roman" w:hAnsi="Times New Roman" w:cs="Times New Roman"/>
          <w:sz w:val="28"/>
          <w:szCs w:val="28"/>
        </w:rPr>
        <w:t xml:space="preserve">й. Данные доходы поступили от </w:t>
      </w:r>
      <w:r w:rsidR="00F158B0" w:rsidRPr="00F158B0">
        <w:rPr>
          <w:rFonts w:ascii="Times New Roman" w:hAnsi="Times New Roman" w:cs="Times New Roman"/>
          <w:sz w:val="28"/>
          <w:szCs w:val="28"/>
        </w:rPr>
        <w:t>отдела образования как  остаток субвенции на ежемесячное денежное вознаграждение за классное руководство</w:t>
      </w:r>
      <w:r w:rsidR="00174B50" w:rsidRPr="00F158B0">
        <w:rPr>
          <w:rFonts w:ascii="Times New Roman" w:hAnsi="Times New Roman" w:cs="Times New Roman"/>
          <w:sz w:val="28"/>
          <w:szCs w:val="28"/>
        </w:rPr>
        <w:t>.</w:t>
      </w:r>
    </w:p>
    <w:p w:rsidR="00105B47" w:rsidRPr="00376419" w:rsidRDefault="00174B50" w:rsidP="00105B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В</w:t>
      </w:r>
      <w:r w:rsidRPr="00174B50">
        <w:rPr>
          <w:rFonts w:ascii="Times New Roman" w:hAnsi="Times New Roman" w:cs="Times New Roman"/>
          <w:i/>
          <w:sz w:val="28"/>
          <w:szCs w:val="28"/>
        </w:rPr>
        <w:t>озврата  остатков субсидий, субвенций иных межбюджетных трансфертов, имеющих целевое назначение, прошлых лет</w:t>
      </w:r>
      <w:r w:rsidR="00F158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58B0" w:rsidRPr="00F158B0">
        <w:rPr>
          <w:rFonts w:ascii="Times New Roman" w:hAnsi="Times New Roman" w:cs="Times New Roman"/>
          <w:sz w:val="28"/>
          <w:szCs w:val="28"/>
        </w:rPr>
        <w:t xml:space="preserve"> в 1 полугодии 2021 года составил </w:t>
      </w:r>
      <w:r w:rsidR="00E07339">
        <w:rPr>
          <w:rFonts w:ascii="Times New Roman" w:hAnsi="Times New Roman" w:cs="Times New Roman"/>
          <w:sz w:val="28"/>
          <w:szCs w:val="28"/>
        </w:rPr>
        <w:t>-</w:t>
      </w:r>
      <w:r w:rsidR="00F158B0" w:rsidRPr="00F158B0">
        <w:rPr>
          <w:rFonts w:ascii="Times New Roman" w:hAnsi="Times New Roman" w:cs="Times New Roman"/>
          <w:sz w:val="28"/>
          <w:szCs w:val="28"/>
        </w:rPr>
        <w:t>72,3 тыс. рублей. Осуществлен возврат остатка субвенции на ежемесячное денежное вознаграждение за классное руководство</w:t>
      </w:r>
      <w:r w:rsidR="00E07339">
        <w:rPr>
          <w:rFonts w:ascii="Times New Roman" w:hAnsi="Times New Roman" w:cs="Times New Roman"/>
          <w:sz w:val="28"/>
          <w:szCs w:val="28"/>
        </w:rPr>
        <w:t xml:space="preserve"> в бюджет области</w:t>
      </w:r>
      <w:r w:rsidR="00F158B0" w:rsidRPr="00F158B0">
        <w:rPr>
          <w:rFonts w:ascii="Times New Roman" w:hAnsi="Times New Roman" w:cs="Times New Roman"/>
          <w:sz w:val="28"/>
          <w:szCs w:val="28"/>
        </w:rPr>
        <w:t>.</w:t>
      </w:r>
    </w:p>
    <w:p w:rsidR="00105B47" w:rsidRPr="00897CBA" w:rsidRDefault="00105B47" w:rsidP="00105B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897CBA">
        <w:rPr>
          <w:rFonts w:ascii="Times New Roman" w:hAnsi="Times New Roman" w:cs="Times New Roman"/>
          <w:sz w:val="28"/>
          <w:szCs w:val="28"/>
        </w:rPr>
        <w:t xml:space="preserve">В сравнении с 1 </w:t>
      </w:r>
      <w:r>
        <w:rPr>
          <w:rFonts w:ascii="Times New Roman" w:hAnsi="Times New Roman" w:cs="Times New Roman"/>
          <w:sz w:val="28"/>
          <w:szCs w:val="28"/>
        </w:rPr>
        <w:t>полугодием</w:t>
      </w:r>
      <w:r w:rsidRPr="00897CBA">
        <w:rPr>
          <w:rFonts w:ascii="Times New Roman" w:hAnsi="Times New Roman" w:cs="Times New Roman"/>
          <w:sz w:val="28"/>
          <w:szCs w:val="28"/>
        </w:rPr>
        <w:t xml:space="preserve">  2020 года в целом уменьшение  безвозмездных  ассигнований составило </w:t>
      </w:r>
      <w:r w:rsidR="00F158B0">
        <w:rPr>
          <w:rFonts w:ascii="Times New Roman" w:hAnsi="Times New Roman" w:cs="Times New Roman"/>
          <w:sz w:val="28"/>
          <w:szCs w:val="28"/>
        </w:rPr>
        <w:t>493,8</w:t>
      </w:r>
      <w:r w:rsidRPr="00897CB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158B0">
        <w:rPr>
          <w:rFonts w:ascii="Times New Roman" w:hAnsi="Times New Roman" w:cs="Times New Roman"/>
          <w:sz w:val="28"/>
          <w:szCs w:val="28"/>
        </w:rPr>
        <w:t>0,6</w:t>
      </w:r>
      <w:r w:rsidRPr="00897CBA">
        <w:rPr>
          <w:rFonts w:ascii="Times New Roman" w:hAnsi="Times New Roman" w:cs="Times New Roman"/>
          <w:sz w:val="28"/>
          <w:szCs w:val="28"/>
        </w:rPr>
        <w:t xml:space="preserve"> процента, в  том числе:</w:t>
      </w:r>
    </w:p>
    <w:p w:rsidR="00105B47" w:rsidRPr="00897CBA" w:rsidRDefault="00105B47" w:rsidP="00105B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CBA">
        <w:rPr>
          <w:rFonts w:ascii="Times New Roman" w:hAnsi="Times New Roman" w:cs="Times New Roman"/>
          <w:sz w:val="28"/>
          <w:szCs w:val="28"/>
        </w:rPr>
        <w:t xml:space="preserve">       -  дотаций</w:t>
      </w:r>
      <w:r w:rsidR="00F158B0">
        <w:rPr>
          <w:rFonts w:ascii="Times New Roman" w:hAnsi="Times New Roman" w:cs="Times New Roman"/>
          <w:sz w:val="28"/>
          <w:szCs w:val="28"/>
        </w:rPr>
        <w:t xml:space="preserve"> </w:t>
      </w:r>
      <w:r w:rsidR="00F158B0" w:rsidRPr="00F158B0">
        <w:rPr>
          <w:rFonts w:ascii="Times New Roman" w:hAnsi="Times New Roman" w:cs="Times New Roman"/>
          <w:i/>
          <w:sz w:val="28"/>
          <w:szCs w:val="28"/>
        </w:rPr>
        <w:t>у</w:t>
      </w:r>
      <w:r w:rsidR="00F158B0">
        <w:rPr>
          <w:rFonts w:ascii="Times New Roman" w:hAnsi="Times New Roman" w:cs="Times New Roman"/>
          <w:i/>
          <w:sz w:val="28"/>
          <w:szCs w:val="28"/>
        </w:rPr>
        <w:t>меньшение</w:t>
      </w:r>
      <w:r w:rsidR="00F158B0">
        <w:rPr>
          <w:rFonts w:ascii="Times New Roman" w:hAnsi="Times New Roman" w:cs="Times New Roman"/>
          <w:sz w:val="28"/>
          <w:szCs w:val="28"/>
        </w:rPr>
        <w:t xml:space="preserve"> </w:t>
      </w:r>
      <w:r w:rsidRPr="00897CBA">
        <w:rPr>
          <w:rFonts w:ascii="Times New Roman" w:hAnsi="Times New Roman" w:cs="Times New Roman"/>
          <w:sz w:val="28"/>
          <w:szCs w:val="28"/>
        </w:rPr>
        <w:t xml:space="preserve"> на </w:t>
      </w:r>
      <w:r w:rsidR="00F158B0">
        <w:rPr>
          <w:rFonts w:ascii="Times New Roman" w:hAnsi="Times New Roman" w:cs="Times New Roman"/>
          <w:sz w:val="28"/>
          <w:szCs w:val="28"/>
        </w:rPr>
        <w:t>6944,2</w:t>
      </w:r>
      <w:r w:rsidRPr="00897CB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158B0">
        <w:rPr>
          <w:rFonts w:ascii="Times New Roman" w:hAnsi="Times New Roman" w:cs="Times New Roman"/>
          <w:sz w:val="28"/>
          <w:szCs w:val="28"/>
        </w:rPr>
        <w:t>24,4</w:t>
      </w:r>
      <w:r w:rsidRPr="00897CBA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105B47" w:rsidRPr="00897CBA" w:rsidRDefault="00105B47" w:rsidP="00105B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CBA">
        <w:rPr>
          <w:rFonts w:ascii="Times New Roman" w:hAnsi="Times New Roman" w:cs="Times New Roman"/>
          <w:sz w:val="28"/>
          <w:szCs w:val="28"/>
        </w:rPr>
        <w:t xml:space="preserve">       - субсидии  </w:t>
      </w:r>
      <w:r w:rsidRPr="00897CBA">
        <w:rPr>
          <w:rFonts w:ascii="Times New Roman" w:hAnsi="Times New Roman" w:cs="Times New Roman"/>
          <w:i/>
          <w:sz w:val="28"/>
          <w:szCs w:val="28"/>
        </w:rPr>
        <w:t>увелич</w:t>
      </w:r>
      <w:r>
        <w:rPr>
          <w:rFonts w:ascii="Times New Roman" w:hAnsi="Times New Roman" w:cs="Times New Roman"/>
          <w:i/>
          <w:sz w:val="28"/>
          <w:szCs w:val="28"/>
        </w:rPr>
        <w:t>ение</w:t>
      </w:r>
      <w:r w:rsidRPr="00897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7CBA">
        <w:rPr>
          <w:rFonts w:ascii="Times New Roman" w:hAnsi="Times New Roman" w:cs="Times New Roman"/>
          <w:sz w:val="28"/>
          <w:szCs w:val="28"/>
        </w:rPr>
        <w:t xml:space="preserve">на  - </w:t>
      </w:r>
      <w:r w:rsidR="00F158B0">
        <w:rPr>
          <w:rFonts w:ascii="Times New Roman" w:hAnsi="Times New Roman" w:cs="Times New Roman"/>
          <w:sz w:val="28"/>
          <w:szCs w:val="28"/>
        </w:rPr>
        <w:t xml:space="preserve">11306,2 </w:t>
      </w:r>
      <w:r w:rsidRPr="00897CB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158B0">
        <w:rPr>
          <w:rFonts w:ascii="Times New Roman" w:hAnsi="Times New Roman" w:cs="Times New Roman"/>
          <w:sz w:val="28"/>
          <w:szCs w:val="28"/>
        </w:rPr>
        <w:t>в 3,2 раза</w:t>
      </w:r>
      <w:r w:rsidRPr="00897CBA">
        <w:rPr>
          <w:rFonts w:ascii="Times New Roman" w:hAnsi="Times New Roman" w:cs="Times New Roman"/>
          <w:sz w:val="28"/>
          <w:szCs w:val="28"/>
        </w:rPr>
        <w:t>;</w:t>
      </w:r>
    </w:p>
    <w:p w:rsidR="00105B47" w:rsidRPr="00897CBA" w:rsidRDefault="00105B47" w:rsidP="00105B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CBA">
        <w:rPr>
          <w:rFonts w:ascii="Times New Roman" w:hAnsi="Times New Roman" w:cs="Times New Roman"/>
          <w:sz w:val="28"/>
          <w:szCs w:val="28"/>
        </w:rPr>
        <w:t xml:space="preserve">       - субвенции </w:t>
      </w:r>
      <w:r w:rsidR="00F158B0" w:rsidRPr="00F158B0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="00F158B0">
        <w:rPr>
          <w:rFonts w:ascii="Times New Roman" w:hAnsi="Times New Roman" w:cs="Times New Roman"/>
          <w:sz w:val="28"/>
          <w:szCs w:val="28"/>
        </w:rPr>
        <w:t xml:space="preserve"> </w:t>
      </w:r>
      <w:r w:rsidRPr="00897CBA">
        <w:rPr>
          <w:rFonts w:ascii="Times New Roman" w:hAnsi="Times New Roman" w:cs="Times New Roman"/>
          <w:sz w:val="28"/>
          <w:szCs w:val="28"/>
        </w:rPr>
        <w:t xml:space="preserve">на </w:t>
      </w:r>
      <w:r w:rsidR="00F158B0">
        <w:rPr>
          <w:rFonts w:ascii="Times New Roman" w:hAnsi="Times New Roman" w:cs="Times New Roman"/>
          <w:sz w:val="28"/>
          <w:szCs w:val="28"/>
        </w:rPr>
        <w:t xml:space="preserve">5376,7 </w:t>
      </w:r>
      <w:r w:rsidRPr="00897CB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158B0">
        <w:rPr>
          <w:rFonts w:ascii="Times New Roman" w:hAnsi="Times New Roman" w:cs="Times New Roman"/>
          <w:sz w:val="28"/>
          <w:szCs w:val="28"/>
        </w:rPr>
        <w:t>12,7</w:t>
      </w:r>
      <w:r w:rsidRPr="00897CBA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105B47" w:rsidRDefault="00105B47" w:rsidP="00105B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923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897CBA">
        <w:rPr>
          <w:rFonts w:ascii="Times New Roman" w:hAnsi="Times New Roman" w:cs="Times New Roman"/>
          <w:sz w:val="28"/>
          <w:szCs w:val="28"/>
        </w:rPr>
        <w:t>-  иных межбюджетных трансфертов у</w:t>
      </w:r>
      <w:r w:rsidRPr="00897CBA">
        <w:rPr>
          <w:rFonts w:ascii="Times New Roman" w:hAnsi="Times New Roman" w:cs="Times New Roman"/>
          <w:i/>
          <w:sz w:val="28"/>
          <w:szCs w:val="28"/>
        </w:rPr>
        <w:t>величение</w:t>
      </w:r>
      <w:r w:rsidRPr="00897CBA">
        <w:rPr>
          <w:rFonts w:ascii="Times New Roman" w:hAnsi="Times New Roman" w:cs="Times New Roman"/>
          <w:sz w:val="28"/>
          <w:szCs w:val="28"/>
        </w:rPr>
        <w:t xml:space="preserve"> на </w:t>
      </w:r>
      <w:r w:rsidR="00691D38">
        <w:rPr>
          <w:rFonts w:ascii="Times New Roman" w:hAnsi="Times New Roman" w:cs="Times New Roman"/>
          <w:sz w:val="28"/>
          <w:szCs w:val="28"/>
        </w:rPr>
        <w:t>331,0</w:t>
      </w:r>
      <w:r w:rsidRPr="00897CB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91D38">
        <w:rPr>
          <w:rFonts w:ascii="Times New Roman" w:hAnsi="Times New Roman" w:cs="Times New Roman"/>
          <w:sz w:val="28"/>
          <w:szCs w:val="28"/>
        </w:rPr>
        <w:t>57,1</w:t>
      </w:r>
      <w:r w:rsidRPr="00897CB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91D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B47" w:rsidRPr="002D756A" w:rsidRDefault="00105B47" w:rsidP="00105B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7CBA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прочи</w:t>
      </w:r>
      <w:r w:rsidR="003E7B5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</w:t>
      </w:r>
      <w:r w:rsidR="003E7B5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3E7B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CBA">
        <w:rPr>
          <w:rFonts w:ascii="Times New Roman" w:hAnsi="Times New Roman" w:cs="Times New Roman"/>
          <w:sz w:val="28"/>
          <w:szCs w:val="28"/>
        </w:rPr>
        <w:t xml:space="preserve"> у</w:t>
      </w:r>
      <w:r w:rsidRPr="00897CBA">
        <w:rPr>
          <w:rFonts w:ascii="Times New Roman" w:hAnsi="Times New Roman" w:cs="Times New Roman"/>
          <w:i/>
          <w:sz w:val="28"/>
          <w:szCs w:val="28"/>
        </w:rPr>
        <w:t>величение</w:t>
      </w:r>
      <w:r w:rsidRPr="00897CBA">
        <w:rPr>
          <w:rFonts w:ascii="Times New Roman" w:hAnsi="Times New Roman" w:cs="Times New Roman"/>
          <w:sz w:val="28"/>
          <w:szCs w:val="28"/>
        </w:rPr>
        <w:t xml:space="preserve"> на </w:t>
      </w:r>
      <w:r w:rsidR="00691D38">
        <w:rPr>
          <w:rFonts w:ascii="Times New Roman" w:hAnsi="Times New Roman" w:cs="Times New Roman"/>
          <w:sz w:val="28"/>
          <w:szCs w:val="28"/>
        </w:rPr>
        <w:t>190,0</w:t>
      </w:r>
      <w:r w:rsidRPr="00897CBA">
        <w:rPr>
          <w:rFonts w:ascii="Times New Roman" w:hAnsi="Times New Roman" w:cs="Times New Roman"/>
          <w:sz w:val="28"/>
          <w:szCs w:val="28"/>
        </w:rPr>
        <w:t xml:space="preserve"> тыс. рублей, или на 100,0 процентов.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6E3585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района проведен анализ объема задолженности плательщиков по налогам по состоянию на 01января и 01 июля 20</w:t>
      </w:r>
      <w:r w:rsidR="00105B47" w:rsidRPr="006E35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E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июля 202</w:t>
      </w:r>
      <w:r w:rsidR="00105B47" w:rsidRPr="006E35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3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A35D5D" w:rsidRPr="006E3585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D5D" w:rsidRDefault="00A35D5D" w:rsidP="00DF6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8F7CA8" w:rsidRDefault="008F7CA8" w:rsidP="00DF6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CA8" w:rsidRDefault="008F7CA8" w:rsidP="00DF6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CA8" w:rsidRDefault="008F7CA8" w:rsidP="00E073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339" w:rsidRDefault="00E07339" w:rsidP="00E073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CA8" w:rsidRPr="00DF65BE" w:rsidRDefault="008F7CA8" w:rsidP="00DF65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D5D" w:rsidRPr="006E3585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E3585">
        <w:rPr>
          <w:rFonts w:ascii="Times New Roman" w:eastAsia="Times New Roman" w:hAnsi="Times New Roman" w:cs="Times New Roman"/>
          <w:lang w:eastAsia="ru-RU"/>
        </w:rPr>
        <w:t xml:space="preserve">Таблица № 4        </w:t>
      </w:r>
      <w:r w:rsidR="008F7CA8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6E358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F7CA8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6E358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тыс. руб.                                                                   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134"/>
        <w:gridCol w:w="991"/>
        <w:gridCol w:w="991"/>
        <w:gridCol w:w="1133"/>
        <w:gridCol w:w="1133"/>
        <w:gridCol w:w="992"/>
      </w:tblGrid>
      <w:tr w:rsidR="006E3585" w:rsidRPr="006E3585" w:rsidTr="006E3585">
        <w:trPr>
          <w:trHeight w:val="199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E3585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5D" w:rsidRPr="006E3585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Объем задолженности плательщиков</w:t>
            </w:r>
          </w:p>
          <w:p w:rsidR="00A35D5D" w:rsidRPr="006E3585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по состоянию на 01.01.20</w:t>
            </w:r>
            <w:r w:rsidR="00105B47" w:rsidRPr="006E358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A35D5D" w:rsidRPr="006E3585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E3585" w:rsidRDefault="00A35D5D" w:rsidP="003A1823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Объем задолженности плательщиков по состоянию на 01.01.202</w:t>
            </w:r>
            <w:r w:rsidR="003A182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E3585" w:rsidRDefault="00A35D5D" w:rsidP="006E35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Объем задолженности плательщиков по состоянию на 01.07.20</w:t>
            </w:r>
            <w:r w:rsidR="006E3585" w:rsidRPr="006E358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E3585" w:rsidRDefault="00A35D5D" w:rsidP="006E358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Объем задолженности плательщиков по состоянию на 01.07.202</w:t>
            </w:r>
            <w:r w:rsidR="006E35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E3585" w:rsidRDefault="00A35D5D" w:rsidP="00DF65B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Отклонение недоимки   на 01.01.202</w:t>
            </w:r>
            <w:r w:rsidR="00DF65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 xml:space="preserve"> года от 0.01.20</w:t>
            </w:r>
            <w:r w:rsidR="00DF65B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 xml:space="preserve"> года (+увеличение;- уменьшение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E3585" w:rsidRDefault="00A35D5D" w:rsidP="00DF65B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Отклонение недоимки на 01.07.202</w:t>
            </w:r>
            <w:r w:rsidR="00DF65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 xml:space="preserve"> года от 01.07.20</w:t>
            </w:r>
            <w:r w:rsidR="00DF65B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 xml:space="preserve"> года (+-увеличение;- уменьшение)</w:t>
            </w:r>
          </w:p>
        </w:tc>
      </w:tr>
      <w:tr w:rsidR="006E3585" w:rsidRPr="006E3585" w:rsidTr="006E3585">
        <w:trPr>
          <w:trHeight w:val="757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E3585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E3585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E3585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E3585" w:rsidRDefault="00A35D5D" w:rsidP="00A35D5D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E3585" w:rsidRDefault="00A35D5D" w:rsidP="00A35D5D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E3585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6E3585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E3585" w:rsidRPr="006E3585" w:rsidTr="006E3585">
        <w:trPr>
          <w:trHeight w:val="31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146,2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3585">
              <w:rPr>
                <w:rFonts w:ascii="Times New Roman" w:eastAsiaTheme="minorEastAsia" w:hAnsi="Times New Roman" w:cs="Times New Roman"/>
                <w:lang w:eastAsia="ru-RU"/>
              </w:rPr>
              <w:t>70,8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1417,0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6E3585" w:rsidRDefault="00EE0F82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897CBA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6E3585" w:rsidRDefault="00DF65BE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-1075,7</w:t>
            </w:r>
          </w:p>
        </w:tc>
      </w:tr>
      <w:tr w:rsidR="006E3585" w:rsidRPr="006E3585" w:rsidTr="006E3585">
        <w:trPr>
          <w:trHeight w:val="63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совокупный доход,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202,3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3585">
              <w:rPr>
                <w:rFonts w:ascii="Times New Roman" w:eastAsiaTheme="minorEastAsia" w:hAnsi="Times New Roman" w:cs="Times New Roman"/>
                <w:lang w:eastAsia="ru-RU"/>
              </w:rPr>
              <w:t>158,3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1420,2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6E3585" w:rsidRDefault="00EE0F82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897CBA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6E3585" w:rsidRDefault="00DF65BE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-1151,7</w:t>
            </w:r>
          </w:p>
        </w:tc>
      </w:tr>
      <w:tr w:rsidR="006E3585" w:rsidRPr="006E3585" w:rsidTr="006E3585">
        <w:trPr>
          <w:trHeight w:val="1294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6E3585">
              <w:rPr>
                <w:rFonts w:ascii="Times New Roman" w:eastAsia="Calibri" w:hAnsi="Times New Roman" w:cs="Times New Roman"/>
                <w:sz w:val="28"/>
                <w:szCs w:val="28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105,9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3585">
              <w:rPr>
                <w:rFonts w:ascii="Times New Roman" w:eastAsiaTheme="minorEastAsia" w:hAnsi="Times New Roman" w:cs="Times New Roman"/>
                <w:lang w:eastAsia="ru-RU"/>
              </w:rPr>
              <w:t>122,9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1170,2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6E3585" w:rsidRDefault="00EE0F82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897CBA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6E3585" w:rsidRDefault="00DF65BE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-954,8</w:t>
            </w:r>
          </w:p>
        </w:tc>
      </w:tr>
      <w:tr w:rsidR="006E3585" w:rsidRPr="006E3585" w:rsidTr="006E3585">
        <w:trPr>
          <w:trHeight w:val="1279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</w:t>
            </w:r>
            <w:r w:rsidRPr="006E3585">
              <w:rPr>
                <w:rFonts w:ascii="Times New Roman" w:eastAsia="Calibri" w:hAnsi="Times New Roman" w:cs="Times New Roman"/>
                <w:sz w:val="28"/>
                <w:szCs w:val="28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91,8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3585">
              <w:rPr>
                <w:rFonts w:ascii="Times New Roman" w:eastAsiaTheme="minorEastAsia" w:hAnsi="Times New Roman" w:cs="Times New Roman"/>
                <w:lang w:eastAsia="ru-RU"/>
              </w:rPr>
              <w:t>35,3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244,3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6E3585" w:rsidRDefault="00DF65BE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897CBA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6E3585" w:rsidRDefault="00DF65BE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-203,4</w:t>
            </w:r>
          </w:p>
        </w:tc>
      </w:tr>
      <w:tr w:rsidR="006E3585" w:rsidRPr="006E3585" w:rsidTr="006E3585">
        <w:trPr>
          <w:trHeight w:val="1305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</w:t>
            </w:r>
            <w:r w:rsidRPr="006E3585">
              <w:rPr>
                <w:rFonts w:ascii="Times New Roman" w:eastAsia="Calibri" w:hAnsi="Times New Roman" w:cs="Times New Roman"/>
                <w:sz w:val="28"/>
                <w:szCs w:val="28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E3585"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6E3585" w:rsidRDefault="00DF65BE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897CBA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6E3585" w:rsidRDefault="00DF65BE" w:rsidP="00DF65B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6E3585" w:rsidRPr="006E3585" w:rsidTr="006E3585">
        <w:trPr>
          <w:trHeight w:val="968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Задолженность, перерасчеты по отмененным налогам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6E3585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585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6E3585" w:rsidRDefault="00DF65BE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6E3585" w:rsidRDefault="006E358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6E3585" w:rsidRDefault="00DF65BE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-12,6</w:t>
            </w:r>
          </w:p>
        </w:tc>
      </w:tr>
      <w:tr w:rsidR="006E3585" w:rsidRPr="006E3585" w:rsidTr="006E3585">
        <w:trPr>
          <w:trHeight w:val="331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DF65BE" w:rsidRDefault="006E3585" w:rsidP="00A35D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65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DF65BE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5BE">
              <w:rPr>
                <w:rFonts w:ascii="Times New Roman" w:eastAsia="Times New Roman" w:hAnsi="Times New Roman" w:cs="Times New Roman"/>
                <w:b/>
                <w:lang w:eastAsia="ru-RU"/>
              </w:rPr>
              <w:t>348,5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DF65BE" w:rsidRDefault="006E358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5BE">
              <w:rPr>
                <w:rFonts w:ascii="Times New Roman" w:eastAsiaTheme="minorEastAsia" w:hAnsi="Times New Roman" w:cs="Times New Roman"/>
                <w:b/>
                <w:lang w:eastAsia="ru-RU"/>
              </w:rPr>
              <w:t>229,1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85" w:rsidRPr="00DF65BE" w:rsidRDefault="006E3585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5BE">
              <w:rPr>
                <w:rFonts w:ascii="Times New Roman" w:eastAsia="Times New Roman" w:hAnsi="Times New Roman" w:cs="Times New Roman"/>
                <w:b/>
                <w:lang w:eastAsia="ru-RU"/>
              </w:rPr>
              <w:t>2849,8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DF65BE" w:rsidRDefault="00DF65BE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5BE">
              <w:rPr>
                <w:rFonts w:ascii="Times New Roman" w:eastAsia="Times New Roman" w:hAnsi="Times New Roman" w:cs="Times New Roman"/>
                <w:b/>
                <w:lang w:eastAsia="ru-RU"/>
              </w:rPr>
              <w:t>609,8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DF65BE" w:rsidRDefault="006E3585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5BE">
              <w:rPr>
                <w:rFonts w:ascii="Times New Roman" w:eastAsiaTheme="minorEastAsia" w:hAnsi="Times New Roman" w:cs="Times New Roman"/>
                <w:b/>
                <w:lang w:eastAsia="ru-RU"/>
              </w:rPr>
              <w:t>-119,4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85" w:rsidRPr="00DF65BE" w:rsidRDefault="00DF65BE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65BE">
              <w:rPr>
                <w:rFonts w:ascii="Times New Roman" w:eastAsia="Times New Roman" w:hAnsi="Times New Roman" w:cs="Times New Roman"/>
                <w:b/>
                <w:lang w:eastAsia="ru-RU"/>
              </w:rPr>
              <w:t>-2240,0</w:t>
            </w:r>
          </w:p>
        </w:tc>
      </w:tr>
    </w:tbl>
    <w:p w:rsidR="00A35D5D" w:rsidRPr="006E3585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DF65BE" w:rsidRPr="00632923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="00DF65BE"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вышеприведенного анализа  наблюдается  уменьшение   задолженности плательщиков по платежам в бюджет  в сравнении задолженности на 01.01.202</w:t>
      </w:r>
      <w:r w:rsidR="003A1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F65BE" w:rsidRPr="009C2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 аналогичным периодом прошлого года   на 119,4 тыс. рублей, или  на 34,3</w:t>
      </w:r>
      <w:r w:rsidR="00DF65BE" w:rsidRPr="004049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%. 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сравнении задолженности по состоянию на 01.07.202</w:t>
      </w:r>
      <w:r w:rsidR="00DF65BE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20</w:t>
      </w:r>
      <w:r w:rsidR="00DF65BE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 w:rsidR="003A18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резкое  </w:t>
      </w:r>
      <w:r w:rsidR="0040498A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40498A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2240,0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 w:rsidR="0040498A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раза, в том числе в разрезе налоговых источников:</w:t>
      </w:r>
    </w:p>
    <w:p w:rsidR="00A35D5D" w:rsidRPr="0040498A" w:rsidRDefault="00A35D5D" w:rsidP="00A35D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40498A" w:rsidRPr="0040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40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</w:t>
      </w:r>
      <w:r w:rsidRPr="0040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0498A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1075,7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 w:rsidR="0040498A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40498A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D5D" w:rsidRPr="0040498A" w:rsidRDefault="00A35D5D" w:rsidP="00A35D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0498A" w:rsidRPr="0040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налогу,</w:t>
      </w:r>
      <w:r w:rsidRPr="0040498A">
        <w:rPr>
          <w:rFonts w:ascii="Times New Roman" w:eastAsia="Calibri" w:hAnsi="Times New Roman" w:cs="Times New Roman"/>
          <w:sz w:val="28"/>
          <w:szCs w:val="28"/>
        </w:rPr>
        <w:t xml:space="preserve"> взимаем</w:t>
      </w:r>
      <w:r w:rsidR="00663739">
        <w:rPr>
          <w:rFonts w:ascii="Times New Roman" w:eastAsia="Calibri" w:hAnsi="Times New Roman" w:cs="Times New Roman"/>
          <w:sz w:val="28"/>
          <w:szCs w:val="28"/>
        </w:rPr>
        <w:t>ом</w:t>
      </w:r>
      <w:r w:rsidRPr="0040498A">
        <w:rPr>
          <w:rFonts w:ascii="Times New Roman" w:eastAsia="Calibri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0498A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954,8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в </w:t>
      </w:r>
      <w:r w:rsidR="0040498A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раза;</w:t>
      </w:r>
    </w:p>
    <w:p w:rsidR="00A35D5D" w:rsidRPr="0040498A" w:rsidRDefault="00A35D5D" w:rsidP="00A35D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0498A" w:rsidRPr="0040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40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</w:t>
      </w:r>
      <w:r w:rsidRPr="0040498A">
        <w:rPr>
          <w:rFonts w:ascii="Times New Roman" w:eastAsia="Calibri" w:hAnsi="Times New Roman" w:cs="Times New Roman"/>
          <w:sz w:val="28"/>
          <w:szCs w:val="28"/>
        </w:rPr>
        <w:t>диному налогу на вмененный доход для отдельных видов деятельности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40498A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203,4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0498A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6,0 раз;</w:t>
      </w:r>
    </w:p>
    <w:p w:rsidR="00A35D5D" w:rsidRPr="0040498A" w:rsidRDefault="00A35D5D" w:rsidP="00A35D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налогу</w:t>
      </w:r>
      <w:r w:rsidRPr="0040498A">
        <w:rPr>
          <w:rFonts w:ascii="Times New Roman" w:eastAsia="Calibri" w:hAnsi="Times New Roman" w:cs="Times New Roman"/>
          <w:sz w:val="28"/>
          <w:szCs w:val="28"/>
        </w:rPr>
        <w:t>, взимаемому в связи с применением патентной системы налогообложения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0498A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6,5 тыс. рублей, или в 2,1 раза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D5D" w:rsidRPr="0040498A" w:rsidRDefault="00A35D5D" w:rsidP="00A35D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40498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0498A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40498A" w:rsidRPr="0040498A">
        <w:rPr>
          <w:rFonts w:ascii="Times New Roman" w:eastAsia="Calibri" w:hAnsi="Times New Roman" w:cs="Times New Roman"/>
          <w:i/>
          <w:sz w:val="28"/>
          <w:szCs w:val="28"/>
        </w:rPr>
        <w:t>меньшение</w:t>
      </w:r>
      <w:r w:rsidRPr="0040498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0498A">
        <w:rPr>
          <w:rFonts w:ascii="Times New Roman" w:eastAsia="Calibri" w:hAnsi="Times New Roman" w:cs="Times New Roman"/>
          <w:sz w:val="28"/>
          <w:szCs w:val="28"/>
        </w:rPr>
        <w:t>по задолженности и перерасчетам по отмененным налогам на 12,6 тыс. рублей, или на 100,0 процентов.</w:t>
      </w:r>
    </w:p>
    <w:p w:rsidR="00A35D5D" w:rsidRPr="0040498A" w:rsidRDefault="00A35D5D" w:rsidP="00A35D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июля  202</w:t>
      </w:r>
      <w:r w:rsidR="0040498A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занимает задолженность по налогу на доходы физических лиц – </w:t>
      </w:r>
      <w:r w:rsidR="0040498A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56,0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втором </w:t>
      </w:r>
      <w:r w:rsidR="0040498A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последнем месте 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совокупный доход </w:t>
      </w:r>
      <w:r w:rsidR="0040498A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44,0 %    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общей суммы недоимки.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E91CC0" w:rsidRDefault="00A35D5D" w:rsidP="00A35D5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1C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бюджета района. </w:t>
      </w:r>
    </w:p>
    <w:p w:rsidR="00E91CC0" w:rsidRPr="00A35D5D" w:rsidRDefault="00E91CC0" w:rsidP="00A35D5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A35D5D" w:rsidRPr="000E10D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0E1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 за 1 полугодие 20</w:t>
      </w:r>
      <w:r w:rsidR="004E5D98" w:rsidRPr="000E10D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E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4E5D98" w:rsidRPr="000E10DD">
        <w:rPr>
          <w:rFonts w:ascii="Times New Roman" w:eastAsia="Times New Roman" w:hAnsi="Times New Roman" w:cs="Times New Roman"/>
          <w:sz w:val="28"/>
          <w:szCs w:val="28"/>
          <w:lang w:eastAsia="ru-RU"/>
        </w:rPr>
        <w:t>130272,4</w:t>
      </w:r>
      <w:r w:rsidRPr="000E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E5D98" w:rsidRPr="000E10DD">
        <w:rPr>
          <w:rFonts w:ascii="Times New Roman" w:eastAsia="Times New Roman" w:hAnsi="Times New Roman" w:cs="Times New Roman"/>
          <w:sz w:val="28"/>
          <w:szCs w:val="28"/>
          <w:lang w:eastAsia="ru-RU"/>
        </w:rPr>
        <w:t>40,1</w:t>
      </w:r>
      <w:r w:rsidRPr="000E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4E5D98" w:rsidRPr="000E10DD">
        <w:rPr>
          <w:rFonts w:ascii="Times New Roman" w:eastAsia="Times New Roman" w:hAnsi="Times New Roman" w:cs="Times New Roman"/>
          <w:sz w:val="28"/>
          <w:szCs w:val="28"/>
          <w:lang w:eastAsia="ru-RU"/>
        </w:rPr>
        <w:t>324715,4</w:t>
      </w:r>
      <w:r w:rsidRPr="000E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1 полугодием 20</w:t>
      </w:r>
      <w:r w:rsidR="004E5D98" w:rsidRPr="000E10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E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расходы увеличились на </w:t>
      </w:r>
      <w:r w:rsidR="000E10DD" w:rsidRPr="000E10DD">
        <w:rPr>
          <w:rFonts w:ascii="Times New Roman" w:eastAsia="Times New Roman" w:hAnsi="Times New Roman" w:cs="Times New Roman"/>
          <w:sz w:val="28"/>
          <w:szCs w:val="28"/>
          <w:lang w:eastAsia="ru-RU"/>
        </w:rPr>
        <w:t>13678,9</w:t>
      </w:r>
      <w:r w:rsidRPr="000E1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E10DD" w:rsidRPr="000E10DD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 w:rsidRPr="000E10DD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A35D5D" w:rsidRPr="008F7CA8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  <w:r w:rsidRPr="000E10DD">
        <w:rPr>
          <w:rFonts w:ascii="Times New Roman" w:eastAsia="Calibri" w:hAnsi="Times New Roman" w:cs="Times New Roman"/>
          <w:sz w:val="28"/>
          <w:szCs w:val="28"/>
        </w:rPr>
        <w:t xml:space="preserve">       Структура  исполнения бюджета района по расходам в сравнении с 1 полугодием 20</w:t>
      </w:r>
      <w:r w:rsidR="000E10DD" w:rsidRPr="000E10DD">
        <w:rPr>
          <w:rFonts w:ascii="Times New Roman" w:eastAsia="Calibri" w:hAnsi="Times New Roman" w:cs="Times New Roman"/>
          <w:sz w:val="28"/>
          <w:szCs w:val="28"/>
        </w:rPr>
        <w:t>20</w:t>
      </w:r>
      <w:r w:rsidRPr="000E10DD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  <w:r w:rsidRPr="00A35D5D">
        <w:rPr>
          <w:rFonts w:ascii="Times New Roman" w:eastAsia="Times New Roman" w:hAnsi="Times New Roman" w:cs="Times New Roman"/>
          <w:noProof/>
          <w:color w:val="FF0000"/>
          <w:lang w:eastAsia="ru-RU"/>
        </w:rPr>
        <w:t xml:space="preserve">                                                                                                    </w:t>
      </w:r>
    </w:p>
    <w:p w:rsid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F24F99">
        <w:rPr>
          <w:rFonts w:ascii="Times New Roman" w:eastAsia="Times New Roman" w:hAnsi="Times New Roman" w:cs="Times New Roman"/>
          <w:noProof/>
          <w:lang w:eastAsia="ru-RU"/>
        </w:rPr>
        <w:t xml:space="preserve">         </w:t>
      </w:r>
      <w:r w:rsidR="008F7CA8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</w:t>
      </w:r>
      <w:r w:rsidRPr="00F24F99">
        <w:rPr>
          <w:rFonts w:ascii="Times New Roman" w:eastAsia="Times New Roman" w:hAnsi="Times New Roman" w:cs="Times New Roman"/>
          <w:noProof/>
          <w:lang w:eastAsia="ru-RU"/>
        </w:rPr>
        <w:t>тыс. руб.</w:t>
      </w:r>
    </w:p>
    <w:p w:rsidR="00E07339" w:rsidRDefault="00F24F99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51F9A65" wp14:editId="6D9AF6B9">
            <wp:extent cx="5934973" cy="4632385"/>
            <wp:effectExtent l="0" t="0" r="27940" b="158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5D5D" w:rsidRPr="00D35E31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35E31">
        <w:rPr>
          <w:rFonts w:ascii="Times New Roman" w:eastAsia="Times New Roman" w:hAnsi="Times New Roman" w:cs="Times New Roman"/>
          <w:noProof/>
          <w:lang w:eastAsia="ru-RU"/>
        </w:rPr>
        <w:lastRenderedPageBreak/>
        <w:t xml:space="preserve">                </w:t>
      </w:r>
    </w:p>
    <w:p w:rsidR="00A35D5D" w:rsidRPr="00D35E31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Бюджет района  за 1 полугодие 202</w:t>
      </w:r>
      <w:r w:rsidR="00C75137"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района на социальную сферу составили </w:t>
      </w:r>
      <w:r w:rsidR="00D35E31"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>82105,6</w:t>
      </w:r>
      <w:r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35E31"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>41,2</w:t>
      </w:r>
      <w:r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годовым назначениям. По сравнению с 1 полугодием 20</w:t>
      </w:r>
      <w:r w:rsidR="00D35E31"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на социальную сферу  </w:t>
      </w:r>
      <w:r w:rsidR="00D35E31"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D35E31"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>2252,0</w:t>
      </w:r>
      <w:r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D35E31"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расходах бюджета района  так же </w:t>
      </w:r>
      <w:r w:rsidR="00D35E31"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</w:t>
      </w:r>
      <w:r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35E31"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>72,3</w:t>
      </w:r>
      <w:r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35E31"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>63,0</w:t>
      </w:r>
      <w:r w:rsidRPr="00D35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района занимают расходы  по разделу «Образование» - </w:t>
      </w:r>
      <w:r w:rsidR="003817A1"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49,5</w:t>
      </w: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«Общегосударственные вопросы» - </w:t>
      </w:r>
      <w:r w:rsidR="003817A1"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16,9</w:t>
      </w: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3817A1"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«ЖКХ» - 8,3%, </w:t>
      </w: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 и кинематография» - </w:t>
      </w:r>
      <w:r w:rsidR="003817A1"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«Межбюджетные трансферты  общего характера бюджетам  субъектов РФ и муниципальных образований» - </w:t>
      </w:r>
      <w:r w:rsidR="003817A1"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«Социальная политика» - </w:t>
      </w:r>
      <w:r w:rsidR="003817A1"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«Национальная экономика» - </w:t>
      </w:r>
      <w:r w:rsidR="003817A1"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3817A1"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 - 2,4%, </w:t>
      </w: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 и спорт» - 1,</w:t>
      </w:r>
      <w:r w:rsidR="003817A1"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расходы по разделам «Здравоохранение», «Средства массовой информации» и  «Охрана окружающей среды» приходится  всего </w:t>
      </w:r>
      <w:r w:rsidR="003817A1"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3817A1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 расходов бюджета района за 1 полугодие  202</w:t>
      </w:r>
      <w:r w:rsidR="003817A1"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A35D5D" w:rsidRDefault="00C1431F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6BFFE7" wp14:editId="58452B51">
            <wp:extent cx="5934973" cy="4615132"/>
            <wp:effectExtent l="0" t="0" r="27940" b="146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</w:t>
      </w: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периода  расходы  производились по всем разделам, которые предусмотрены  решением о бюджете района. </w:t>
      </w:r>
    </w:p>
    <w:p w:rsidR="00A35D5D" w:rsidRPr="003817A1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разделам классификации расходов, за исключением  разделов </w:t>
      </w:r>
      <w:r w:rsidR="003817A1"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деятельность», «Образование», </w:t>
      </w: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политика» и «Средства массовой информации» уровень исполнения к годовым назначениям составил менее  50,0%,  в том числе:</w:t>
      </w:r>
    </w:p>
    <w:p w:rsidR="00A35D5D" w:rsidRPr="003817A1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«Общегосударственные вопросы» – 44,</w:t>
      </w:r>
      <w:r w:rsidR="003817A1"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3817A1" w:rsidRPr="003817A1" w:rsidRDefault="003817A1" w:rsidP="003817A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экономика» - 41,3 %; </w:t>
      </w:r>
    </w:p>
    <w:p w:rsidR="00A35D5D" w:rsidRPr="003817A1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«Межбюджетные трансферты общего характера бюджетам субъектов РФ и муниципальных образований» -</w:t>
      </w:r>
      <w:r w:rsidR="003817A1"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39,9</w:t>
      </w: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B11185" w:rsidRPr="00B11185" w:rsidRDefault="00B11185" w:rsidP="00B1118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8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 и кинематография» – 31,5%;</w:t>
      </w:r>
    </w:p>
    <w:p w:rsidR="003817A1" w:rsidRPr="003817A1" w:rsidRDefault="003817A1" w:rsidP="003817A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– 25,8%;</w:t>
      </w:r>
    </w:p>
    <w:p w:rsidR="00A35D5D" w:rsidRPr="00B11185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85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B11185" w:rsidRPr="00B111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 w:rsidRPr="00B1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B11185" w:rsidRPr="00B11185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B11185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A35D5D" w:rsidRPr="00B11185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«Охрана окружающей среды» </w:t>
      </w:r>
      <w:r w:rsidR="00B11185" w:rsidRPr="00B1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11185" w:rsidRPr="00B1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«Здравоохранение» </w:t>
      </w:r>
      <w:r w:rsidRPr="00B11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  </w:t>
      </w:r>
      <w:r w:rsidR="00B11185" w:rsidRPr="00B11185">
        <w:rPr>
          <w:rFonts w:ascii="Times New Roman" w:eastAsia="Times New Roman" w:hAnsi="Times New Roman" w:cs="Times New Roman"/>
          <w:sz w:val="28"/>
          <w:szCs w:val="28"/>
          <w:lang w:eastAsia="ru-RU"/>
        </w:rPr>
        <w:t>0,01 % соответственно.</w:t>
      </w:r>
    </w:p>
    <w:p w:rsidR="00A35D5D" w:rsidRPr="00B11185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A14B47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района по </w:t>
      </w:r>
      <w:r w:rsidR="00750E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приведены в таблице 5.</w:t>
      </w:r>
    </w:p>
    <w:p w:rsidR="00A35D5D" w:rsidRPr="00A14B47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14B47">
        <w:rPr>
          <w:rFonts w:ascii="Times New Roman" w:eastAsia="Times New Roman" w:hAnsi="Times New Roman" w:cs="Times New Roman"/>
          <w:lang w:eastAsia="ru-RU"/>
        </w:rPr>
        <w:t>Таблица 5</w:t>
      </w:r>
      <w:r w:rsidRPr="00A14B47">
        <w:rPr>
          <w:rFonts w:ascii="Times New Roman" w:eastAsia="Times New Roman" w:hAnsi="Times New Roman" w:cs="Times New Roman"/>
          <w:lang w:eastAsia="ru-RU"/>
        </w:rPr>
        <w:tab/>
      </w:r>
      <w:r w:rsidRPr="00A14B47">
        <w:rPr>
          <w:rFonts w:ascii="Times New Roman" w:eastAsia="Times New Roman" w:hAnsi="Times New Roman" w:cs="Times New Roman"/>
          <w:lang w:eastAsia="ru-RU"/>
        </w:rPr>
        <w:tab/>
      </w:r>
      <w:r w:rsidRPr="00A14B47">
        <w:rPr>
          <w:rFonts w:ascii="Times New Roman" w:eastAsia="Times New Roman" w:hAnsi="Times New Roman" w:cs="Times New Roman"/>
          <w:lang w:eastAsia="ru-RU"/>
        </w:rPr>
        <w:tab/>
      </w:r>
      <w:r w:rsidRPr="00A14B47">
        <w:rPr>
          <w:rFonts w:ascii="Times New Roman" w:eastAsia="Times New Roman" w:hAnsi="Times New Roman" w:cs="Times New Roman"/>
          <w:lang w:eastAsia="ru-RU"/>
        </w:rPr>
        <w:tab/>
      </w:r>
      <w:r w:rsidRPr="00A14B47">
        <w:rPr>
          <w:rFonts w:ascii="Times New Roman" w:eastAsia="Times New Roman" w:hAnsi="Times New Roman" w:cs="Times New Roman"/>
          <w:lang w:eastAsia="ru-RU"/>
        </w:rPr>
        <w:tab/>
      </w:r>
      <w:r w:rsidRPr="00A14B47">
        <w:rPr>
          <w:rFonts w:ascii="Times New Roman" w:eastAsia="Times New Roman" w:hAnsi="Times New Roman" w:cs="Times New Roman"/>
          <w:lang w:eastAsia="ru-RU"/>
        </w:rPr>
        <w:tab/>
      </w:r>
      <w:r w:rsidRPr="00A14B47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A14B4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1179"/>
        <w:gridCol w:w="1285"/>
        <w:gridCol w:w="1179"/>
        <w:gridCol w:w="1241"/>
        <w:gridCol w:w="1306"/>
        <w:gridCol w:w="1179"/>
      </w:tblGrid>
      <w:tr w:rsidR="00A14B47" w:rsidRPr="00A14B47" w:rsidTr="00A14B47">
        <w:trPr>
          <w:trHeight w:val="97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A14B47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A14B47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14B47">
              <w:rPr>
                <w:rFonts w:ascii="Times New Roman" w:eastAsia="Calibri" w:hAnsi="Times New Roman" w:cs="Times New Roman"/>
                <w:lang w:eastAsia="ru-RU"/>
              </w:rPr>
              <w:t>Исполнено в   1 полугодии</w:t>
            </w:r>
          </w:p>
          <w:p w:rsidR="00A35D5D" w:rsidRPr="00A14B47" w:rsidRDefault="00A35D5D" w:rsidP="00A14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A14B47" w:rsidRPr="00A14B47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Pr="00A14B47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A14B47" w:rsidRDefault="00A35D5D" w:rsidP="00A14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Утверждено в бюджете на 202</w:t>
            </w:r>
            <w:r w:rsidR="00A14B47" w:rsidRPr="00A14B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A14B47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14B47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A35D5D" w:rsidRPr="00A14B47" w:rsidRDefault="00A35D5D" w:rsidP="00A14B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14B47">
              <w:rPr>
                <w:rFonts w:ascii="Times New Roman" w:eastAsia="Calibri" w:hAnsi="Times New Roman" w:cs="Times New Roman"/>
                <w:lang w:eastAsia="ru-RU"/>
              </w:rPr>
              <w:t>полугодии 202</w:t>
            </w:r>
            <w:r w:rsidR="00A14B47" w:rsidRPr="00A14B47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A14B47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A14B47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A35D5D" w:rsidRPr="00A14B47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5D" w:rsidRPr="00A14B47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14B47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A35D5D" w:rsidRPr="00A14B47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14B47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A35D5D" w:rsidRPr="00A14B47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14B47">
              <w:rPr>
                <w:rFonts w:ascii="Times New Roman" w:eastAsia="Calibri" w:hAnsi="Times New Roman" w:cs="Times New Roman"/>
                <w:lang w:eastAsia="ru-RU"/>
              </w:rPr>
              <w:t>полугодии 202</w:t>
            </w:r>
            <w:r w:rsidR="00A14B47" w:rsidRPr="00A14B47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A35D5D" w:rsidRPr="00A14B47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14B47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A35D5D" w:rsidRPr="00A14B47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14B47">
              <w:rPr>
                <w:rFonts w:ascii="Times New Roman" w:eastAsia="Calibri" w:hAnsi="Times New Roman" w:cs="Times New Roman"/>
                <w:lang w:eastAsia="ru-RU"/>
              </w:rPr>
              <w:t>полугодия 20</w:t>
            </w:r>
            <w:r w:rsidR="00A14B47" w:rsidRPr="00A14B47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  <w:p w:rsidR="00A35D5D" w:rsidRPr="00A14B47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14B47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A35D5D" w:rsidRPr="00A14B47" w:rsidRDefault="00A35D5D" w:rsidP="00A35D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5D" w:rsidRPr="00A14B47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14B47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A35D5D" w:rsidRPr="00A14B47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14B47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A35D5D" w:rsidRPr="00A14B47" w:rsidRDefault="00A35D5D" w:rsidP="00A35D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14B47">
              <w:rPr>
                <w:rFonts w:ascii="Times New Roman" w:eastAsia="Calibri" w:hAnsi="Times New Roman" w:cs="Times New Roman"/>
                <w:lang w:eastAsia="ru-RU"/>
              </w:rPr>
              <w:t>полугодия</w:t>
            </w:r>
          </w:p>
          <w:p w:rsidR="00A35D5D" w:rsidRPr="00A14B47" w:rsidRDefault="00A35D5D" w:rsidP="00A14B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A14B47" w:rsidRPr="00A14B47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Pr="00A14B47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A14B47" w:rsidRPr="00A14B47" w:rsidTr="00A14B4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20709,8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49032,3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21984,1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1274,3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106,2</w:t>
            </w:r>
          </w:p>
        </w:tc>
      </w:tr>
      <w:tr w:rsidR="00A14B47" w:rsidRPr="00A14B47" w:rsidTr="00A14B4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623,7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4214,9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3133,5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2509,8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5,0 раз</w:t>
            </w:r>
          </w:p>
        </w:tc>
      </w:tr>
      <w:tr w:rsidR="00A14B47" w:rsidRPr="00A14B47" w:rsidTr="00A14B4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3080,6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11626,9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4804,3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627F29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1723,7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627F29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156,0</w:t>
            </w:r>
          </w:p>
        </w:tc>
      </w:tr>
      <w:tr w:rsidR="00A14B47" w:rsidRPr="00A14B47" w:rsidTr="00A14B4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507,0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42210,3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10872,8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627F29" w:rsidP="004E5D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10365,8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627F29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21,4 раза</w:t>
            </w:r>
          </w:p>
        </w:tc>
      </w:tr>
      <w:tr w:rsidR="00A14B47" w:rsidRPr="00A14B47" w:rsidTr="00A14B4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139,5</w:t>
            </w:r>
          </w:p>
        </w:tc>
      </w:tr>
      <w:tr w:rsidR="00A14B47" w:rsidRPr="00A14B47" w:rsidTr="00A14B4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68315,0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122733,7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64532,7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-3782,3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A14B47" w:rsidRPr="00A14B47" w:rsidTr="00A14B4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9888,3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31893,3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10045,0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</w:tr>
      <w:tr w:rsidR="00A14B47" w:rsidRPr="00A14B47" w:rsidTr="00A14B4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Здравоохранение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14B47" w:rsidRPr="00A14B47" w:rsidTr="00A14B4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3939,7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8913,4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5129,3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4E5D98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B5907">
              <w:rPr>
                <w:rFonts w:ascii="Times New Roman" w:eastAsia="Times New Roman" w:hAnsi="Times New Roman" w:cs="Times New Roman"/>
                <w:lang w:eastAsia="ru-RU"/>
              </w:rPr>
              <w:t>189,6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130,2</w:t>
            </w:r>
          </w:p>
        </w:tc>
      </w:tr>
      <w:tr w:rsidR="00A14B47" w:rsidRPr="00A14B47" w:rsidTr="00A14B47">
        <w:trPr>
          <w:trHeight w:val="54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2205,6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35353,6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2389,6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</w:tr>
      <w:tr w:rsidR="00A14B47" w:rsidRPr="00A14B47" w:rsidTr="00A14B4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337,9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</w:tr>
      <w:tr w:rsidR="00A14B47" w:rsidRPr="00A14B47" w:rsidTr="00A14B4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lang w:eastAsia="ru-RU"/>
              </w:rPr>
              <w:t>6968,3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17559,0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7005,1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tabs>
                <w:tab w:val="left" w:pos="0"/>
                <w:tab w:val="left" w:pos="1128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</w:tr>
      <w:tr w:rsidR="00A14B47" w:rsidRPr="00A14B47" w:rsidTr="00A14B47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A35D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47" w:rsidRPr="00A14B47" w:rsidRDefault="00A14B47" w:rsidP="007667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4B47">
              <w:rPr>
                <w:rFonts w:ascii="Times New Roman" w:eastAsia="Times New Roman" w:hAnsi="Times New Roman" w:cs="Times New Roman"/>
                <w:b/>
                <w:lang w:eastAsia="ru-RU"/>
              </w:rPr>
              <w:t>116593,5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324715,4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130272,4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A14B4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13678,9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7" w:rsidRPr="00A14B47" w:rsidRDefault="00FB5907" w:rsidP="00A35D5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111,7</w:t>
            </w:r>
          </w:p>
        </w:tc>
      </w:tr>
    </w:tbl>
    <w:p w:rsidR="008F7CA8" w:rsidRDefault="008F7CA8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D5D" w:rsidRPr="0076678C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66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667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«Общегосударственные вопросы»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76678C"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>21984,1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6678C"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>44,8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76678C"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>49032,3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 20</w:t>
      </w:r>
      <w:r w:rsidR="0076678C"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76678C"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>1274,3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6678C"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A35D5D" w:rsidRPr="0076678C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766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общегосударственные вопросы»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76678C"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>8293,0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т.ч.:</w:t>
      </w:r>
    </w:p>
    <w:p w:rsid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государственную поддержку некоммерчески</w:t>
      </w:r>
      <w:r w:rsidR="00E0733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073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6678C"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>222,3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6678C" w:rsidRPr="0076678C" w:rsidRDefault="0076678C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содержание муниципального имущества – 370,9 тыс. рублей;</w:t>
      </w:r>
    </w:p>
    <w:p w:rsidR="00A35D5D" w:rsidRPr="0076678C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субсидии для  обеспечения муниципального задания  МБУ «Многофункциональный центр предоставления государственных и муниципальных услуг» - </w:t>
      </w:r>
      <w:r w:rsidR="0076678C"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>778,3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35D5D" w:rsidRPr="0076678C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содержание казенного учреждения «Центр бюджетного учета и отчетности» - </w:t>
      </w:r>
      <w:r w:rsidR="0076678C"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>4315,9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35D5D" w:rsidRPr="0076678C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 содержание  казенного учреждения  «Центр обеспечения деятельности учреждений бюджетной сферы» - </w:t>
      </w:r>
      <w:r w:rsidR="0076678C"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>2507,3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 взносы в Ассоциацию – </w:t>
      </w:r>
      <w:r w:rsidR="0076678C"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>82,4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6678C" w:rsidRPr="0076678C" w:rsidRDefault="0076678C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повышение квалификации муниципальных служащих – 8,9 тыс. рублей;</w:t>
      </w:r>
    </w:p>
    <w:p w:rsidR="00A35D5D" w:rsidRPr="0076678C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 </w:t>
      </w:r>
      <w:r w:rsidR="0076678C"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подпрограмме «Развитие туризма в Междуреченском муниципальном районе» 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6678C"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35D5D" w:rsidRPr="0076678C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Расходы по  разделу «Резервные фонды» не проводились в связи с не востребованностью.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E04C6A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4C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E04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4C6A"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>3133,5</w:t>
      </w:r>
      <w:r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04C6A"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>74,3</w:t>
      </w:r>
      <w:r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E04C6A"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>4214,9</w:t>
      </w:r>
      <w:r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 20</w:t>
      </w:r>
      <w:r w:rsidR="00E04C6A"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 на </w:t>
      </w:r>
      <w:r w:rsidR="00E04C6A"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>2509,8</w:t>
      </w:r>
      <w:r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E04C6A"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>в 5,0 раз</w:t>
      </w:r>
      <w:r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E04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«Защита населения и территорий от чрезвычайных ситуаций природного и техногенного характера, гражданская оборона» </w:t>
      </w:r>
      <w:r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623,</w:t>
      </w:r>
      <w:r w:rsidR="00E04C6A"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содержание работников ЕДДС. </w:t>
      </w:r>
    </w:p>
    <w:p w:rsidR="00E04C6A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по подразделу </w:t>
      </w:r>
      <w:r w:rsidRPr="00DF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вопросы в области национальной безопасности»</w:t>
      </w:r>
      <w:r w:rsidRPr="00DF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04C6A" w:rsidRPr="00DF2C1F">
        <w:rPr>
          <w:rFonts w:ascii="Times New Roman" w:eastAsia="Times New Roman" w:hAnsi="Times New Roman" w:cs="Times New Roman"/>
          <w:sz w:val="28"/>
          <w:szCs w:val="28"/>
          <w:lang w:eastAsia="ru-RU"/>
        </w:rPr>
        <w:t>2510,0</w:t>
      </w:r>
      <w:r w:rsidRPr="00DF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04C6A" w:rsidRPr="00DF2C1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DF2C1F" w:rsidRPr="00DF2C1F" w:rsidRDefault="00DF2C1F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2480,0 тыс. рублей на приобретение  аэролодки;</w:t>
      </w:r>
    </w:p>
    <w:p w:rsidR="00E04C6A" w:rsidRPr="00DF2C1F" w:rsidRDefault="00E04C6A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9,3 тыс. рублей </w:t>
      </w:r>
      <w:r w:rsidR="00A35D5D" w:rsidRPr="00DF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Pr="00DF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 программе ДПО «Повышение квалификации в области гражданской обороны и защиты от чрезвычайных ситуаций»;</w:t>
      </w:r>
    </w:p>
    <w:p w:rsidR="00A35D5D" w:rsidRPr="00DF2C1F" w:rsidRDefault="00DF2C1F" w:rsidP="00A35D5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14,5 тыс. рублей </w:t>
      </w:r>
      <w:r w:rsidR="00A35D5D" w:rsidRPr="00DF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софинансирование мероприятий по внедрению аппаратно-программного комплекса «Безопасный город»;</w:t>
      </w:r>
    </w:p>
    <w:p w:rsidR="00DF2C1F" w:rsidRPr="00DF2C1F" w:rsidRDefault="00DF2C1F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1F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 тыс. рублей на информационное обеспечение.</w:t>
      </w: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0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«Национальная экономика»</w:t>
      </w:r>
      <w:r w:rsidRPr="00673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DF2C1F"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>4804,3</w:t>
      </w:r>
      <w:r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 </w:t>
      </w:r>
      <w:r w:rsidR="00DF2C1F"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>41,3</w:t>
      </w:r>
      <w:r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DF2C1F"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>11626,9</w:t>
      </w:r>
      <w:r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730E5" w:rsidRPr="006730E5" w:rsidRDefault="00BB7AF9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</w:t>
      </w:r>
      <w:r w:rsidR="006730E5" w:rsidRPr="00673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«Общеэкономические вопросы»</w:t>
      </w:r>
      <w:r w:rsidR="00673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61,6 тыс. рублей на организацию мероприятий  по занятости подростков  в период летних каникул;</w:t>
      </w:r>
    </w:p>
    <w:p w:rsidR="00A35D5D" w:rsidRPr="006730E5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</w:t>
      </w:r>
      <w:r w:rsidRPr="00673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Транспорт»</w:t>
      </w:r>
      <w:r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730E5"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>563,8</w:t>
      </w:r>
      <w:r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на возмещение убытков от потерь в доходах транспортными организациями и индивидуальными предпринимателями, осуществляющими перевозки автомобильным транспортом по социально-значимым маршрутам;</w:t>
      </w: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673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«Дорожное хозяйство»</w:t>
      </w:r>
      <w:r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6730E5"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>3964,7</w:t>
      </w:r>
      <w:r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6730E5"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и ремонт  автомобильных дорог общего пользования – </w:t>
      </w:r>
      <w:r w:rsidR="006730E5"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>2899,0</w:t>
      </w:r>
      <w:r w:rsidRPr="00673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 устройство ледовой переправы за счет средств </w:t>
      </w:r>
      <w:r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фонда  – </w:t>
      </w:r>
      <w:r w:rsidR="006730E5"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>640,0</w:t>
      </w:r>
      <w:r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межбюджетные трансферты на осуществление полномочий в сфере дорожной деятельности – </w:t>
      </w:r>
      <w:r w:rsid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>314,2</w:t>
      </w:r>
      <w:r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ремонт дорог общего пользования – 31,0 тыс. рублей,</w:t>
      </w:r>
      <w:r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проверку определения сметной стоимости ремонта– </w:t>
      </w:r>
      <w:r w:rsidR="00AE5C29"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>30,5</w:t>
      </w:r>
      <w:r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E5C29"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 разработку ПСД – 50,0 тыс. рублей</w:t>
      </w:r>
      <w:r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D5D" w:rsidRPr="00AE5C29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AE5C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вопросы в области национальной экономики»</w:t>
      </w:r>
      <w:r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AE5C29"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>214,</w:t>
      </w:r>
      <w:r w:rsid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E5C29"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расходы на </w:t>
      </w:r>
      <w:r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мероприятий по программе  «Поддержка и развитие малого и среднего предпринимательства»</w:t>
      </w:r>
      <w:r w:rsidR="00AE5C29"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- 3,</w:t>
      </w:r>
      <w:r w:rsid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C29"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проведение работ по формированию земельных участков из земель сельхозназначения – 211,0 тыс. рублей</w:t>
      </w:r>
      <w:r w:rsidRPr="00AE5C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D5D" w:rsidRPr="0064627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сравнению с 1 полугодием  20</w:t>
      </w:r>
      <w:r w:rsidR="0093315F"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64627D"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64627D"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>1723,7</w:t>
      </w:r>
      <w:r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64627D"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>56,0</w:t>
      </w:r>
      <w:r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A35D5D" w:rsidRPr="0064627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ниже 50,0% связано с тем, что по </w:t>
      </w:r>
      <w:r w:rsidR="0064627D"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64627D"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27D"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 финансирования исходя из фактической потребности.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64627D" w:rsidRDefault="00A35D5D" w:rsidP="00A35D5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2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«Жилищно-коммунальное хозяйство»</w:t>
      </w:r>
      <w:r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64627D"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>10872,8</w:t>
      </w:r>
      <w:r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4627D"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>25,8</w:t>
      </w:r>
      <w:r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64627D"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42210,3 </w:t>
      </w:r>
      <w:r w:rsidRPr="0064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A35D5D" w:rsidRPr="009E5C24" w:rsidRDefault="00A35D5D" w:rsidP="00A35D5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9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9E5C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«Жилищное хозяйство»</w:t>
      </w:r>
      <w:r w:rsidRPr="009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E5C24" w:rsidRPr="009E5C24">
        <w:rPr>
          <w:rFonts w:ascii="Times New Roman" w:eastAsia="Times New Roman" w:hAnsi="Times New Roman" w:cs="Times New Roman"/>
          <w:sz w:val="28"/>
          <w:szCs w:val="28"/>
          <w:lang w:eastAsia="ru-RU"/>
        </w:rPr>
        <w:t>6178,3</w:t>
      </w:r>
      <w:r w:rsidRPr="009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на взносы в некоммерческую организаци</w:t>
      </w:r>
      <w:r w:rsidR="002E114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«Фонд капитального ремонта» - </w:t>
      </w:r>
      <w:r w:rsidR="009E5C24" w:rsidRPr="009E5C24">
        <w:rPr>
          <w:rFonts w:ascii="Times New Roman" w:eastAsia="Times New Roman" w:hAnsi="Times New Roman" w:cs="Times New Roman"/>
          <w:sz w:val="28"/>
          <w:szCs w:val="28"/>
          <w:lang w:eastAsia="ru-RU"/>
        </w:rPr>
        <w:t>76,9</w:t>
      </w:r>
      <w:r w:rsidRPr="009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5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тыс. рублей, </w:t>
      </w:r>
      <w:r w:rsidR="009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благоустроенных квартир в рамках муниципальной программы «Переселение граждан из аварийного жилищного фонда Междуреченского муниципального района на 2019-2025 годы» - 6101,4 </w:t>
      </w: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E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9E5C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2D51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Коммунальное хозяйство»</w:t>
      </w:r>
      <w:r w:rsidRPr="002D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E5C24" w:rsidRPr="002D51F3">
        <w:rPr>
          <w:rFonts w:ascii="Times New Roman" w:eastAsia="Times New Roman" w:hAnsi="Times New Roman" w:cs="Times New Roman"/>
          <w:sz w:val="28"/>
          <w:szCs w:val="28"/>
          <w:lang w:eastAsia="ru-RU"/>
        </w:rPr>
        <w:t>4394,5</w:t>
      </w:r>
      <w:r w:rsidRPr="002D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</w:t>
      </w:r>
      <w:r w:rsidR="002D51F3" w:rsidRPr="002D51F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  <w:r w:rsidR="009E5C24" w:rsidRPr="002D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модернизации коммунального хозяйства </w:t>
      </w:r>
      <w:r w:rsidR="002D51F3" w:rsidRPr="002D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- 639,0 тыс. рублей</w:t>
      </w:r>
      <w:r w:rsidR="00DF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55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-542,8 т. р., инженерное и инструментальное здания и строительных материалов – 74,0 т.р.</w:t>
      </w:r>
      <w:r w:rsidR="002D51F3" w:rsidRPr="002D51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ПСД ФАПа – 11,0 т.р. обследование дымоходов и котлов на твердом топливе – 4,0 т.р. услуги автотранспорта – 7,2 т.р.), </w:t>
      </w:r>
      <w:r w:rsidRPr="002D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техосмотр газовых сетей – </w:t>
      </w:r>
      <w:r w:rsidR="002D51F3" w:rsidRPr="002D51F3">
        <w:rPr>
          <w:rFonts w:ascii="Times New Roman" w:eastAsia="Times New Roman" w:hAnsi="Times New Roman" w:cs="Times New Roman"/>
          <w:sz w:val="28"/>
          <w:szCs w:val="28"/>
          <w:lang w:eastAsia="ru-RU"/>
        </w:rPr>
        <w:t>30,7</w:t>
      </w:r>
      <w:r w:rsidRPr="002D5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5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BE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F5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CDE" w:rsidRPr="00F5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пуско-наладочные работы по пуску газа – 75,9 </w:t>
      </w:r>
      <w:r w:rsidRPr="00F55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DF26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DF262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строительство распределительного газопровода по ул. Советская – Энергетиков – 3648,9 тыс. рублей</w:t>
      </w:r>
      <w:r w:rsidRPr="00DF26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5D5D" w:rsidRPr="005D70DC" w:rsidRDefault="00A35D5D" w:rsidP="00A35D5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DF2626" w:rsidRPr="005D7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вопросы в области жилищно-коммунального хозяйства</w:t>
      </w:r>
      <w:r w:rsidRPr="005D7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составили </w:t>
      </w:r>
      <w:r w:rsidR="00DF2626"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>300,0</w:t>
      </w:r>
      <w:r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F2626"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топливных дров для резервного запаса</w:t>
      </w:r>
      <w:r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D5D" w:rsidRPr="005D70DC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расходов ниже 50,0% связано с тем, что по подраздел</w:t>
      </w:r>
      <w:r w:rsidR="005D70DC"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«Жилищное хозяйство», </w:t>
      </w:r>
      <w:r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«Коммунальное хозяйство»</w:t>
      </w:r>
      <w:r w:rsidR="005D70DC"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«Другие вопросы в области жилищно-коммунального хозяйства»</w:t>
      </w:r>
      <w:r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мероприятия планируются во 2 – м полугодии  202</w:t>
      </w:r>
      <w:r w:rsidR="005D70DC"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35D5D" w:rsidRDefault="00A35D5D" w:rsidP="00A35D5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 с 1 полугодием   20</w:t>
      </w:r>
      <w:r w:rsidR="005D70DC"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изменились, их увеличение составило </w:t>
      </w:r>
      <w:r w:rsidR="005D70DC"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>10365</w:t>
      </w:r>
      <w:r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</w:t>
      </w:r>
      <w:r w:rsidR="005D70DC"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>21,4</w:t>
      </w:r>
      <w:r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раза)</w:t>
      </w:r>
      <w:r w:rsidR="005D70DC"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увеличение связано с тем, что в 2020 году не проводились расходы по муниципальной программы «Переселение граждан из аварийного жилищного фонда Междуреченского муниципального района на 2019-2025 годы»</w:t>
      </w:r>
      <w:r w:rsidR="00A8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распределительного газопровода по ул. Советская – Энергетиков</w:t>
      </w:r>
      <w:r w:rsidR="003C50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которым </w:t>
      </w:r>
      <w:r w:rsidR="00A8029C" w:rsidRPr="005D7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т.г. составили - 6101,4  тыс. рублей</w:t>
      </w:r>
      <w:r w:rsidR="00A8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8029C" w:rsidRPr="00A8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29C">
        <w:rPr>
          <w:rFonts w:ascii="Times New Roman" w:eastAsia="Times New Roman" w:hAnsi="Times New Roman" w:cs="Times New Roman"/>
          <w:sz w:val="28"/>
          <w:szCs w:val="28"/>
          <w:lang w:eastAsia="ru-RU"/>
        </w:rPr>
        <w:t>3648,9тыс. рублей соответственно.</w:t>
      </w:r>
    </w:p>
    <w:p w:rsidR="00786F6A" w:rsidRPr="00A35D5D" w:rsidRDefault="00786F6A" w:rsidP="00A35D5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786F6A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«Охрана окружающей среды» - 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составили </w:t>
      </w:r>
      <w:r w:rsidR="00786F6A"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86F6A"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786F6A"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245,9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786F6A"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9,0 тыс. рублей  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подписку периодических изданий</w:t>
      </w:r>
      <w:r w:rsidR="00786F6A"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3,0 тыс. рублей на приобретение расходных материалов для уборки мусора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D5D" w:rsidRPr="00786F6A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полугодием  20</w:t>
      </w:r>
      <w:r w:rsidR="00786F6A"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786F6A"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86F6A"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86F6A"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39,5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8D5313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F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86F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«Образование»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 </w:t>
      </w:r>
      <w:r w:rsidR="00786F6A"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64532,7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86F6A"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52,6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786F6A"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122733,7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</w:t>
      </w:r>
      <w:r w:rsidR="00786F6A"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786F6A"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уменьшились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86F6A"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3782,3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786F6A"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78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8D5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«Дошкольное образование»</w:t>
      </w:r>
      <w:r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</w:t>
      </w:r>
      <w:r w:rsidR="008D5313"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>11327,7</w:t>
      </w:r>
      <w:r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D5313"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>47,9</w:t>
      </w:r>
      <w:r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8D5313"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>17,5</w:t>
      </w:r>
      <w:r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 Расходы производились на содержание дошкольных образовательных учреждений, в том числе  за счет субвенций в сумме </w:t>
      </w:r>
      <w:r w:rsidR="008D5313"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>9358,4</w:t>
      </w:r>
      <w:r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53B1C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по подразделу </w:t>
      </w:r>
      <w:r w:rsidRPr="008D5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«Общее образование»</w:t>
      </w:r>
      <w:r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8D5313"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>44454,6</w:t>
      </w:r>
      <w:r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D5313"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>54,1</w:t>
      </w:r>
      <w:r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8D5313"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>68,9</w:t>
      </w:r>
      <w:r w:rsidRPr="008D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</w:t>
      </w:r>
      <w:r w:rsidRP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производились на содержание школ, групп дошкольного воспитания при школах и учреждений дополнительного образования детей</w:t>
      </w:r>
      <w:r w:rsid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39869,7 тыс. рублей</w:t>
      </w:r>
      <w:r w:rsidRP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субвенции на обеспечение образовательного процесса – </w:t>
      </w:r>
      <w:r w:rsidR="00B53B1C" w:rsidRP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>25332,5</w:t>
      </w:r>
      <w:r w:rsid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кроме того,</w:t>
      </w:r>
      <w:r w:rsidRP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53B1C"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вознаграждение за выполнение функций классного руководителя </w:t>
      </w:r>
      <w:r w:rsidR="00B53B1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B53B1C"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3B1C">
        <w:rPr>
          <w:rFonts w:ascii="Times New Roman" w:eastAsiaTheme="minorEastAsia" w:hAnsi="Times New Roman" w:cs="Times New Roman"/>
          <w:sz w:val="28"/>
          <w:szCs w:val="28"/>
          <w:lang w:eastAsia="ru-RU"/>
        </w:rPr>
        <w:t>2482,0</w:t>
      </w:r>
      <w:r w:rsidR="00B53B1C"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 на обеспечение питания школьников</w:t>
      </w:r>
      <w:r w:rsidR="00A8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(субсидия)</w:t>
      </w:r>
      <w:r w:rsidR="00B53B1C"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B53B1C">
        <w:rPr>
          <w:rFonts w:ascii="Times New Roman" w:eastAsiaTheme="minorEastAsia" w:hAnsi="Times New Roman" w:cs="Times New Roman"/>
          <w:sz w:val="28"/>
          <w:szCs w:val="28"/>
          <w:lang w:eastAsia="ru-RU"/>
        </w:rPr>
        <w:t>649,5</w:t>
      </w:r>
      <w:r w:rsidR="00B53B1C"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A8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B53B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горячее питание, обучающимся начальных классов – 1119,5 тыс. рублей </w:t>
      </w:r>
      <w:r w:rsidR="00B53B1C"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A802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B53B1C"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детей с ограниченными возможностями здоровья – </w:t>
      </w:r>
      <w:r w:rsidR="00B53B1C">
        <w:rPr>
          <w:rFonts w:ascii="Times New Roman" w:eastAsiaTheme="minorEastAsia" w:hAnsi="Times New Roman" w:cs="Times New Roman"/>
          <w:sz w:val="28"/>
          <w:szCs w:val="28"/>
          <w:lang w:eastAsia="ru-RU"/>
        </w:rPr>
        <w:t>333,9</w:t>
      </w:r>
      <w:r w:rsidR="00B53B1C" w:rsidRPr="0045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="00B53B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B53B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«Дополнительное образование»</w:t>
      </w:r>
      <w:r w:rsidRP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составили </w:t>
      </w:r>
      <w:r w:rsidR="00B53B1C" w:rsidRP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>5004,0</w:t>
      </w:r>
      <w:r w:rsidRP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53B1C" w:rsidRP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>53,3</w:t>
      </w:r>
      <w:r w:rsidRP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B53B1C" w:rsidRP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общих расходов раздела «Образование». Расходы проводились на содержание  учреждений дополнительного образования детей</w:t>
      </w:r>
      <w:r w:rsidR="00B53B1C" w:rsidRP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казенного  учреждения «</w:t>
      </w:r>
      <w:r w:rsidR="005B4AE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53B1C" w:rsidRP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УБС»</w:t>
      </w:r>
      <w:r w:rsidR="005B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 части обслуживания  учреждений дополнительного образования)</w:t>
      </w:r>
      <w:r w:rsidRPr="00B53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2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8265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«Молодежная политика и оздоровление детей»</w:t>
      </w:r>
      <w:r w:rsidRPr="0082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B53B1C" w:rsidRPr="00826554">
        <w:rPr>
          <w:rFonts w:ascii="Times New Roman" w:eastAsia="Times New Roman" w:hAnsi="Times New Roman" w:cs="Times New Roman"/>
          <w:sz w:val="28"/>
          <w:szCs w:val="28"/>
          <w:lang w:eastAsia="ru-RU"/>
        </w:rPr>
        <w:t>53,1</w:t>
      </w:r>
      <w:r w:rsidR="0082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5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B53B1C" w:rsidRPr="00826554">
        <w:rPr>
          <w:rFonts w:ascii="Times New Roman" w:eastAsia="Times New Roman" w:hAnsi="Times New Roman" w:cs="Times New Roman"/>
          <w:sz w:val="28"/>
          <w:szCs w:val="28"/>
          <w:lang w:eastAsia="ru-RU"/>
        </w:rPr>
        <w:t>18,8</w:t>
      </w:r>
      <w:r w:rsidRPr="0082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826554" w:rsidRPr="00826554">
        <w:rPr>
          <w:rFonts w:ascii="Times New Roman" w:eastAsia="Times New Roman" w:hAnsi="Times New Roman" w:cs="Times New Roman"/>
          <w:sz w:val="28"/>
          <w:szCs w:val="28"/>
          <w:lang w:eastAsia="ru-RU"/>
        </w:rPr>
        <w:t>0,08</w:t>
      </w:r>
      <w:r w:rsidRPr="0082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проведение  мероприятия  по молодежной политике</w:t>
      </w:r>
      <w:r w:rsidR="00826554" w:rsidRPr="00826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-17,5 тыс. рублей и на организацию отдыха </w:t>
      </w:r>
      <w:r w:rsidR="005B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826554" w:rsidRPr="008265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школьных каникул – 35,6 тыс. рублей</w:t>
      </w:r>
      <w:r w:rsidRPr="008265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662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вопросы в области образования»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3693,3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50,5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или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отдела образования района  -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1149,3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казенного учреждения  «Центр обеспечения деятельности учреждений бюджетной сферы» -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2544,0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662E95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«Культура,  кинематография»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10045,0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31,5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годовым назначениям в сумме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31893,3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156,7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(на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662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«Культура»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8661,5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29,6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86,2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«Культура,  кинематография». Расходы производились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учреждений МБУК «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Междуреченская ЦБС» в сумме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3174,3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МБУК «Междуреченский музей» -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1105,7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МБУК «Центр культурного развития» -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4381,5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35D5D" w:rsidRPr="00662E95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662E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«Другие вопросы в области культуры, кинематографии» 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1383,5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51,6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13,8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«Культура,  кинематография». Расходы производились на содержание казенного учреждения «Центр обеспечения деятельности  бюджетных учреждений» в сумме </w:t>
      </w:r>
      <w:r w:rsidR="00662E95"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1383,5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Исполнение расходов ниже 50,0% связано с тем, что по разделу «Культура, кинематография»  финансирование проводилось по фактической потребности. </w:t>
      </w:r>
    </w:p>
    <w:p w:rsidR="00662E95" w:rsidRPr="00662E95" w:rsidRDefault="00662E95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49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«Здравоохранение»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- 9,0 тыс. рублей, или  </w:t>
      </w:r>
      <w:r w:rsidR="00662E95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662E95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>222,1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1 полугодием 20</w:t>
      </w:r>
      <w:r w:rsidR="00662E95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334973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изменились.</w:t>
      </w:r>
    </w:p>
    <w:p w:rsidR="00A35D5D" w:rsidRPr="00A35D5D" w:rsidRDefault="00A35D5D" w:rsidP="00A35D5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334973">
        <w:rPr>
          <w:rFonts w:ascii="Times New Roman" w:eastAsia="Calibri" w:hAnsi="Times New Roman" w:cs="Times New Roman"/>
          <w:sz w:val="28"/>
          <w:szCs w:val="28"/>
        </w:rPr>
        <w:t xml:space="preserve">Расходы проведены по подразделу </w:t>
      </w:r>
      <w:r w:rsidRPr="00334973">
        <w:rPr>
          <w:rFonts w:ascii="Times New Roman" w:eastAsia="Calibri" w:hAnsi="Times New Roman" w:cs="Times New Roman"/>
          <w:i/>
          <w:sz w:val="28"/>
          <w:szCs w:val="28"/>
        </w:rPr>
        <w:t>«Другие  вопросы в области здравоохранения»</w:t>
      </w:r>
      <w:r w:rsidRPr="00334973">
        <w:rPr>
          <w:rFonts w:ascii="Times New Roman" w:eastAsia="Calibri" w:hAnsi="Times New Roman" w:cs="Times New Roman"/>
          <w:sz w:val="28"/>
          <w:szCs w:val="28"/>
        </w:rPr>
        <w:t xml:space="preserve"> на взносы в ассоциацию «Здоровые города, районы и поселки».</w:t>
      </w:r>
    </w:p>
    <w:p w:rsidR="00A35D5D" w:rsidRPr="00A35D5D" w:rsidRDefault="00A35D5D" w:rsidP="00A35D5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35D5D" w:rsidRPr="00334973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«Социальная политика»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334973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>5129,3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334973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>57,5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334973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>8913,4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По сравнению с 1 полугодием 20</w:t>
      </w:r>
      <w:r w:rsidR="00334973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334973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334973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>1189,6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34973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>30,2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A35D5D" w:rsidRPr="00334973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33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«Пенсионное обеспечение»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334973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>508,1 тыс. рублей (45,4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334973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9,9 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политика». Расходы производились на выплату доплаты к пенсиям муниципальных служащих.</w:t>
      </w:r>
    </w:p>
    <w:p w:rsidR="00A35D5D" w:rsidRPr="00334973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3349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«Социальное обеспечение»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334973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>4194,1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34973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>65,4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334973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>81,8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расходы производились на:</w:t>
      </w:r>
    </w:p>
    <w:p w:rsidR="00A35D5D" w:rsidRPr="00334973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выплату единовременной денежной компенсации специалистам, работающим и проживающим в сельской местности  – </w:t>
      </w:r>
      <w:r w:rsidR="00334973"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>786,7</w:t>
      </w:r>
      <w:r w:rsidRPr="0033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46D86" w:rsidRPr="00B46D86" w:rsidRDefault="00A35D5D" w:rsidP="00A35D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46D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B46D86" w:rsidRPr="00B46D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оказание поддержки гражданам, обучающимся в медицинских профессиональных учреждениях – 12,0 тыс. рублей;</w:t>
      </w:r>
    </w:p>
    <w:p w:rsidR="00A35D5D" w:rsidRPr="00FF08CA" w:rsidRDefault="00FF08CA" w:rsidP="00A35D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социальную поддержку детей  </w:t>
      </w:r>
      <w:r w:rsidR="00A35D5D"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из многодетных семей в сумме </w:t>
      </w:r>
      <w:r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322,0</w:t>
      </w:r>
      <w:r w:rsidR="00A35D5D"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тыс. рублей;</w:t>
      </w:r>
    </w:p>
    <w:p w:rsidR="00FF08CA" w:rsidRPr="00FF08CA" w:rsidRDefault="00A35D5D" w:rsidP="00A35D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предоставление единовременной выплаты взамен предоставления земельного  участка семьям, имеющим трех и более детей – </w:t>
      </w:r>
      <w:r w:rsidR="00FF08CA"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1359,8</w:t>
      </w:r>
      <w:r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тыс. рублей; </w:t>
      </w:r>
    </w:p>
    <w:p w:rsidR="00A35D5D" w:rsidRPr="00FF08CA" w:rsidRDefault="00A35D5D" w:rsidP="00A35D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B46D86"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приобретение жилья</w:t>
      </w:r>
      <w:r w:rsidR="005B4AE3" w:rsidRPr="005B4A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B4A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виде </w:t>
      </w:r>
      <w:r w:rsidR="005B4AE3"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субсиди</w:t>
      </w:r>
      <w:r w:rsidR="005B4AE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5B4AE3"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гражданам</w:t>
      </w:r>
      <w:r w:rsidR="00B46D86"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рамках </w:t>
      </w:r>
      <w:r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муниципальной программ</w:t>
      </w:r>
      <w:r w:rsidR="00FF08CA"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«Комплексное развитие сельских территорий» - </w:t>
      </w:r>
      <w:r w:rsidR="00FF08CA"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1713,6</w:t>
      </w:r>
      <w:r w:rsidRPr="00FF08C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тыс. рублей.</w:t>
      </w:r>
    </w:p>
    <w:p w:rsidR="00A35D5D" w:rsidRPr="00FF08CA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FF0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«Охрана семьи и детства»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FF08CA"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336,5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FF08CA"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28,0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FF08CA"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</w:t>
      </w:r>
      <w:r w:rsidR="00D95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раздела «Социальная политика».  Р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осуществлялись </w:t>
      </w:r>
      <w:r w:rsidR="00D95F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</w:t>
      </w:r>
      <w:r w:rsidR="00D95F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содержание ребенка в муниципальных образовательных учреждениях в сумме </w:t>
      </w:r>
      <w:r w:rsidR="00FF08CA"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336,5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35D5D" w:rsidRPr="00FF08CA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FF0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«Другие вопросы в области социальной политики»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</w:t>
      </w:r>
      <w:r w:rsidR="00FF08CA"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90,6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FF08CA"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51,0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или </w:t>
      </w:r>
      <w:r w:rsidR="00FF08CA"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политика». Расходы проводились на  поддержку общественной организации инвалидов в сумме  </w:t>
      </w:r>
      <w:r w:rsidR="00FF08CA"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90,6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FF08CA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</w:t>
      </w:r>
      <w:r w:rsidR="008F7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FF08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FF08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«Физическая культура и спорт»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FF08CA"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2389,6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FF08CA"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FF08CA"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35353,6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1 полугодием 20</w:t>
      </w:r>
      <w:r w:rsidR="00FF08CA"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FF08CA"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184,0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FF08CA"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A35D5D" w:rsidRPr="00FF08CA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Расходы производились на  содержание МБУ ФОК «Сухона» в сумме </w:t>
      </w:r>
      <w:r w:rsidR="00FF08CA"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2356,0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 на проведение  спортивных мероприятий в сумме </w:t>
      </w:r>
      <w:r w:rsidR="00FF08CA"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>33,</w:t>
      </w:r>
      <w:r w:rsidR="001B16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F08CA" w:rsidRDefault="00FF08CA" w:rsidP="00FF08C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и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расходов связано с тем, что по разделу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Массовый спорт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расходы </w:t>
      </w:r>
      <w:r w:rsidR="002D4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 w:rsidR="002D4F57" w:rsidRPr="0055533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D4F5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реализацию муниципальной программы  «Комплексное развитие сельских территорий  Междуреченского муниципального района на 2021-2025 года», где предусматриваются бюджетные инвестиции на капитальный ремонт (строительство стадиона) спортивной площадки МБУ ММР «Физкультурно-оздоровительный комплекс «Сухона» в сумме 30336,7 тыс. рублей, данные работы будут выполнены в 3 и 4 кварталах т.г.</w:t>
      </w:r>
      <w:r w:rsidRPr="0066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2D4F57" w:rsidRDefault="008F7CA8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A35D5D" w:rsidRPr="002D4F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«Средства массовой информации»</w:t>
      </w:r>
      <w:r w:rsidR="00A35D5D" w:rsidRPr="002D4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35D5D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4F57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>355,0</w:t>
      </w:r>
      <w:r w:rsidR="00A35D5D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50,0 % к годовым назначениям. По сравнению с 1 полугодием  20</w:t>
      </w:r>
      <w:r w:rsidR="002D4F57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5D5D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2D4F57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>17,1</w:t>
      </w:r>
      <w:r w:rsidR="00A35D5D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4F57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="00A35D5D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>%. Расходы проводились на выполнение муниципального задания АМУ «Редакция газеты «Междуречье».</w:t>
      </w: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2D4F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Межбюджетные трансферты общего характера бюджетам субъектов РФ и муниципальных образований»</w:t>
      </w:r>
      <w:r w:rsidRPr="002D4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2D4F57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>7005,1</w:t>
      </w:r>
      <w:r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D4F57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>39,9</w:t>
      </w:r>
      <w:r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2D4F57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>17559,0</w:t>
      </w:r>
      <w:r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</w:t>
      </w:r>
      <w:r w:rsidR="002D4F57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2D4F57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увеличились</w:t>
      </w:r>
      <w:r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2D4F57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>36,8</w:t>
      </w:r>
      <w:r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2D4F57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в виде дотаций направлены на поддержку поселений Междуреченского муниципального района в виде  выравнивани</w:t>
      </w:r>
      <w:r w:rsidR="003C50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обеспеченности в сумме </w:t>
      </w:r>
      <w:r w:rsidR="002D4F57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3763,9 </w:t>
      </w:r>
      <w:r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обеспечение сбалансированности бюджетов в сумме </w:t>
      </w:r>
      <w:r w:rsidR="002D4F57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>1611,3</w:t>
      </w:r>
      <w:r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иные межбюджетные трансферты в сумме </w:t>
      </w:r>
      <w:r w:rsidR="002D4F57"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>1629,9</w:t>
      </w:r>
      <w:r w:rsidRPr="002D4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35D5D" w:rsidRPr="00A35D5D" w:rsidRDefault="00A35D5D" w:rsidP="002D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B6702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района за 1 полугодия  202</w:t>
      </w:r>
      <w:r w:rsidR="00B6702D"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района.</w:t>
      </w:r>
    </w:p>
    <w:p w:rsidR="00A35D5D" w:rsidRPr="00B6702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Число муниципальных </w:t>
      </w:r>
      <w:r w:rsid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бюджетных, автономных и казенных </w:t>
      </w: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по состоянию на 01 июля 20</w:t>
      </w:r>
      <w:r w:rsidR="00B6702D"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1</w:t>
      </w:r>
      <w:r w:rsid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 – 14 и частично-1),  на  01 </w:t>
      </w: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июля 202</w:t>
      </w:r>
      <w:r w:rsidR="00B6702D"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–1</w:t>
      </w:r>
      <w:r w:rsidR="00B6702D"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– 14  и частично-1).</w:t>
      </w:r>
    </w:p>
    <w:p w:rsidR="00A35D5D" w:rsidRPr="00B6702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B67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Штатная численность работников муниципальных учреждений по состоянию на 01 июля 20</w:t>
      </w:r>
      <w:r w:rsidR="00B6702D" w:rsidRPr="00B67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B67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202</w:t>
      </w:r>
      <w:r w:rsidR="00B6702D" w:rsidRPr="00B67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670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годов отсутствует.</w:t>
      </w:r>
    </w:p>
    <w:p w:rsidR="00A35D5D" w:rsidRPr="00B6702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Объем расходов на оплату труда в муниципальных учреждениях района составил:</w:t>
      </w:r>
    </w:p>
    <w:p w:rsidR="00A35D5D" w:rsidRPr="00B6702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  20</w:t>
      </w:r>
      <w:r w:rsidR="00B6702D"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B6702D"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65944,8</w:t>
      </w: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35D5D" w:rsidRPr="00B6702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  202</w:t>
      </w:r>
      <w:r w:rsidR="00B6702D"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B6702D"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63985,2</w:t>
      </w: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B168A" w:rsidRDefault="00B6702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A35D5D"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 на оплату труда  работников муниципальных и казенных учреждений района  в сравнении с аналогичным периодом прошлого года произошло  на </w:t>
      </w: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1959,6</w:t>
      </w:r>
      <w:r w:rsidR="00A35D5D"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A35D5D"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A35D5D" w:rsidRPr="00B6702D" w:rsidRDefault="001B168A" w:rsidP="001B16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35D5D" w:rsidRPr="00B670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района представлена  следующими данными.</w:t>
      </w:r>
    </w:p>
    <w:p w:rsidR="00A35D5D" w:rsidRPr="00AF7B64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01 июля 20</w:t>
      </w:r>
      <w:r w:rsidR="00B6702D" w:rsidRPr="00AF7B6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F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B6702D" w:rsidRPr="00AF7B64">
        <w:rPr>
          <w:rFonts w:ascii="Times New Roman" w:eastAsia="Times New Roman" w:hAnsi="Times New Roman" w:cs="Times New Roman"/>
          <w:sz w:val="28"/>
          <w:szCs w:val="28"/>
          <w:lang w:eastAsia="ru-RU"/>
        </w:rPr>
        <w:t>58,5</w:t>
      </w:r>
      <w:r w:rsidRPr="00AF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ед., на 01 июля 202</w:t>
      </w:r>
      <w:r w:rsidR="00B6702D" w:rsidRPr="00AF7B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58,5 шт. единиц.</w:t>
      </w:r>
    </w:p>
    <w:p w:rsidR="00A35D5D" w:rsidRPr="0045304A" w:rsidRDefault="00A35D5D" w:rsidP="00A35D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Штатная численность работников органов местного самоуправления района на 01 июля 202</w:t>
      </w:r>
      <w:r w:rsidR="00AF7B64"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01 июля  20</w:t>
      </w:r>
      <w:r w:rsidR="00AF7B64"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5304A"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04A"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</w:t>
      </w:r>
      <w:r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D5D" w:rsidRPr="0045304A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A35D5D" w:rsidRPr="0045304A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 полугодие 20</w:t>
      </w:r>
      <w:r w:rsidR="0045304A"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-    </w:t>
      </w:r>
      <w:r w:rsidR="0045304A"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14050,8 </w:t>
      </w:r>
      <w:r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A35D5D" w:rsidRPr="0045304A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 полугодие 202</w:t>
      </w:r>
      <w:r w:rsidR="0045304A"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-    </w:t>
      </w:r>
      <w:r w:rsidR="0045304A"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14156,7</w:t>
      </w:r>
      <w:r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35D5D" w:rsidRPr="0045304A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="0045304A"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105,9</w:t>
      </w:r>
      <w:r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5304A"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что связано с повышением </w:t>
      </w:r>
      <w:r w:rsidR="0045304A"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МРОТ</w:t>
      </w:r>
      <w:r w:rsidRPr="0045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D5D" w:rsidRPr="00A35D5D" w:rsidRDefault="00A35D5D" w:rsidP="008F7C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A35D5D" w:rsidRPr="0045304A" w:rsidRDefault="00A35D5D" w:rsidP="00A35D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3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Дефицит бюджета района.    </w:t>
      </w:r>
    </w:p>
    <w:p w:rsidR="00A35D5D" w:rsidRPr="00A35D5D" w:rsidRDefault="00A35D5D" w:rsidP="00A35D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45304A" w:rsidRPr="00555D90" w:rsidRDefault="0045304A" w:rsidP="004530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5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Первоначальный бюджет района  сформирован с дефицитом в сумме </w:t>
      </w:r>
      <w:r w:rsidRPr="00555D90">
        <w:rPr>
          <w:rFonts w:ascii="Times New Roman" w:eastAsia="Times New Roman" w:hAnsi="Times New Roman" w:cs="Times New Roman"/>
          <w:sz w:val="28"/>
          <w:szCs w:val="28"/>
          <w:lang w:eastAsia="ru-RU"/>
        </w:rPr>
        <w:t>12435,0</w:t>
      </w:r>
      <w:r w:rsidRPr="00555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5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61,5</w:t>
      </w:r>
      <w:r w:rsidRPr="0055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с учетом остатка средств бюджета района на 01.01.2021 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С</w:t>
      </w:r>
      <w:r w:rsidRPr="0055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</w:t>
      </w:r>
      <w:r w:rsidRPr="001800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остатка средств на счете бюджета по состоянию  на 01.01.2021 года составляла - 20928,5 тыс. рублей.</w:t>
      </w:r>
    </w:p>
    <w:p w:rsidR="0045304A" w:rsidRPr="00DD3A86" w:rsidRDefault="0045304A" w:rsidP="004530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55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1 </w:t>
      </w:r>
      <w:r w:rsidR="00C360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полугодия</w:t>
      </w:r>
      <w:r w:rsidRPr="00555D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2021 года изменения 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бюджет района производились </w:t>
      </w:r>
      <w:r w:rsidR="00C360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два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</w:t>
      </w:r>
      <w:r w:rsidR="00311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 решени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Представительного Собрания района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360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18 мая 2021 года №</w:t>
      </w:r>
      <w:r w:rsidR="001B1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="00C360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чего дефицит бюджета увеличился на </w:t>
      </w:r>
      <w:r w:rsidR="00C3609E">
        <w:rPr>
          <w:rFonts w:ascii="Times New Roman" w:eastAsiaTheme="minorEastAsia" w:hAnsi="Times New Roman" w:cs="Times New Roman"/>
          <w:sz w:val="28"/>
          <w:szCs w:val="28"/>
          <w:lang w:eastAsia="ru-RU"/>
        </w:rPr>
        <w:t>5816,4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 и составил </w:t>
      </w:r>
      <w:r w:rsidR="00C3609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18251,4</w:t>
      </w:r>
      <w:r w:rsidRPr="00DD3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="00C36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74,7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процентов 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остатка средств бюджета района на 01.01.202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 общего объема доходов без учета </w:t>
      </w: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безвозмездных поступлений и поступлений налоговых и неналоговых доходов по дополнительным нормативам отчислений. </w:t>
      </w:r>
    </w:p>
    <w:p w:rsidR="0045304A" w:rsidRPr="00DD3A86" w:rsidRDefault="0045304A" w:rsidP="0045304A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D3A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района   является изменение остатков средств на счетах по учету средств бюджета района.</w:t>
      </w:r>
    </w:p>
    <w:p w:rsidR="0045304A" w:rsidRPr="00DD3A86" w:rsidRDefault="0045304A" w:rsidP="004530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района за 1 </w:t>
      </w:r>
      <w:r w:rsidR="00C36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DD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дефицитом в размере </w:t>
      </w:r>
      <w:r w:rsidR="00C3609E">
        <w:rPr>
          <w:rFonts w:ascii="Times New Roman" w:eastAsia="Times New Roman" w:hAnsi="Times New Roman" w:cs="Times New Roman"/>
          <w:sz w:val="28"/>
          <w:szCs w:val="28"/>
          <w:lang w:eastAsia="ru-RU"/>
        </w:rPr>
        <w:t>8542,2</w:t>
      </w:r>
      <w:r w:rsidRPr="00DD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  <w:r w:rsidRPr="00C3609E">
        <w:rPr>
          <w:rFonts w:ascii="Times New Roman" w:eastAsia="Calibri" w:hAnsi="Times New Roman" w:cs="Times New Roman"/>
          <w:sz w:val="28"/>
          <w:szCs w:val="28"/>
        </w:rPr>
        <w:t>Изменение дефицита бюджета  района отражено на следующей  диаграмме: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35D5D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3609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C3609E">
        <w:rPr>
          <w:rFonts w:ascii="Times New Roman" w:eastAsia="Calibri" w:hAnsi="Times New Roman" w:cs="Times New Roman"/>
          <w:b/>
          <w:sz w:val="32"/>
          <w:szCs w:val="32"/>
        </w:rPr>
        <w:t xml:space="preserve"> дефицит(-),  профицит (+) , тыс. руб.</w:t>
      </w:r>
    </w:p>
    <w:p w:rsidR="006A54C8" w:rsidRPr="00C3609E" w:rsidRDefault="006A54C8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35D5D" w:rsidRDefault="006A54C8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2A4F508" wp14:editId="23E2CC9C">
            <wp:extent cx="5909094" cy="3812875"/>
            <wp:effectExtent l="0" t="0" r="15875" b="165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54C8" w:rsidRPr="00A35D5D" w:rsidRDefault="006A54C8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A35D5D" w:rsidRPr="006A54C8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noProof/>
          <w:color w:val="FF0000"/>
          <w:lang w:eastAsia="ru-RU"/>
        </w:rPr>
      </w:pPr>
    </w:p>
    <w:p w:rsidR="00A35D5D" w:rsidRPr="00560FFC" w:rsidRDefault="00A35D5D" w:rsidP="00A35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560F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данных дефицита бюджета  за 1 полугодие 202</w:t>
      </w:r>
      <w:r w:rsidR="00560FFC" w:rsidRPr="00560F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данными соответствующего периода 20</w:t>
      </w:r>
      <w:r w:rsidR="00560FFC" w:rsidRPr="00560F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6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установлено следующее</w:t>
      </w:r>
      <w:r w:rsidR="00560FFC" w:rsidRPr="00560F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6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5D5D" w:rsidRPr="008F7CA8" w:rsidRDefault="00560FFC" w:rsidP="008F7C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0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первоначально утвержденный  бюджет  на 2021 год принят с дефицитом в сумме 12435,0 тыс. рублей,  на 2020 год первоначальный бюджет был принят также с дефицитом  в размере 931,4 тыс. рублей. В течение 1 полугодия 2021 года внесены изменения в бюджет района, в результате чего  дефицит бюджета увеличился  и составил  18251,4 тыс. рублей.</w:t>
      </w:r>
      <w:r w:rsidRPr="0056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60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за 1 полугодие  2021 года исполнен с дефицитом  в сумме  8542,2  тыс. рублей, за аналогичный период 2020 года бюджет исполнен также с</w:t>
      </w:r>
      <w:r w:rsidR="00E73E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60F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  в сумме 1035,9  тыс. рублей.</w:t>
      </w:r>
    </w:p>
    <w:p w:rsidR="00A35D5D" w:rsidRPr="00E73ED2" w:rsidRDefault="00A35D5D" w:rsidP="00A35D5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73ED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Долговые обязательства бюджета района.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E73ED2" w:rsidRPr="006F080D" w:rsidRDefault="00E73ED2" w:rsidP="00E73E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80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Представительного Собрания района от 18 декабря 2020 года №54  установлен верхний предел муниципального внутреннего долга района по состоянию на 1 января 2022 года в сумме  0,0 тыс. рублей.</w:t>
      </w:r>
    </w:p>
    <w:p w:rsidR="00E73ED2" w:rsidRPr="006F080D" w:rsidRDefault="00E73ED2" w:rsidP="00E73ED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района можно   предусмотреть в размере 50 % общего годового объема доходов  бюджета района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A35D5D" w:rsidRPr="008F7CA8" w:rsidRDefault="00E73ED2" w:rsidP="008F7C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6F080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</w:t>
      </w:r>
      <w:r w:rsidR="008F7CA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й в 2021 году не запланировано.</w:t>
      </w:r>
    </w:p>
    <w:p w:rsidR="00A35D5D" w:rsidRPr="00A35D5D" w:rsidRDefault="00A35D5D" w:rsidP="00A35D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A35D5D" w:rsidRPr="00FC311B" w:rsidRDefault="00A35D5D" w:rsidP="00A35D5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C311B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FC311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FC311B" w:rsidRDefault="00FC311B" w:rsidP="00A35D5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FC311B" w:rsidRPr="006F08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по состоянию на 01 января 2020 </w:t>
      </w:r>
      <w:r w:rsidR="00FC311B" w:rsidRPr="00FC31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304,0 тыс. рублей (в том числе просроченной – 0,0 тыс. рублей), </w:t>
      </w:r>
      <w:r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 </w:t>
      </w:r>
      <w:r w:rsidR="00FC311B"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FC311B"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</w:t>
      </w:r>
      <w:r w:rsidR="00FC311B" w:rsidRPr="00FC31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181,1 </w:t>
      </w:r>
      <w:r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(в том числе просроченной 0,0 тыс. рублей), на 01 </w:t>
      </w:r>
      <w:r w:rsidR="00FC311B"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 года – </w:t>
      </w:r>
      <w:r w:rsidR="00FC311B"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5054,8  </w:t>
      </w:r>
      <w:r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(в том числе просроченной – 0,0 тыс. рублей), на 01 июля 202</w:t>
      </w:r>
      <w:r w:rsidR="00FC311B"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FC311B"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>6223,2</w:t>
      </w:r>
      <w:r w:rsidR="00FC311B"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(в том числ</w:t>
      </w:r>
      <w:r w:rsidR="00FC311B"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просроченной 0,0 тыс. рулей).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</w:t>
      </w:r>
      <w:r w:rsidR="00FC311B" w:rsidRPr="00296E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на начало 2021 года по сравнению с началом прошлого года снизился    на 122,9 тыс. рублей, или  на 40,4 процента.  </w:t>
      </w: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сравнении задолженности по состоянию на 01.07.202</w:t>
      </w:r>
      <w:r w:rsidR="00FC311B"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20</w:t>
      </w:r>
      <w:r w:rsidR="00FC311B"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произошло у</w:t>
      </w:r>
      <w:r w:rsidR="00FC311B"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FC311B"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>1168,4</w:t>
      </w:r>
      <w:r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C311B"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>23,1</w:t>
      </w:r>
      <w:r w:rsidRPr="00FC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FC311B" w:rsidRPr="00362DFE" w:rsidRDefault="00A35D5D" w:rsidP="00FC311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</w:t>
      </w:r>
      <w:r w:rsidR="00FC311B"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 w:rsidR="00FC311B"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>4715,0</w:t>
      </w:r>
      <w:r w:rsidR="00FC311B" w:rsidRPr="00362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01 </w:t>
      </w:r>
      <w:r w:rsidR="00FC311B"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C311B"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FC311B"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>421,2</w:t>
      </w:r>
      <w:r w:rsidR="00FC311B" w:rsidRPr="00362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01 </w:t>
      </w:r>
      <w:r w:rsidR="00FC311B"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C311B"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</w:t>
      </w:r>
      <w:r w:rsidR="00362DFE"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>289,0</w:t>
      </w:r>
      <w:r w:rsidRPr="00362D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01 июля  2020 года – 182,4 тыс. рублей.</w:t>
      </w:r>
    </w:p>
    <w:p w:rsidR="00A35D5D" w:rsidRPr="00A35D5D" w:rsidRDefault="00362DFE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5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на начало 2021 года по сравнению с началом прошлого года увеличился на 4293,8 тыс. рублей, или в 11,2 раза.  Резкое увеличение связано с тем, что в конце 2020 года была начислена задолженность  по арендной плате за землю и имущество, также начислена просроченная задолженность по аренде земельных участков в связи с несвоевременной оплатой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35D5D"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35D5D"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бюджета района за 1 полугодие текущего года объем дебиторской задолженности у</w:t>
      </w:r>
      <w:r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="00A35D5D"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>106,6</w:t>
      </w:r>
      <w:r w:rsidR="00A35D5D"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>58,4</w:t>
      </w:r>
      <w:r w:rsidR="00A35D5D"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36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FE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(данные на 01 апреля  без учета задолженности по налоговым доходам).</w:t>
      </w:r>
    </w:p>
    <w:p w:rsidR="008F7CA8" w:rsidRPr="00A35D5D" w:rsidRDefault="008F7CA8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8F7CA8" w:rsidRDefault="008F7CA8" w:rsidP="008F7CA8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A35D5D" w:rsidRPr="00684FF3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Изменения в решение «О бюджете района на 20</w:t>
      </w:r>
      <w:r w:rsidR="00684FF3"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84FF3"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84FF3"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 проводились </w:t>
      </w:r>
      <w:r w:rsidR="00684FF3" w:rsidRPr="00684F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два раз на основании  решения  </w:t>
      </w:r>
      <w:r w:rsidR="00684FF3" w:rsidRPr="00684F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Представительного Собрания района от 18 марта  2021  года №3, от 18 мая 2021 года №</w:t>
      </w:r>
      <w:r w:rsidR="00F078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="00684FF3" w:rsidRPr="00684F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повлекло изменения в основные параметры бюджета района.</w:t>
      </w:r>
    </w:p>
    <w:p w:rsidR="00A35D5D" w:rsidRPr="00684FF3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1 полугодие  202</w:t>
      </w:r>
      <w:r w:rsidR="00684FF3"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района составили </w:t>
      </w:r>
      <w:r w:rsidR="00684FF3"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>121730,2</w:t>
      </w:r>
      <w:r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84FF3"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>39,7</w:t>
      </w:r>
      <w:r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684FF3"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>306464,0</w:t>
      </w:r>
      <w:r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 налоговые и неналоговые доходы – </w:t>
      </w:r>
      <w:r w:rsidR="00684FF3"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>36566,9</w:t>
      </w:r>
      <w:r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84FF3"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>49,8</w:t>
      </w:r>
      <w:r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безвозмездные поступления – </w:t>
      </w:r>
      <w:r w:rsidR="00684FF3"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>85163,3</w:t>
      </w:r>
      <w:r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84FF3"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>36,5</w:t>
      </w:r>
      <w:r w:rsidRPr="00684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A35D5D" w:rsidRPr="00991347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района являлись налог на доходы физических лиц,  акцизы по подакцизным товарам,  налог на совокупный доход, доходы от использования имущества, находящегося в муниципальной собственности,  доходы от продажи материальных и нематериальных активов и государственная пошлина доля которых в объеме налоговых и неналоговых доходов бюджета района составила 99,</w:t>
      </w:r>
      <w:r w:rsidR="00991347" w:rsidRPr="009913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35D5D" w:rsidRPr="00991347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района доля налоговых и неналоговых доходов составила </w:t>
      </w:r>
      <w:r w:rsidR="00991347" w:rsidRPr="00991347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99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991347" w:rsidRPr="00991347"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Pr="0099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91347" w:rsidRPr="00991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91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5D5D" w:rsidRPr="000E16D5" w:rsidRDefault="00A35D5D" w:rsidP="00A35D5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A35D5D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 </w:t>
      </w:r>
      <w:r w:rsidRPr="00EA1CDC">
        <w:rPr>
          <w:rFonts w:ascii="Times New Roman" w:eastAsia="Calibri" w:hAnsi="Times New Roman" w:cs="Times New Roman"/>
          <w:sz w:val="28"/>
          <w:szCs w:val="28"/>
        </w:rPr>
        <w:t>В сравнении с 1 полугодием  20</w:t>
      </w:r>
      <w:r w:rsidR="00EA1CDC" w:rsidRPr="00EA1CDC">
        <w:rPr>
          <w:rFonts w:ascii="Times New Roman" w:eastAsia="Calibri" w:hAnsi="Times New Roman" w:cs="Times New Roman"/>
          <w:sz w:val="28"/>
          <w:szCs w:val="28"/>
        </w:rPr>
        <w:t>20</w:t>
      </w:r>
      <w:r w:rsidRPr="00EA1CDC">
        <w:rPr>
          <w:rFonts w:ascii="Times New Roman" w:eastAsia="Calibri" w:hAnsi="Times New Roman" w:cs="Times New Roman"/>
          <w:sz w:val="28"/>
          <w:szCs w:val="28"/>
        </w:rPr>
        <w:t xml:space="preserve">  года поступление налоговых и неналоговых доходов у</w:t>
      </w:r>
      <w:r w:rsidR="00EA1CDC" w:rsidRPr="00EA1CDC">
        <w:rPr>
          <w:rFonts w:ascii="Times New Roman" w:eastAsia="Calibri" w:hAnsi="Times New Roman" w:cs="Times New Roman"/>
          <w:sz w:val="28"/>
          <w:szCs w:val="28"/>
        </w:rPr>
        <w:t>величилось</w:t>
      </w:r>
      <w:r w:rsidRPr="00EA1CD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A1CDC" w:rsidRPr="00EA1CDC">
        <w:rPr>
          <w:rFonts w:ascii="Times New Roman" w:eastAsia="Calibri" w:hAnsi="Times New Roman" w:cs="Times New Roman"/>
          <w:sz w:val="28"/>
          <w:szCs w:val="28"/>
        </w:rPr>
        <w:t>6666,4</w:t>
      </w:r>
      <w:r w:rsidRPr="00EA1CDC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 </w:t>
      </w:r>
      <w:r w:rsidR="00EA1CDC" w:rsidRPr="00EA1CDC">
        <w:rPr>
          <w:rFonts w:ascii="Times New Roman" w:eastAsia="Calibri" w:hAnsi="Times New Roman" w:cs="Times New Roman"/>
          <w:sz w:val="28"/>
          <w:szCs w:val="28"/>
        </w:rPr>
        <w:t>22,3</w:t>
      </w:r>
      <w:r w:rsidRPr="00EA1CDC">
        <w:rPr>
          <w:rFonts w:ascii="Times New Roman" w:eastAsia="Calibri" w:hAnsi="Times New Roman" w:cs="Times New Roman"/>
          <w:sz w:val="28"/>
          <w:szCs w:val="28"/>
        </w:rPr>
        <w:t>%, в том числе</w:t>
      </w:r>
      <w:r w:rsidR="00EA1CDC" w:rsidRPr="00EA1CDC">
        <w:rPr>
          <w:rFonts w:ascii="Times New Roman" w:eastAsia="Calibri" w:hAnsi="Times New Roman" w:cs="Times New Roman"/>
          <w:sz w:val="28"/>
          <w:szCs w:val="28"/>
        </w:rPr>
        <w:t>: доходы от продажи материальных и нематериальных активов на 3761,7 тыс. рублей (в 11,5 раза),   НДФЛ  на 1495,1 тыс. рублей  (на 6,2%),</w:t>
      </w:r>
      <w:r w:rsidRPr="00EA1CDC">
        <w:rPr>
          <w:rFonts w:ascii="Times New Roman" w:eastAsia="Calibri" w:hAnsi="Times New Roman" w:cs="Times New Roman"/>
          <w:sz w:val="28"/>
          <w:szCs w:val="28"/>
        </w:rPr>
        <w:t xml:space="preserve"> налог на совокупный доход  на </w:t>
      </w:r>
      <w:r w:rsidR="00EA1CDC" w:rsidRPr="00EA1CDC">
        <w:rPr>
          <w:rFonts w:ascii="Times New Roman" w:eastAsia="Calibri" w:hAnsi="Times New Roman" w:cs="Times New Roman"/>
          <w:sz w:val="28"/>
          <w:szCs w:val="28"/>
        </w:rPr>
        <w:t>1026,5  тыс. рублей (</w:t>
      </w:r>
      <w:r w:rsidRPr="00EA1CD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A1CDC" w:rsidRPr="00EA1CDC">
        <w:rPr>
          <w:rFonts w:ascii="Times New Roman" w:eastAsia="Calibri" w:hAnsi="Times New Roman" w:cs="Times New Roman"/>
          <w:sz w:val="28"/>
          <w:szCs w:val="28"/>
        </w:rPr>
        <w:t>81,6</w:t>
      </w:r>
      <w:r w:rsidRPr="00EA1CDC">
        <w:rPr>
          <w:rFonts w:ascii="Times New Roman" w:eastAsia="Calibri" w:hAnsi="Times New Roman" w:cs="Times New Roman"/>
          <w:sz w:val="28"/>
          <w:szCs w:val="28"/>
        </w:rPr>
        <w:t>%</w:t>
      </w:r>
      <w:r w:rsidR="00EA1CDC" w:rsidRPr="00EA1CDC">
        <w:rPr>
          <w:rFonts w:ascii="Times New Roman" w:eastAsia="Calibri" w:hAnsi="Times New Roman" w:cs="Times New Roman"/>
          <w:sz w:val="28"/>
          <w:szCs w:val="28"/>
        </w:rPr>
        <w:t>)</w:t>
      </w:r>
      <w:r w:rsidRPr="00EA1C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1CDC" w:rsidRPr="00EA1CDC">
        <w:rPr>
          <w:rFonts w:ascii="Times New Roman" w:eastAsia="Calibri" w:hAnsi="Times New Roman" w:cs="Times New Roman"/>
          <w:sz w:val="28"/>
          <w:szCs w:val="28"/>
        </w:rPr>
        <w:t>акцизы по подакцизным товарам на 383,5 тыс. рублей  (на 14,8%), доходы от использования имущества на 363,4 тыс. рублей (на 44,0%), платежи от оказания платных услуг и компенсация затрат государства на 2,0 тыс. рублей (на 12,4%)</w:t>
      </w:r>
      <w:r w:rsidR="00EA1CDC">
        <w:rPr>
          <w:rFonts w:ascii="Times New Roman" w:eastAsia="Calibri" w:hAnsi="Times New Roman" w:cs="Times New Roman"/>
          <w:sz w:val="28"/>
          <w:szCs w:val="28"/>
        </w:rPr>
        <w:t xml:space="preserve"> и прочие неналоговые доходы на 2,1 тыс. рублей (1</w:t>
      </w:r>
      <w:r w:rsidR="000E16D5">
        <w:rPr>
          <w:rFonts w:ascii="Times New Roman" w:eastAsia="Calibri" w:hAnsi="Times New Roman" w:cs="Times New Roman"/>
          <w:sz w:val="28"/>
          <w:szCs w:val="28"/>
        </w:rPr>
        <w:t xml:space="preserve">00,0%). </w:t>
      </w:r>
      <w:r w:rsidR="00EA1CDC" w:rsidRPr="000E16D5">
        <w:rPr>
          <w:rFonts w:ascii="Times New Roman" w:eastAsia="Calibri" w:hAnsi="Times New Roman" w:cs="Times New Roman"/>
          <w:sz w:val="28"/>
          <w:szCs w:val="28"/>
        </w:rPr>
        <w:t xml:space="preserve">Снижение  </w:t>
      </w:r>
      <w:r w:rsidRPr="000E16D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EA1CDC" w:rsidRPr="000E16D5">
        <w:rPr>
          <w:rFonts w:ascii="Times New Roman" w:eastAsia="Calibri" w:hAnsi="Times New Roman" w:cs="Times New Roman"/>
          <w:sz w:val="28"/>
          <w:szCs w:val="28"/>
        </w:rPr>
        <w:t>трем</w:t>
      </w:r>
      <w:r w:rsidRPr="000E16D5">
        <w:rPr>
          <w:rFonts w:ascii="Times New Roman" w:eastAsia="Calibri" w:hAnsi="Times New Roman" w:cs="Times New Roman"/>
          <w:sz w:val="28"/>
          <w:szCs w:val="28"/>
        </w:rPr>
        <w:t xml:space="preserve"> доходн</w:t>
      </w:r>
      <w:r w:rsidR="00EA1CDC" w:rsidRPr="000E16D5">
        <w:rPr>
          <w:rFonts w:ascii="Times New Roman" w:eastAsia="Calibri" w:hAnsi="Times New Roman" w:cs="Times New Roman"/>
          <w:sz w:val="28"/>
          <w:szCs w:val="28"/>
        </w:rPr>
        <w:t>ым</w:t>
      </w:r>
      <w:r w:rsidRPr="000E16D5">
        <w:rPr>
          <w:rFonts w:ascii="Times New Roman" w:eastAsia="Calibri" w:hAnsi="Times New Roman" w:cs="Times New Roman"/>
          <w:sz w:val="28"/>
          <w:szCs w:val="28"/>
        </w:rPr>
        <w:t xml:space="preserve"> источник</w:t>
      </w:r>
      <w:r w:rsidR="00EA1CDC" w:rsidRPr="000E16D5">
        <w:rPr>
          <w:rFonts w:ascii="Times New Roman" w:eastAsia="Calibri" w:hAnsi="Times New Roman" w:cs="Times New Roman"/>
          <w:sz w:val="28"/>
          <w:szCs w:val="28"/>
        </w:rPr>
        <w:t>ам</w:t>
      </w:r>
      <w:r w:rsidRPr="000E16D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E16D5" w:rsidRPr="000E16D5">
        <w:rPr>
          <w:rFonts w:ascii="Times New Roman" w:eastAsia="Calibri" w:hAnsi="Times New Roman" w:cs="Times New Roman"/>
          <w:sz w:val="28"/>
          <w:szCs w:val="28"/>
        </w:rPr>
        <w:t xml:space="preserve">платежи при пользовании природными ресурсами </w:t>
      </w:r>
      <w:r w:rsidR="000E16D5">
        <w:rPr>
          <w:rFonts w:ascii="Times New Roman" w:eastAsia="Calibri" w:hAnsi="Times New Roman" w:cs="Times New Roman"/>
          <w:sz w:val="28"/>
          <w:szCs w:val="28"/>
        </w:rPr>
        <w:t xml:space="preserve">на 176,0 тыс. рублей (на  5,9 раза), </w:t>
      </w:r>
      <w:r w:rsidR="000E16D5" w:rsidRPr="000E16D5">
        <w:rPr>
          <w:rFonts w:ascii="Times New Roman" w:eastAsia="Calibri" w:hAnsi="Times New Roman" w:cs="Times New Roman"/>
          <w:sz w:val="28"/>
          <w:szCs w:val="28"/>
        </w:rPr>
        <w:t xml:space="preserve"> штрафы, санкции, возмещение ущерба на 156,9 тыс. рублей (на 95,6%) и государственная пошлина на 35,0 тыс. рублей (на 12,6%)</w:t>
      </w:r>
      <w:r w:rsidRPr="000E16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5D5D" w:rsidRPr="000E16D5" w:rsidRDefault="00A35D5D" w:rsidP="00A35D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D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0E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Расходы бюджета района исполнены в сумме  </w:t>
      </w:r>
      <w:r w:rsidR="000E16D5" w:rsidRPr="000E16D5">
        <w:rPr>
          <w:rFonts w:ascii="Times New Roman" w:eastAsia="Times New Roman" w:hAnsi="Times New Roman" w:cs="Times New Roman"/>
          <w:sz w:val="28"/>
          <w:szCs w:val="28"/>
          <w:lang w:eastAsia="ru-RU"/>
        </w:rPr>
        <w:t>130272,4</w:t>
      </w:r>
      <w:r w:rsidRPr="000E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0E16D5" w:rsidRPr="000E16D5">
        <w:rPr>
          <w:rFonts w:ascii="Times New Roman" w:eastAsia="Times New Roman" w:hAnsi="Times New Roman" w:cs="Times New Roman"/>
          <w:sz w:val="28"/>
          <w:szCs w:val="28"/>
          <w:lang w:eastAsia="ru-RU"/>
        </w:rPr>
        <w:t>40,1</w:t>
      </w:r>
      <w:r w:rsidRPr="000E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0E16D5" w:rsidRPr="000E16D5">
        <w:rPr>
          <w:rFonts w:ascii="Times New Roman" w:eastAsia="Times New Roman" w:hAnsi="Times New Roman" w:cs="Times New Roman"/>
          <w:sz w:val="28"/>
          <w:szCs w:val="28"/>
          <w:lang w:eastAsia="ru-RU"/>
        </w:rPr>
        <w:t>324715,4</w:t>
      </w:r>
      <w:r w:rsidRPr="000E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A35D5D" w:rsidRPr="000E16D5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D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района в 1 полугодии  202</w:t>
      </w:r>
      <w:r w:rsidR="000E16D5" w:rsidRPr="000E16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0E16D5" w:rsidRPr="000E16D5">
        <w:rPr>
          <w:rFonts w:ascii="Times New Roman" w:eastAsia="Times New Roman" w:hAnsi="Times New Roman" w:cs="Times New Roman"/>
          <w:sz w:val="28"/>
          <w:szCs w:val="28"/>
          <w:lang w:eastAsia="ru-RU"/>
        </w:rPr>
        <w:t>82105,6</w:t>
      </w:r>
      <w:r w:rsidRPr="000E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0E16D5" w:rsidRPr="000E16D5">
        <w:rPr>
          <w:rFonts w:ascii="Times New Roman" w:eastAsia="Times New Roman" w:hAnsi="Times New Roman" w:cs="Times New Roman"/>
          <w:sz w:val="28"/>
          <w:szCs w:val="28"/>
          <w:lang w:eastAsia="ru-RU"/>
        </w:rPr>
        <w:t>63,0</w:t>
      </w:r>
      <w:r w:rsidRPr="000E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расходов бюджета района.</w:t>
      </w:r>
    </w:p>
    <w:p w:rsidR="000E16D5" w:rsidRPr="003817A1" w:rsidRDefault="000E16D5" w:rsidP="000E16D5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разделам классификации расходов, за исключением  разделов «Национальная безопасность и правоохранительная деятельность», «Образование», «Социальная политика» и «Средства массовой информации» уровень исполнения к годовым н</w:t>
      </w:r>
      <w:r w:rsidR="00265C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азначениям составил менее  50,0 процентов.</w:t>
      </w:r>
    </w:p>
    <w:p w:rsidR="00663739" w:rsidRPr="00A35D5D" w:rsidRDefault="00A35D5D" w:rsidP="006637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6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  </w:t>
      </w:r>
      <w:r w:rsidR="00663739"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сравнении задолженности по состоянию на 01.07.2021 года с аналогичным периодом 2020 года   произошло резкое  снижение   на 2240,0 тыс. рублей, или в 4,7 раза, в том числе в разрезе налоговых источников:</w:t>
      </w:r>
    </w:p>
    <w:p w:rsidR="00663739" w:rsidRPr="0040498A" w:rsidRDefault="00663739" w:rsidP="006637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0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</w:t>
      </w:r>
      <w:r w:rsidRPr="0040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1075,7 тыс. рублей, или в 4,1 раза;</w:t>
      </w:r>
    </w:p>
    <w:p w:rsidR="00663739" w:rsidRPr="0040498A" w:rsidRDefault="00663739" w:rsidP="006637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налогу,</w:t>
      </w:r>
      <w:r w:rsidRPr="0040498A">
        <w:rPr>
          <w:rFonts w:ascii="Times New Roman" w:eastAsia="Calibri" w:hAnsi="Times New Roman" w:cs="Times New Roman"/>
          <w:sz w:val="28"/>
          <w:szCs w:val="28"/>
        </w:rPr>
        <w:t xml:space="preserve"> взимаем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40498A">
        <w:rPr>
          <w:rFonts w:ascii="Times New Roman" w:eastAsia="Calibri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954,8 тыс. рублей, или в 5,4 раза;</w:t>
      </w:r>
    </w:p>
    <w:p w:rsidR="00663739" w:rsidRPr="0040498A" w:rsidRDefault="00663739" w:rsidP="006637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 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</w:t>
      </w:r>
      <w:r w:rsidRPr="0040498A">
        <w:rPr>
          <w:rFonts w:ascii="Times New Roman" w:eastAsia="Calibri" w:hAnsi="Times New Roman" w:cs="Times New Roman"/>
          <w:sz w:val="28"/>
          <w:szCs w:val="28"/>
        </w:rPr>
        <w:t>диному налогу на вмененный доход для отдельных видов деятельности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203,4 тыс. рублей, или в 6,0 раз;</w:t>
      </w:r>
    </w:p>
    <w:p w:rsidR="00663739" w:rsidRPr="0040498A" w:rsidRDefault="00663739" w:rsidP="006637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49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налогу</w:t>
      </w:r>
      <w:r w:rsidRPr="0040498A">
        <w:rPr>
          <w:rFonts w:ascii="Times New Roman" w:eastAsia="Calibri" w:hAnsi="Times New Roman" w:cs="Times New Roman"/>
          <w:sz w:val="28"/>
          <w:szCs w:val="28"/>
        </w:rPr>
        <w:t>, взимаемому в связи с применением патентной системы налогообложения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6,5 тыс. рублей, или в 2,1 раза;</w:t>
      </w:r>
    </w:p>
    <w:p w:rsidR="00663739" w:rsidRPr="0040498A" w:rsidRDefault="00663739" w:rsidP="006637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A35D5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40498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0498A">
        <w:rPr>
          <w:rFonts w:ascii="Times New Roman" w:eastAsia="Calibri" w:hAnsi="Times New Roman" w:cs="Times New Roman"/>
          <w:i/>
          <w:sz w:val="28"/>
          <w:szCs w:val="28"/>
        </w:rPr>
        <w:t xml:space="preserve">уменьшение </w:t>
      </w:r>
      <w:r w:rsidRPr="0040498A">
        <w:rPr>
          <w:rFonts w:ascii="Times New Roman" w:eastAsia="Calibri" w:hAnsi="Times New Roman" w:cs="Times New Roman"/>
          <w:sz w:val="28"/>
          <w:szCs w:val="28"/>
        </w:rPr>
        <w:t>по задолженности и перерасчетам по отмененным налогам на 12,6 тыс. рублей, или на 100,0 процентов.</w:t>
      </w:r>
    </w:p>
    <w:p w:rsidR="00663739" w:rsidRPr="0040498A" w:rsidRDefault="00663739" w:rsidP="006637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недоимки по платежам в бюджет на 01 июля  2021 года занимает задолженность по налогу на доходы физических лиц – 56,0%, на втором  и последнем месте  по налогу на совокупный доход </w:t>
      </w:r>
      <w:r w:rsidR="0083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498A">
        <w:rPr>
          <w:rFonts w:ascii="Times New Roman" w:eastAsia="Times New Roman" w:hAnsi="Times New Roman" w:cs="Times New Roman"/>
          <w:sz w:val="28"/>
          <w:szCs w:val="28"/>
          <w:lang w:eastAsia="ru-RU"/>
        </w:rPr>
        <w:t>44,0 %    от общей суммы недоимки.</w:t>
      </w:r>
    </w:p>
    <w:p w:rsidR="00A35D5D" w:rsidRPr="00663739" w:rsidRDefault="00A35D5D" w:rsidP="006637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За 1 полугодие  202</w:t>
      </w:r>
      <w:r w:rsidR="00663739" w:rsidRPr="006637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бюджет района исполнен с дефицитом  в сумме  </w:t>
      </w:r>
      <w:r w:rsidR="00663739" w:rsidRPr="00663739">
        <w:rPr>
          <w:rFonts w:ascii="Times New Roman" w:eastAsia="Times New Roman" w:hAnsi="Times New Roman" w:cs="Times New Roman"/>
          <w:sz w:val="28"/>
          <w:szCs w:val="28"/>
          <w:lang w:eastAsia="ru-RU"/>
        </w:rPr>
        <w:t>8542,2</w:t>
      </w:r>
      <w:r w:rsidRPr="0066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35D5D" w:rsidRPr="00663739" w:rsidRDefault="00663739" w:rsidP="006637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35D5D" w:rsidRPr="0066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63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сравнении кредиторской задолженности по состоянию на 01.07.2021 года с аналогичным периодом 2020 года   произошло увеличение   на 1168,4 тыс. рублей, или на 23,1 процента.</w:t>
      </w:r>
    </w:p>
    <w:p w:rsidR="00663739" w:rsidRPr="00663739" w:rsidRDefault="00A35D5D" w:rsidP="00663739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 Объем дебиторской задолженности  также </w:t>
      </w:r>
      <w:r w:rsidR="00663739" w:rsidRPr="00663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  на 106,6 тыс. рублей, или на 58,4 процента </w:t>
      </w:r>
      <w:r w:rsidR="00663739" w:rsidRPr="00663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(данные на 01 </w:t>
      </w:r>
      <w:r w:rsidR="00265C9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июля</w:t>
      </w:r>
      <w:r w:rsidR="00663739" w:rsidRPr="00663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без учета задолженности по налоговым доходам).</w:t>
      </w:r>
    </w:p>
    <w:p w:rsidR="00A35D5D" w:rsidRPr="00A35D5D" w:rsidRDefault="00A35D5D" w:rsidP="008F7C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663739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района:</w:t>
      </w: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865B8" w:rsidRDefault="00E865B8" w:rsidP="00A35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1.</w:t>
      </w:r>
      <w:r w:rsidR="00A35D5D" w:rsidRPr="00E8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Скорректировать плановый показатель на 202</w:t>
      </w:r>
      <w:r w:rsidR="00663739" w:rsidRPr="00E865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5D5D" w:rsidRPr="00E8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доходному источнику </w:t>
      </w:r>
      <w:r w:rsidR="00663739" w:rsidRPr="00265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663739" w:rsidRPr="00265C9E">
        <w:rPr>
          <w:rFonts w:ascii="Times New Roman" w:hAnsi="Times New Roman" w:cs="Times New Roman"/>
          <w:i/>
          <w:sz w:val="28"/>
          <w:szCs w:val="28"/>
        </w:rPr>
        <w:t>Прочие безвозмездные  поступления</w:t>
      </w:r>
      <w:r w:rsidR="00663739" w:rsidRPr="00E865B8">
        <w:rPr>
          <w:rFonts w:ascii="Times New Roman" w:hAnsi="Times New Roman" w:cs="Times New Roman"/>
          <w:sz w:val="28"/>
          <w:szCs w:val="28"/>
        </w:rPr>
        <w:t>»</w:t>
      </w:r>
      <w:r w:rsidR="00265C9E">
        <w:rPr>
          <w:rFonts w:ascii="Times New Roman" w:hAnsi="Times New Roman" w:cs="Times New Roman"/>
          <w:sz w:val="28"/>
          <w:szCs w:val="28"/>
        </w:rPr>
        <w:t>,</w:t>
      </w:r>
      <w:r w:rsidR="00663739" w:rsidRPr="00E865B8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265C9E">
        <w:rPr>
          <w:rFonts w:ascii="Times New Roman" w:hAnsi="Times New Roman" w:cs="Times New Roman"/>
          <w:sz w:val="28"/>
          <w:szCs w:val="28"/>
        </w:rPr>
        <w:t>,</w:t>
      </w:r>
      <w:r w:rsidR="00663739" w:rsidRPr="00E865B8">
        <w:rPr>
          <w:rFonts w:ascii="Times New Roman" w:hAnsi="Times New Roman" w:cs="Times New Roman"/>
          <w:sz w:val="28"/>
          <w:szCs w:val="28"/>
        </w:rPr>
        <w:t xml:space="preserve"> их исполнение  в 1 полугодии  2021 года составило 190,0  тыс. рублей, </w:t>
      </w:r>
      <w:r w:rsidR="00265C9E">
        <w:rPr>
          <w:rFonts w:ascii="Times New Roman" w:hAnsi="Times New Roman" w:cs="Times New Roman"/>
          <w:sz w:val="28"/>
          <w:szCs w:val="28"/>
        </w:rPr>
        <w:t>что</w:t>
      </w:r>
      <w:r w:rsidR="00663739" w:rsidRPr="00E865B8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265C9E">
        <w:rPr>
          <w:rFonts w:ascii="Times New Roman" w:hAnsi="Times New Roman" w:cs="Times New Roman"/>
          <w:sz w:val="28"/>
          <w:szCs w:val="28"/>
        </w:rPr>
        <w:t xml:space="preserve"> </w:t>
      </w:r>
      <w:r w:rsidR="00663739" w:rsidRPr="00E865B8">
        <w:rPr>
          <w:rFonts w:ascii="Times New Roman" w:hAnsi="Times New Roman" w:cs="Times New Roman"/>
          <w:sz w:val="28"/>
          <w:szCs w:val="28"/>
        </w:rPr>
        <w:t xml:space="preserve"> на 20,0 тыс. рублей, или </w:t>
      </w:r>
      <w:r w:rsidRPr="00E865B8">
        <w:rPr>
          <w:rFonts w:ascii="Times New Roman" w:hAnsi="Times New Roman" w:cs="Times New Roman"/>
          <w:sz w:val="28"/>
          <w:szCs w:val="28"/>
        </w:rPr>
        <w:t>1</w:t>
      </w:r>
      <w:r w:rsidR="00663739" w:rsidRPr="00E865B8">
        <w:rPr>
          <w:rFonts w:ascii="Times New Roman" w:hAnsi="Times New Roman" w:cs="Times New Roman"/>
          <w:sz w:val="28"/>
          <w:szCs w:val="28"/>
        </w:rPr>
        <w:t xml:space="preserve">1,8 % к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663739" w:rsidRPr="00E865B8">
        <w:rPr>
          <w:rFonts w:ascii="Times New Roman" w:hAnsi="Times New Roman" w:cs="Times New Roman"/>
          <w:sz w:val="28"/>
          <w:szCs w:val="28"/>
        </w:rPr>
        <w:t>назначениям</w:t>
      </w:r>
      <w:r w:rsidRPr="00E865B8">
        <w:rPr>
          <w:rFonts w:ascii="Times New Roman" w:hAnsi="Times New Roman" w:cs="Times New Roman"/>
          <w:sz w:val="28"/>
          <w:szCs w:val="28"/>
        </w:rPr>
        <w:t>.</w:t>
      </w:r>
      <w:r w:rsidR="00A35D5D" w:rsidRPr="00E865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65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="00E865B8" w:rsidRPr="00E865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865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внесении изменений  в решение Представительного Собрания района  «О прогнозном плане приватизации» при увеличении количества  объектов, необходимо также корректировать в сторону увеличения и  сумму  от реализации имущества.</w:t>
      </w:r>
    </w:p>
    <w:p w:rsidR="00A35D5D" w:rsidRPr="00A35D5D" w:rsidRDefault="00A35D5D" w:rsidP="00A35D5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</w:t>
      </w:r>
      <w:r w:rsidR="00E865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65B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допускать   роста кредиторской задолженности, также   принять все  необходимые меры по  ее сокращению.</w:t>
      </w:r>
    </w:p>
    <w:p w:rsidR="00A35D5D" w:rsidRPr="00E865B8" w:rsidRDefault="00A35D5D" w:rsidP="00A35D5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865B8" w:rsidRPr="00E865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65B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пополнения доходной части  бюджета района  рекомендуем принять все необходимые меры по сокращению задолженности по налоговым доходам, в части  налога на совокупный доход и налога на доходы физических лиц.</w:t>
      </w:r>
    </w:p>
    <w:p w:rsidR="00A35D5D" w:rsidRPr="008F7CA8" w:rsidRDefault="008F7CA8" w:rsidP="008F7CA8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</w:t>
      </w:r>
    </w:p>
    <w:p w:rsidR="00A35D5D" w:rsidRPr="00A35D5D" w:rsidRDefault="00A35D5D" w:rsidP="00A35D5D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5D5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</w:t>
      </w:r>
    </w:p>
    <w:p w:rsidR="00A35D5D" w:rsidRPr="00A35D5D" w:rsidRDefault="008F7CA8" w:rsidP="00A35D5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</w:p>
    <w:p w:rsidR="00A35D5D" w:rsidRPr="00E865B8" w:rsidRDefault="00A35D5D" w:rsidP="00A35D5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A35D5D" w:rsidRPr="00E865B8" w:rsidRDefault="00A35D5D" w:rsidP="00A35D5D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E86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6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6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6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М.И. Шестакова</w:t>
      </w:r>
    </w:p>
    <w:p w:rsidR="00A35D5D" w:rsidRPr="00A35D5D" w:rsidRDefault="00A35D5D" w:rsidP="00A35D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5D5D" w:rsidRPr="00A35D5D" w:rsidRDefault="00A35D5D" w:rsidP="00A35D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35D5D" w:rsidRPr="00A35D5D" w:rsidRDefault="00A35D5D" w:rsidP="00A35D5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35D5D" w:rsidRPr="00A35D5D" w:rsidRDefault="00A35D5D" w:rsidP="00A35D5D">
      <w:pPr>
        <w:rPr>
          <w:rFonts w:ascii="Calibri" w:eastAsia="Times New Roman" w:hAnsi="Calibri" w:cs="Times New Roman"/>
          <w:color w:val="FF0000"/>
          <w:lang w:eastAsia="ru-RU"/>
        </w:rPr>
      </w:pPr>
    </w:p>
    <w:p w:rsidR="00A35D5D" w:rsidRPr="00A35D5D" w:rsidRDefault="00A35D5D" w:rsidP="00A35D5D">
      <w:pPr>
        <w:rPr>
          <w:rFonts w:ascii="Calibri" w:eastAsia="Calibri" w:hAnsi="Calibri" w:cs="Times New Roman"/>
          <w:color w:val="FF0000"/>
        </w:rPr>
      </w:pPr>
    </w:p>
    <w:p w:rsidR="00A35D5D" w:rsidRPr="00A35D5D" w:rsidRDefault="00A35D5D" w:rsidP="00A35D5D">
      <w:pPr>
        <w:spacing w:after="0" w:line="240" w:lineRule="auto"/>
        <w:ind w:firstLine="705"/>
        <w:contextualSpacing/>
        <w:jc w:val="both"/>
        <w:rPr>
          <w:rFonts w:ascii="Calibri" w:eastAsia="Calibri" w:hAnsi="Calibri" w:cs="Times New Roman"/>
          <w:color w:val="FF0000"/>
        </w:rPr>
      </w:pPr>
    </w:p>
    <w:p w:rsidR="00A35D5D" w:rsidRPr="00A35D5D" w:rsidRDefault="00A35D5D" w:rsidP="00A35D5D">
      <w:pPr>
        <w:rPr>
          <w:rFonts w:ascii="Calibri" w:eastAsia="Calibri" w:hAnsi="Calibri" w:cs="Times New Roman"/>
          <w:color w:val="FF0000"/>
        </w:rPr>
      </w:pPr>
    </w:p>
    <w:p w:rsidR="00A35D5D" w:rsidRPr="00A35D5D" w:rsidRDefault="00A35D5D" w:rsidP="00A35D5D">
      <w:pPr>
        <w:rPr>
          <w:rFonts w:ascii="Calibri" w:eastAsia="Calibri" w:hAnsi="Calibri" w:cs="Times New Roman"/>
          <w:color w:val="FF0000"/>
        </w:rPr>
      </w:pPr>
    </w:p>
    <w:p w:rsidR="005170ED" w:rsidRPr="00783D3E" w:rsidRDefault="005170ED">
      <w:pPr>
        <w:rPr>
          <w:color w:val="FF0000"/>
        </w:rPr>
      </w:pPr>
    </w:p>
    <w:sectPr w:rsidR="005170ED" w:rsidRPr="00783D3E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B0" w:rsidRDefault="00031EB0" w:rsidP="00750E47">
      <w:pPr>
        <w:spacing w:after="0" w:line="240" w:lineRule="auto"/>
      </w:pPr>
      <w:r>
        <w:separator/>
      </w:r>
    </w:p>
  </w:endnote>
  <w:endnote w:type="continuationSeparator" w:id="0">
    <w:p w:rsidR="00031EB0" w:rsidRDefault="00031EB0" w:rsidP="0075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B0" w:rsidRDefault="00031EB0" w:rsidP="00750E47">
      <w:pPr>
        <w:spacing w:after="0" w:line="240" w:lineRule="auto"/>
      </w:pPr>
      <w:r>
        <w:separator/>
      </w:r>
    </w:p>
  </w:footnote>
  <w:footnote w:type="continuationSeparator" w:id="0">
    <w:p w:rsidR="00031EB0" w:rsidRDefault="00031EB0" w:rsidP="0075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72328"/>
      <w:docPartObj>
        <w:docPartGallery w:val="Page Numbers (Top of Page)"/>
        <w:docPartUnique/>
      </w:docPartObj>
    </w:sdtPr>
    <w:sdtEndPr/>
    <w:sdtContent>
      <w:p w:rsidR="0095575F" w:rsidRDefault="0095575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E01">
          <w:rPr>
            <w:noProof/>
          </w:rPr>
          <w:t>1</w:t>
        </w:r>
        <w:r>
          <w:fldChar w:fldCharType="end"/>
        </w:r>
      </w:p>
    </w:sdtContent>
  </w:sdt>
  <w:p w:rsidR="0095575F" w:rsidRDefault="009557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56"/>
    <w:rsid w:val="000038FB"/>
    <w:rsid w:val="00004840"/>
    <w:rsid w:val="00031EB0"/>
    <w:rsid w:val="00032269"/>
    <w:rsid w:val="00047316"/>
    <w:rsid w:val="0009036B"/>
    <w:rsid w:val="000968A4"/>
    <w:rsid w:val="000E10DD"/>
    <w:rsid w:val="000E16D5"/>
    <w:rsid w:val="000F135E"/>
    <w:rsid w:val="00105B47"/>
    <w:rsid w:val="00165E80"/>
    <w:rsid w:val="00166F7B"/>
    <w:rsid w:val="00174B50"/>
    <w:rsid w:val="00181573"/>
    <w:rsid w:val="00197AD6"/>
    <w:rsid w:val="001B168A"/>
    <w:rsid w:val="001F0C09"/>
    <w:rsid w:val="00225E24"/>
    <w:rsid w:val="00265C9E"/>
    <w:rsid w:val="002D4DEF"/>
    <w:rsid w:val="002D4F57"/>
    <w:rsid w:val="002D51F3"/>
    <w:rsid w:val="002E114D"/>
    <w:rsid w:val="00311AE6"/>
    <w:rsid w:val="00334973"/>
    <w:rsid w:val="00354D6C"/>
    <w:rsid w:val="00362DFE"/>
    <w:rsid w:val="003817A1"/>
    <w:rsid w:val="00383357"/>
    <w:rsid w:val="003833B7"/>
    <w:rsid w:val="003A1823"/>
    <w:rsid w:val="003C5084"/>
    <w:rsid w:val="003E7B53"/>
    <w:rsid w:val="003F554D"/>
    <w:rsid w:val="0040498A"/>
    <w:rsid w:val="0045304A"/>
    <w:rsid w:val="004E5D98"/>
    <w:rsid w:val="005170ED"/>
    <w:rsid w:val="00560FFC"/>
    <w:rsid w:val="005B0697"/>
    <w:rsid w:val="005B4AE3"/>
    <w:rsid w:val="005D503A"/>
    <w:rsid w:val="005D70DC"/>
    <w:rsid w:val="005E29B4"/>
    <w:rsid w:val="006022F3"/>
    <w:rsid w:val="00606505"/>
    <w:rsid w:val="00627F29"/>
    <w:rsid w:val="0064627D"/>
    <w:rsid w:val="00655AFA"/>
    <w:rsid w:val="006576B9"/>
    <w:rsid w:val="00662E95"/>
    <w:rsid w:val="00663739"/>
    <w:rsid w:val="006730E5"/>
    <w:rsid w:val="00684FF3"/>
    <w:rsid w:val="00691D38"/>
    <w:rsid w:val="006A54C8"/>
    <w:rsid w:val="006B34C3"/>
    <w:rsid w:val="006D1CD8"/>
    <w:rsid w:val="006E3585"/>
    <w:rsid w:val="00732527"/>
    <w:rsid w:val="00750E47"/>
    <w:rsid w:val="00763256"/>
    <w:rsid w:val="0076678C"/>
    <w:rsid w:val="00783D3E"/>
    <w:rsid w:val="00786F6A"/>
    <w:rsid w:val="007D3E27"/>
    <w:rsid w:val="00804390"/>
    <w:rsid w:val="00826554"/>
    <w:rsid w:val="008363AE"/>
    <w:rsid w:val="00837E01"/>
    <w:rsid w:val="008D5313"/>
    <w:rsid w:val="008E0F21"/>
    <w:rsid w:val="008F1746"/>
    <w:rsid w:val="008F7CA8"/>
    <w:rsid w:val="0093315F"/>
    <w:rsid w:val="00934193"/>
    <w:rsid w:val="009369B6"/>
    <w:rsid w:val="0095575F"/>
    <w:rsid w:val="0097454A"/>
    <w:rsid w:val="00985A72"/>
    <w:rsid w:val="00991347"/>
    <w:rsid w:val="0099514E"/>
    <w:rsid w:val="009E5C24"/>
    <w:rsid w:val="00A14B47"/>
    <w:rsid w:val="00A35D5D"/>
    <w:rsid w:val="00A8029C"/>
    <w:rsid w:val="00A82179"/>
    <w:rsid w:val="00AC5555"/>
    <w:rsid w:val="00AE5C29"/>
    <w:rsid w:val="00AF7B64"/>
    <w:rsid w:val="00AF7C43"/>
    <w:rsid w:val="00B11185"/>
    <w:rsid w:val="00B46D86"/>
    <w:rsid w:val="00B53B1C"/>
    <w:rsid w:val="00B66E92"/>
    <w:rsid w:val="00B6702D"/>
    <w:rsid w:val="00B91474"/>
    <w:rsid w:val="00BB7AF9"/>
    <w:rsid w:val="00BD2939"/>
    <w:rsid w:val="00BD3A76"/>
    <w:rsid w:val="00BE1969"/>
    <w:rsid w:val="00C1431F"/>
    <w:rsid w:val="00C3609E"/>
    <w:rsid w:val="00C75137"/>
    <w:rsid w:val="00CC237F"/>
    <w:rsid w:val="00CC70E7"/>
    <w:rsid w:val="00D35E31"/>
    <w:rsid w:val="00D4441D"/>
    <w:rsid w:val="00D64772"/>
    <w:rsid w:val="00D95FDD"/>
    <w:rsid w:val="00D96BE4"/>
    <w:rsid w:val="00DC18E3"/>
    <w:rsid w:val="00DC3ED1"/>
    <w:rsid w:val="00DF0259"/>
    <w:rsid w:val="00DF2626"/>
    <w:rsid w:val="00DF2C1F"/>
    <w:rsid w:val="00DF65BE"/>
    <w:rsid w:val="00E04C6A"/>
    <w:rsid w:val="00E07339"/>
    <w:rsid w:val="00E549F6"/>
    <w:rsid w:val="00E73ED2"/>
    <w:rsid w:val="00E865B8"/>
    <w:rsid w:val="00E91CC0"/>
    <w:rsid w:val="00EA1CDC"/>
    <w:rsid w:val="00ED6C85"/>
    <w:rsid w:val="00EE0F82"/>
    <w:rsid w:val="00F025E8"/>
    <w:rsid w:val="00F078D6"/>
    <w:rsid w:val="00F158B0"/>
    <w:rsid w:val="00F24F99"/>
    <w:rsid w:val="00F55CDE"/>
    <w:rsid w:val="00F956FA"/>
    <w:rsid w:val="00FB5907"/>
    <w:rsid w:val="00FC311B"/>
    <w:rsid w:val="00FE096D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5D5D"/>
  </w:style>
  <w:style w:type="paragraph" w:styleId="a3">
    <w:name w:val="header"/>
    <w:basedOn w:val="a"/>
    <w:link w:val="a4"/>
    <w:uiPriority w:val="99"/>
    <w:unhideWhenUsed/>
    <w:rsid w:val="00A35D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35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A35D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35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35D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35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5D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35D5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35D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35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5D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5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35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A35D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link w:val="Normal"/>
    <w:rsid w:val="00A35D5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698610">
    <w:name w:val="rvps698610"/>
    <w:basedOn w:val="a"/>
    <w:rsid w:val="00A35D5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5D5D"/>
    <w:rPr>
      <w:rFonts w:ascii="Times New Roman" w:hAnsi="Times New Roman" w:cs="Times New Roman" w:hint="default"/>
      <w:sz w:val="24"/>
      <w:szCs w:val="24"/>
    </w:rPr>
  </w:style>
  <w:style w:type="table" w:styleId="ac">
    <w:name w:val="Table Grid"/>
    <w:basedOn w:val="a1"/>
    <w:rsid w:val="00A35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5D5D"/>
  </w:style>
  <w:style w:type="paragraph" w:styleId="a3">
    <w:name w:val="header"/>
    <w:basedOn w:val="a"/>
    <w:link w:val="a4"/>
    <w:uiPriority w:val="99"/>
    <w:unhideWhenUsed/>
    <w:rsid w:val="00A35D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35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A35D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35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A35D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35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5D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35D5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35D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35D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5D5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5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35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"/>
    <w:link w:val="10"/>
    <w:locked/>
    <w:rsid w:val="00A35D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link w:val="Normal"/>
    <w:rsid w:val="00A35D5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698610">
    <w:name w:val="rvps698610"/>
    <w:basedOn w:val="a"/>
    <w:rsid w:val="00A35D5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5D5D"/>
    <w:rPr>
      <w:rFonts w:ascii="Times New Roman" w:hAnsi="Times New Roman" w:cs="Times New Roman" w:hint="default"/>
      <w:sz w:val="24"/>
      <w:szCs w:val="24"/>
    </w:rPr>
  </w:style>
  <w:style w:type="table" w:styleId="ac">
    <w:name w:val="Table Grid"/>
    <w:basedOn w:val="a1"/>
    <w:rsid w:val="00A35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732123273323227E-2"/>
          <c:y val="5.7792794651350357E-2"/>
          <c:w val="0.82226867768289524"/>
          <c:h val="0.782631979648091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6 месяцев  2021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1810700295217074E-3"/>
                  <c:y val="-2.7185918254199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810700295217273E-3"/>
                  <c:y val="-2.0912244810922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2.5094693773107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6729795848738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2.09122448109228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1.6729795848738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362140059043454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Лист1!$A$5:$A$14</c:f>
              <c:strCache>
                <c:ptCount val="10"/>
                <c:pt idx="0">
                  <c:v>НДФЛ</c:v>
                </c:pt>
                <c:pt idx="1">
                  <c:v>Акцизы  по подакцзным товарам</c:v>
                </c:pt>
                <c:pt idx="2">
                  <c:v>Налог на совокупный доход</c:v>
                </c:pt>
                <c:pt idx="3">
                  <c:v>Госпошлина</c:v>
                </c:pt>
                <c:pt idx="4">
                  <c:v>Доходы от использования мун. имущества</c:v>
                </c:pt>
                <c:pt idx="5">
                  <c:v>Платежи при пользовании природными ресурсами</c:v>
                </c:pt>
                <c:pt idx="6">
                  <c:v>Доходы от компенсации затрат бюджета</c:v>
                </c:pt>
                <c:pt idx="7">
                  <c:v>Доходы от продажи материальных и нематериальных активов</c:v>
                </c:pt>
                <c:pt idx="8">
                  <c:v>Штрафы, санкции, возмещение ущерба</c:v>
                </c:pt>
                <c:pt idx="9">
                  <c:v>Прочие неналоговые доходы</c:v>
                </c:pt>
              </c:strCache>
            </c:strRef>
          </c:cat>
          <c:val>
            <c:numRef>
              <c:f>Лист1!$B$5:$B$14</c:f>
              <c:numCache>
                <c:formatCode>General</c:formatCode>
                <c:ptCount val="10"/>
                <c:pt idx="0">
                  <c:v>25504.1</c:v>
                </c:pt>
                <c:pt idx="1">
                  <c:v>2971.2</c:v>
                </c:pt>
                <c:pt idx="2">
                  <c:v>2284.1999999999998</c:v>
                </c:pt>
                <c:pt idx="3">
                  <c:v>277.89999999999998</c:v>
                </c:pt>
                <c:pt idx="4">
                  <c:v>1188.7</c:v>
                </c:pt>
                <c:pt idx="5">
                  <c:v>35.799999999999997</c:v>
                </c:pt>
                <c:pt idx="6">
                  <c:v>18.100000000000001</c:v>
                </c:pt>
                <c:pt idx="7">
                  <c:v>4120.7</c:v>
                </c:pt>
                <c:pt idx="8">
                  <c:v>164.1</c:v>
                </c:pt>
                <c:pt idx="9">
                  <c:v>2.1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6 месяцев  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708147017122916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629630265695548E-2"/>
                  <c:y val="4.18244896218456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08642017713036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724280118086909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5432100885651819E-3"/>
                  <c:y val="-1.882102032983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1810700295217273E-3"/>
                  <c:y val="-2.7185918254199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Лист1!$A$5:$A$14</c:f>
              <c:strCache>
                <c:ptCount val="10"/>
                <c:pt idx="0">
                  <c:v>НДФЛ</c:v>
                </c:pt>
                <c:pt idx="1">
                  <c:v>Акцизы  по подакцзным товарам</c:v>
                </c:pt>
                <c:pt idx="2">
                  <c:v>Налог на совокупный доход</c:v>
                </c:pt>
                <c:pt idx="3">
                  <c:v>Госпошлина</c:v>
                </c:pt>
                <c:pt idx="4">
                  <c:v>Доходы от использования мун. имущества</c:v>
                </c:pt>
                <c:pt idx="5">
                  <c:v>Платежи при пользовании природными ресурсами</c:v>
                </c:pt>
                <c:pt idx="6">
                  <c:v>Доходы от компенсации затрат бюджета</c:v>
                </c:pt>
                <c:pt idx="7">
                  <c:v>Доходы от продажи материальных и нематериальных активов</c:v>
                </c:pt>
                <c:pt idx="8">
                  <c:v>Штрафы, санкции, возмещение ущерба</c:v>
                </c:pt>
                <c:pt idx="9">
                  <c:v>Прочие неналоговые доходы</c:v>
                </c:pt>
              </c:strCache>
            </c:strRef>
          </c:cat>
          <c:val>
            <c:numRef>
              <c:f>Лист1!$C$5:$C$14</c:f>
              <c:numCache>
                <c:formatCode>General</c:formatCode>
                <c:ptCount val="10"/>
                <c:pt idx="0">
                  <c:v>24009</c:v>
                </c:pt>
                <c:pt idx="1">
                  <c:v>2587.6999999999998</c:v>
                </c:pt>
                <c:pt idx="2">
                  <c:v>1257.7</c:v>
                </c:pt>
                <c:pt idx="3">
                  <c:v>312.89999999999998</c:v>
                </c:pt>
                <c:pt idx="4">
                  <c:v>825.3</c:v>
                </c:pt>
                <c:pt idx="5">
                  <c:v>211.8</c:v>
                </c:pt>
                <c:pt idx="6">
                  <c:v>16.100000000000001</c:v>
                </c:pt>
                <c:pt idx="7">
                  <c:v>359</c:v>
                </c:pt>
                <c:pt idx="8">
                  <c:v>321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00735360"/>
        <c:axId val="201212288"/>
        <c:axId val="0"/>
      </c:bar3DChart>
      <c:catAx>
        <c:axId val="200735360"/>
        <c:scaling>
          <c:orientation val="minMax"/>
        </c:scaling>
        <c:delete val="0"/>
        <c:axPos val="b"/>
        <c:majorTickMark val="out"/>
        <c:minorTickMark val="none"/>
        <c:tickLblPos val="nextTo"/>
        <c:crossAx val="201212288"/>
        <c:crosses val="autoZero"/>
        <c:auto val="1"/>
        <c:lblAlgn val="ctr"/>
        <c:lblOffset val="100"/>
        <c:noMultiLvlLbl val="0"/>
      </c:catAx>
      <c:valAx>
        <c:axId val="201212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0735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Лист1!$B$36</c:f>
              <c:strCache>
                <c:ptCount val="1"/>
                <c:pt idx="0">
                  <c:v>6 месяцев  2021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4.3112739814615223E-3"/>
                  <c:y val="-4.0573829879727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2933139234409075E-2"/>
                  <c:y val="-6.3757653371499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Лист1!$A$37:$A$43</c:f>
              <c:strCache>
                <c:ptCount val="7"/>
                <c:pt idx="0">
                  <c:v>Дотации</c:v>
                </c:pt>
                <c:pt idx="1">
                  <c:v>Субвенции</c:v>
                </c:pt>
                <c:pt idx="2">
                  <c:v>Субсидия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доходы от возврата остатков субсидий, субвенций и иных межбюджетных трансфертов</c:v>
                </c:pt>
                <c:pt idx="6">
                  <c:v>Возврат остатков субсидий, субвенций и иных межбюджетных трансфертов</c:v>
                </c:pt>
              </c:strCache>
            </c:strRef>
          </c:cat>
          <c:val>
            <c:numRef>
              <c:f>Лист1!$B$37:$B$43</c:f>
              <c:numCache>
                <c:formatCode>General</c:formatCode>
                <c:ptCount val="7"/>
                <c:pt idx="0">
                  <c:v>28489.599999999999</c:v>
                </c:pt>
                <c:pt idx="1">
                  <c:v>42300.5</c:v>
                </c:pt>
                <c:pt idx="2">
                  <c:v>13272.9</c:v>
                </c:pt>
                <c:pt idx="3">
                  <c:v>910.4</c:v>
                </c:pt>
                <c:pt idx="4">
                  <c:v>190</c:v>
                </c:pt>
                <c:pt idx="5">
                  <c:v>72.2</c:v>
                </c:pt>
                <c:pt idx="6">
                  <c:v>-72.3</c:v>
                </c:pt>
              </c:numCache>
            </c:numRef>
          </c:val>
        </c:ser>
        <c:ser>
          <c:idx val="1"/>
          <c:order val="1"/>
          <c:tx>
            <c:strRef>
              <c:f>Лист1!$C$36</c:f>
              <c:strCache>
                <c:ptCount val="1"/>
                <c:pt idx="0">
                  <c:v>6 месяцев 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Лист1!$A$37:$A$43</c:f>
              <c:strCache>
                <c:ptCount val="7"/>
                <c:pt idx="0">
                  <c:v>Дотации</c:v>
                </c:pt>
                <c:pt idx="1">
                  <c:v>Субвенции</c:v>
                </c:pt>
                <c:pt idx="2">
                  <c:v>Субсидия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доходы от возврата остатков субсидий, субвенций и иных межбюджетных трансфертов</c:v>
                </c:pt>
                <c:pt idx="6">
                  <c:v>Возврат остатков субсидий, субвенций и иных межбюджетных трансфертов</c:v>
                </c:pt>
              </c:strCache>
            </c:strRef>
          </c:cat>
          <c:val>
            <c:numRef>
              <c:f>Лист1!$C$37:$C$43</c:f>
              <c:numCache>
                <c:formatCode>General</c:formatCode>
                <c:ptCount val="7"/>
                <c:pt idx="0">
                  <c:v>35433.800000000003</c:v>
                </c:pt>
                <c:pt idx="1">
                  <c:v>47677.2</c:v>
                </c:pt>
                <c:pt idx="2">
                  <c:v>1966.7</c:v>
                </c:pt>
                <c:pt idx="3">
                  <c:v>579.4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3352704"/>
        <c:axId val="223354240"/>
        <c:axId val="0"/>
      </c:bar3DChart>
      <c:catAx>
        <c:axId val="223352704"/>
        <c:scaling>
          <c:orientation val="minMax"/>
        </c:scaling>
        <c:delete val="0"/>
        <c:axPos val="b"/>
        <c:majorTickMark val="out"/>
        <c:minorTickMark val="none"/>
        <c:tickLblPos val="nextTo"/>
        <c:crossAx val="223354240"/>
        <c:crosses val="autoZero"/>
        <c:auto val="1"/>
        <c:lblAlgn val="ctr"/>
        <c:lblOffset val="100"/>
        <c:noMultiLvlLbl val="0"/>
      </c:catAx>
      <c:valAx>
        <c:axId val="22335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352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737068816266035"/>
          <c:y val="6.7407349081364823E-2"/>
          <c:w val="0.51951911024314579"/>
          <c:h val="0.8497608923884514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Лист1!$B$88</c:f>
              <c:strCache>
                <c:ptCount val="1"/>
                <c:pt idx="0">
                  <c:v>6 месяцев 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Лист1!$A$89:$A$100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Физкультура и спорт</c:v>
                </c:pt>
                <c:pt idx="10">
                  <c:v>СМИ</c:v>
                </c:pt>
                <c:pt idx="11">
                  <c:v>МБТ муниципальным образованиям</c:v>
                </c:pt>
              </c:strCache>
            </c:strRef>
          </c:cat>
          <c:val>
            <c:numRef>
              <c:f>Лист1!$B$89:$B$100</c:f>
              <c:numCache>
                <c:formatCode>General</c:formatCode>
                <c:ptCount val="12"/>
                <c:pt idx="0">
                  <c:v>21984.1</c:v>
                </c:pt>
                <c:pt idx="1">
                  <c:v>3133.5</c:v>
                </c:pt>
                <c:pt idx="2">
                  <c:v>4804.3</c:v>
                </c:pt>
                <c:pt idx="3">
                  <c:v>10872.8</c:v>
                </c:pt>
                <c:pt idx="4">
                  <c:v>12</c:v>
                </c:pt>
                <c:pt idx="5">
                  <c:v>64532.7</c:v>
                </c:pt>
                <c:pt idx="6">
                  <c:v>10045</c:v>
                </c:pt>
                <c:pt idx="7">
                  <c:v>9</c:v>
                </c:pt>
                <c:pt idx="8">
                  <c:v>5129.3</c:v>
                </c:pt>
                <c:pt idx="9">
                  <c:v>2389.6</c:v>
                </c:pt>
                <c:pt idx="10">
                  <c:v>355</c:v>
                </c:pt>
                <c:pt idx="11">
                  <c:v>7005.1</c:v>
                </c:pt>
              </c:numCache>
            </c:numRef>
          </c:val>
        </c:ser>
        <c:ser>
          <c:idx val="1"/>
          <c:order val="1"/>
          <c:tx>
            <c:strRef>
              <c:f>Лист1!$C$88</c:f>
              <c:strCache>
                <c:ptCount val="1"/>
                <c:pt idx="0">
                  <c:v>6 месяцев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Лист1!$A$89:$A$100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Физкультура и спорт</c:v>
                </c:pt>
                <c:pt idx="10">
                  <c:v>СМИ</c:v>
                </c:pt>
                <c:pt idx="11">
                  <c:v>МБТ муниципальным образованиям</c:v>
                </c:pt>
              </c:strCache>
            </c:strRef>
          </c:cat>
          <c:val>
            <c:numRef>
              <c:f>Лист1!$C$89:$C$100</c:f>
              <c:numCache>
                <c:formatCode>General</c:formatCode>
                <c:ptCount val="12"/>
                <c:pt idx="0">
                  <c:v>20709.8</c:v>
                </c:pt>
                <c:pt idx="1">
                  <c:v>623.70000000000005</c:v>
                </c:pt>
                <c:pt idx="2">
                  <c:v>3080.6</c:v>
                </c:pt>
                <c:pt idx="3">
                  <c:v>507</c:v>
                </c:pt>
                <c:pt idx="4">
                  <c:v>8.6</c:v>
                </c:pt>
                <c:pt idx="5">
                  <c:v>68315</c:v>
                </c:pt>
                <c:pt idx="6">
                  <c:v>9888.2999999999993</c:v>
                </c:pt>
                <c:pt idx="7">
                  <c:v>9</c:v>
                </c:pt>
                <c:pt idx="8">
                  <c:v>3939.7</c:v>
                </c:pt>
                <c:pt idx="9">
                  <c:v>2205.6</c:v>
                </c:pt>
                <c:pt idx="10">
                  <c:v>337.9</c:v>
                </c:pt>
                <c:pt idx="11">
                  <c:v>6968.3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1487104"/>
        <c:axId val="201488640"/>
        <c:axId val="0"/>
      </c:bar3DChart>
      <c:catAx>
        <c:axId val="201487104"/>
        <c:scaling>
          <c:orientation val="minMax"/>
        </c:scaling>
        <c:delete val="0"/>
        <c:axPos val="l"/>
        <c:majorTickMark val="out"/>
        <c:minorTickMark val="none"/>
        <c:tickLblPos val="nextTo"/>
        <c:crossAx val="201488640"/>
        <c:crosses val="autoZero"/>
        <c:auto val="1"/>
        <c:lblAlgn val="ctr"/>
        <c:lblOffset val="100"/>
        <c:noMultiLvlLbl val="0"/>
      </c:catAx>
      <c:valAx>
        <c:axId val="2014886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1487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26380376595405"/>
          <c:y val="0.43972362204724408"/>
          <c:w val="0.22673619623404595"/>
          <c:h val="0.120552755905511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738026488231597E-2"/>
          <c:y val="0.10074413373930079"/>
          <c:w val="0.83530698716787599"/>
          <c:h val="0.798511732521398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900"/>
                      <a:t>"Общегосударственные вопросы" - </a:t>
                    </a:r>
                    <a:r>
                      <a:rPr lang="en-US" sz="900"/>
                      <a:t>16,9</a:t>
                    </a:r>
                    <a:r>
                      <a:rPr lang="ru-RU" sz="900"/>
                      <a:t>%</a:t>
                    </a:r>
                    <a:endParaRPr lang="en-US" sz="105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 </a:t>
                    </a:r>
                    <a:r>
                      <a:rPr lang="en-US"/>
                      <a:t>2,4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</a:t>
                    </a:r>
                    <a:r>
                      <a:rPr lang="en-US"/>
                      <a:t>3,7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"ЖКХ" - </a:t>
                    </a:r>
                    <a:r>
                      <a:rPr lang="en-US"/>
                      <a:t>8,3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"Охрана</a:t>
                    </a:r>
                    <a:r>
                      <a:rPr lang="ru-RU" baseline="0"/>
                      <a:t> окружающей среды</a:t>
                    </a:r>
                    <a:r>
                      <a:rPr lang="ru-RU"/>
                      <a:t>" - </a:t>
                    </a:r>
                    <a:r>
                      <a:rPr lang="en-US"/>
                      <a:t>0,01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 </a:t>
                    </a:r>
                    <a:r>
                      <a:rPr lang="en-US"/>
                      <a:t>49,5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"Культура,</a:t>
                    </a:r>
                    <a:r>
                      <a:rPr lang="ru-RU" baseline="0"/>
                      <a:t> кинематография" - </a:t>
                    </a:r>
                    <a:r>
                      <a:rPr lang="en-US"/>
                      <a:t>7,7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"Здравоохранение" -</a:t>
                    </a:r>
                    <a:r>
                      <a:rPr lang="ru-RU" baseline="0"/>
                      <a:t> </a:t>
                    </a:r>
                    <a:r>
                      <a:rPr lang="en-US"/>
                      <a:t>0,01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"Социальная политика" - </a:t>
                    </a:r>
                    <a:r>
                      <a:rPr lang="en-US"/>
                      <a:t>4</a:t>
                    </a:r>
                    <a:r>
                      <a:rPr lang="ru-RU"/>
                      <a:t>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 - </a:t>
                    </a:r>
                    <a:r>
                      <a:rPr lang="en-US"/>
                      <a:t>0,28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"МБТ" - </a:t>
                    </a:r>
                    <a:r>
                      <a:rPr lang="en-US"/>
                      <a:t>5,4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Лист1!$A$147:$A$158</c:f>
              <c:strCache>
                <c:ptCount val="12"/>
                <c:pt idx="0">
                  <c:v>Общегосуларственные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Лист1!$B$147:$B$158</c:f>
              <c:numCache>
                <c:formatCode>General</c:formatCode>
                <c:ptCount val="12"/>
                <c:pt idx="0">
                  <c:v>16.899999999999999</c:v>
                </c:pt>
                <c:pt idx="1">
                  <c:v>2.4</c:v>
                </c:pt>
                <c:pt idx="2">
                  <c:v>3.7</c:v>
                </c:pt>
                <c:pt idx="3">
                  <c:v>8.3000000000000007</c:v>
                </c:pt>
                <c:pt idx="4">
                  <c:v>0.01</c:v>
                </c:pt>
                <c:pt idx="5">
                  <c:v>49.5</c:v>
                </c:pt>
                <c:pt idx="6">
                  <c:v>7.7</c:v>
                </c:pt>
                <c:pt idx="7">
                  <c:v>0.01</c:v>
                </c:pt>
                <c:pt idx="8">
                  <c:v>4</c:v>
                </c:pt>
                <c:pt idx="9">
                  <c:v>1.8</c:v>
                </c:pt>
                <c:pt idx="10">
                  <c:v>0.28000000000000003</c:v>
                </c:pt>
                <c:pt idx="11">
                  <c:v>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Лист1!$B$305</c:f>
              <c:strCache>
                <c:ptCount val="1"/>
                <c:pt idx="0">
                  <c:v>за 6 месяцев 2021 год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Лист1!$A$306:$A$308</c:f>
              <c:strCache>
                <c:ptCount val="3"/>
                <c:pt idx="0">
                  <c:v>Первоначальный бюджет </c:v>
                </c:pt>
                <c:pt idx="1">
                  <c:v>Утвержденный бюджет с учетом поправок на 01.07.</c:v>
                </c:pt>
                <c:pt idx="2">
                  <c:v>Исполненый бюджет по состоянию  на 01.07.</c:v>
                </c:pt>
              </c:strCache>
            </c:strRef>
          </c:cat>
          <c:val>
            <c:numRef>
              <c:f>Лист1!$B$306:$B$308</c:f>
              <c:numCache>
                <c:formatCode>General</c:formatCode>
                <c:ptCount val="3"/>
                <c:pt idx="0">
                  <c:v>-12435</c:v>
                </c:pt>
                <c:pt idx="1">
                  <c:v>-18251.400000000001</c:v>
                </c:pt>
                <c:pt idx="2">
                  <c:v>-8542.2000000000007</c:v>
                </c:pt>
              </c:numCache>
            </c:numRef>
          </c:val>
        </c:ser>
        <c:ser>
          <c:idx val="1"/>
          <c:order val="1"/>
          <c:tx>
            <c:strRef>
              <c:f>Лист1!$C$305</c:f>
              <c:strCache>
                <c:ptCount val="1"/>
                <c:pt idx="0">
                  <c:v>за 6 месяцев 2020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0762116832123502E-3"/>
                  <c:y val="-4.20643215421433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7070867378315E-2"/>
                  <c:y val="-6.5433563911746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Лист1!$A$306:$A$308</c:f>
              <c:strCache>
                <c:ptCount val="3"/>
                <c:pt idx="0">
                  <c:v>Первоначальный бюджет </c:v>
                </c:pt>
                <c:pt idx="1">
                  <c:v>Утвержденный бюджет с учетом поправок на 01.07.</c:v>
                </c:pt>
                <c:pt idx="2">
                  <c:v>Исполненый бюджет по состоянию  на 01.07.</c:v>
                </c:pt>
              </c:strCache>
            </c:strRef>
          </c:cat>
          <c:val>
            <c:numRef>
              <c:f>Лист1!$C$306:$C$308</c:f>
              <c:numCache>
                <c:formatCode>General</c:formatCode>
                <c:ptCount val="3"/>
                <c:pt idx="0">
                  <c:v>-931.4</c:v>
                </c:pt>
                <c:pt idx="1">
                  <c:v>-4248</c:v>
                </c:pt>
                <c:pt idx="2">
                  <c:v>-1035.9000000000001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632832"/>
        <c:axId val="226634368"/>
      </c:barChart>
      <c:catAx>
        <c:axId val="226632832"/>
        <c:scaling>
          <c:orientation val="minMax"/>
        </c:scaling>
        <c:delete val="0"/>
        <c:axPos val="b"/>
        <c:majorTickMark val="out"/>
        <c:minorTickMark val="none"/>
        <c:tickLblPos val="nextTo"/>
        <c:crossAx val="226634368"/>
        <c:crosses val="autoZero"/>
        <c:auto val="1"/>
        <c:lblAlgn val="ctr"/>
        <c:lblOffset val="100"/>
        <c:noMultiLvlLbl val="0"/>
      </c:catAx>
      <c:valAx>
        <c:axId val="22663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632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E3CF-FBB8-4470-AEF7-A19BED10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8410</Words>
  <Characters>47942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2021-09-15T05:35:00Z</cp:lastPrinted>
  <dcterms:created xsi:type="dcterms:W3CDTF">2021-09-29T12:26:00Z</dcterms:created>
  <dcterms:modified xsi:type="dcterms:W3CDTF">2021-09-29T12:26:00Z</dcterms:modified>
</cp:coreProperties>
</file>