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426" w:right="15"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F00D5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C13598" wp14:editId="3B31D8D8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0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0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0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Pr="006F00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Утверждаю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ревизионной 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______________О.А. Дудина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00D5" w:rsidRPr="006F00D5" w:rsidRDefault="006F00D5" w:rsidP="006F00D5">
      <w:pPr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0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6F00D5" w:rsidRPr="006F00D5" w:rsidRDefault="006F00D5" w:rsidP="006F00D5">
      <w:pPr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«Об исполнении бюджета поселения Туровецкое за 20</w:t>
      </w:r>
      <w:r w:rsidR="009172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</w:t>
      </w:r>
    </w:p>
    <w:p w:rsidR="006F00D5" w:rsidRPr="006F00D5" w:rsidRDefault="006F00D5" w:rsidP="006F00D5">
      <w:pPr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00D5" w:rsidRPr="006F00D5" w:rsidRDefault="006F00D5" w:rsidP="006F00D5">
      <w:pPr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00D5" w:rsidRPr="006F00D5" w:rsidRDefault="009172BF" w:rsidP="006F00D5">
      <w:pPr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6F00D5"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апреля </w:t>
      </w:r>
      <w:r w:rsidR="006F00D5"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202</w:t>
      </w:r>
      <w:r w:rsidR="008756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F00D5"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Шуйское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00D5" w:rsidRPr="00CF3542" w:rsidRDefault="006F00D5" w:rsidP="006F00D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6F00D5" w:rsidRPr="00CF3542" w:rsidRDefault="006F00D5" w:rsidP="006F00D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1.Общие положения.........................................................................................2</w:t>
      </w:r>
    </w:p>
    <w:p w:rsidR="006F00D5" w:rsidRPr="00CF3542" w:rsidRDefault="006F00D5" w:rsidP="006F00D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2.Анализ исполнения доходной и расходной части бюджета поселения в динамике за 201</w:t>
      </w:r>
      <w:r w:rsidR="009172BF"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20</w:t>
      </w:r>
      <w:r w:rsidR="009172BF"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годы……………………………………………….2</w:t>
      </w:r>
    </w:p>
    <w:p w:rsidR="006F00D5" w:rsidRPr="00CF3542" w:rsidRDefault="006F00D5" w:rsidP="006F00D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3.Анализ показателей утвержденного бюджета с первоначально утвержденными назначениями за 20</w:t>
      </w:r>
      <w:r w:rsidR="009172BF"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год……………………………….  7</w:t>
      </w:r>
    </w:p>
    <w:p w:rsidR="006F00D5" w:rsidRPr="00CF3542" w:rsidRDefault="006F00D5" w:rsidP="006F00D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4.Анализ исполнения бюджета поселения за 20</w:t>
      </w:r>
      <w:r w:rsidR="009172BF"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CF3542"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год………………..…10</w:t>
      </w:r>
    </w:p>
    <w:p w:rsidR="006F00D5" w:rsidRPr="00CF3542" w:rsidRDefault="006F00D5" w:rsidP="006F00D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«Общегосударственные вопросы» </w:t>
      </w: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 .. . 1</w:t>
      </w:r>
      <w:r w:rsidR="00CF3542"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:rsidR="006F00D5" w:rsidRPr="00CF3542" w:rsidRDefault="006F00D5" w:rsidP="006F00D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«Национальная оборона» </w:t>
      </w: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 .1</w:t>
      </w:r>
      <w:r w:rsidR="00CF3542"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6F00D5" w:rsidRPr="00CF3542" w:rsidRDefault="006F00D5" w:rsidP="006F00D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Раздел «Национальная безопасность и правоохранительная деятельность…………………………………………………………………… ….</w:t>
      </w: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F3542"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6F00D5" w:rsidRPr="00CF3542" w:rsidRDefault="006F00D5" w:rsidP="006F00D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«Национальная экономика» </w:t>
      </w: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 . .1</w:t>
      </w:r>
      <w:r w:rsidR="00CF3542"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F354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«Жилищно-коммунальное хозяйство» </w:t>
      </w: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 .....14</w:t>
      </w:r>
      <w:r w:rsidRPr="00CF354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«Образование» </w:t>
      </w: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...................................................................................1</w:t>
      </w:r>
      <w:r w:rsidR="00CF3542"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6F00D5" w:rsidRPr="00CF3542" w:rsidRDefault="006F00D5" w:rsidP="006F00D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«Социальная политика» </w:t>
      </w: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....................................................................1</w:t>
      </w:r>
      <w:r w:rsidR="00CF3542"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6F00D5" w:rsidRPr="00CF3542" w:rsidRDefault="006F00D5" w:rsidP="006F00D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«Физическая культура и спорт» </w:t>
      </w: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 …1</w:t>
      </w:r>
      <w:r w:rsidR="00CF3542"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6F00D5" w:rsidRPr="00CF3542" w:rsidRDefault="006F00D5" w:rsidP="006F00D5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Дефицит бюджета поселения, источники его покрытия……………….</w:t>
      </w:r>
      <w:r w:rsidRPr="00CF3542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15</w:t>
      </w:r>
    </w:p>
    <w:p w:rsidR="006F00D5" w:rsidRPr="00CF3542" w:rsidRDefault="006F00D5" w:rsidP="006F00D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Муниципальный долг…………………………………………………….1</w:t>
      </w:r>
      <w:r w:rsidR="00CF3542"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</w:p>
    <w:p w:rsidR="006F00D5" w:rsidRPr="00CF3542" w:rsidRDefault="006F00D5" w:rsidP="006F00D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Кредиторская и дебиторская задолженность…………………………...1</w:t>
      </w:r>
      <w:r w:rsidR="00CF3542"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</w:p>
    <w:p w:rsidR="006F00D5" w:rsidRPr="00CF3542" w:rsidRDefault="006F00D5" w:rsidP="006F00D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Резервный фонд…………………………………………………………...1</w:t>
      </w:r>
      <w:r w:rsidR="00CF3542"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</w:p>
    <w:p w:rsidR="006F00D5" w:rsidRPr="00CF3542" w:rsidRDefault="006F00D5" w:rsidP="006F00D5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Выводы и предложения…………………………………………………..1</w:t>
      </w:r>
      <w:r w:rsidR="00CF3542" w:rsidRPr="00CF354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</w:p>
    <w:p w:rsidR="006F00D5" w:rsidRPr="00CF3542" w:rsidRDefault="006F00D5" w:rsidP="006F00D5">
      <w:pPr>
        <w:tabs>
          <w:tab w:val="left" w:pos="9356"/>
        </w:tabs>
        <w:spacing w:after="0" w:line="240" w:lineRule="auto"/>
        <w:ind w:right="15"/>
        <w:contextualSpacing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F00D5" w:rsidRPr="00CF3542" w:rsidRDefault="006F00D5" w:rsidP="006F00D5">
      <w:pPr>
        <w:spacing w:after="0" w:line="240" w:lineRule="auto"/>
        <w:ind w:right="15"/>
        <w:contextualSpacing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F00D5" w:rsidRPr="00CF3542" w:rsidRDefault="006F00D5" w:rsidP="006F00D5">
      <w:pPr>
        <w:spacing w:after="0" w:line="240" w:lineRule="auto"/>
        <w:ind w:right="15"/>
        <w:contextualSpacing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F00D5" w:rsidRPr="00CF3542" w:rsidRDefault="006F00D5" w:rsidP="006F00D5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F354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-284" w:right="15" w:hanging="142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Заключение ревизионной комиссии Представительного Собрания района на отчет об исполнении бюджета поселения Туровецкое за 20</w:t>
      </w:r>
      <w:r w:rsidR="009172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подготовлено в соответствии с требованиями  статьи 264.4 Бюджетного кодекса Российской Федерации, решением Совета поселения Туровецкое  «О бюджетном процессе», решения Представительного Собрания района «О ревизионной комиссии Представительного Собрания Междуреченского муниципального района».</w:t>
      </w:r>
      <w:r w:rsidRPr="006F00D5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                                                        </w:t>
      </w:r>
    </w:p>
    <w:p w:rsidR="006F00D5" w:rsidRPr="006B738E" w:rsidRDefault="006F00D5" w:rsidP="006F00D5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F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поселения за 20</w:t>
      </w:r>
      <w:r w:rsidR="009172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предоставлен администрацией поселения Туровецкое в Совет поселения  Туровецкое </w:t>
      </w:r>
      <w:r w:rsid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</w:t>
      </w: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требованиями, установленными  главой 25.1 «Основы составления, внешней проверки, рассмотрения и утверждения бюджетной отчетности» Бюджетного кодекса РФ и статьями 41 «Внешняя проверка годового отчета об исполнении бюджета»  и 42 «Заключение о внешней проверке» Положения о бюджетном процессе,  утвержденного решением Совета поселения Туровецкое от 05 декабря 2014  года № 37</w:t>
      </w:r>
      <w:r w:rsidRPr="006B738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6B738E" w:rsidRPr="006B738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6B738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6B738E" w:rsidRPr="006B73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Годовой отчет об исполнении бюджета поселения за 2020 год представлен в ревизионную комиссию Представительного Собрания района  с нарушением  установленного срока. </w:t>
      </w:r>
      <w:r w:rsidR="006B738E" w:rsidRPr="006B738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6F00D5" w:rsidRPr="006F00D5" w:rsidRDefault="006F00D5" w:rsidP="006F00D5">
      <w:pPr>
        <w:keepLines/>
        <w:spacing w:before="100" w:beforeAutospacing="1"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со статьей 264.6 Бюджетного кодекса Российской Федерации представляются следующие документы: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0D5">
        <w:rPr>
          <w:rFonts w:ascii="Times New Roman" w:hAnsi="Times New Roman" w:cs="Times New Roman"/>
          <w:iCs/>
          <w:sz w:val="28"/>
          <w:szCs w:val="28"/>
        </w:rPr>
        <w:t xml:space="preserve">       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0D5">
        <w:rPr>
          <w:rFonts w:ascii="Times New Roman" w:hAnsi="Times New Roman" w:cs="Times New Roman"/>
          <w:iCs/>
          <w:sz w:val="28"/>
          <w:szCs w:val="28"/>
        </w:rPr>
        <w:t xml:space="preserve">       Отдельными приложениями к закону (решению) об исполнении бюджета за отчетный финансовый год утверждаются показатели: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0D5">
        <w:rPr>
          <w:rFonts w:ascii="Times New Roman" w:hAnsi="Times New Roman" w:cs="Times New Roman"/>
          <w:iCs/>
          <w:sz w:val="28"/>
          <w:szCs w:val="28"/>
        </w:rPr>
        <w:t xml:space="preserve">         доходов бюджета по кодам классификации доходов бюджетов;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0D5">
        <w:rPr>
          <w:rFonts w:ascii="Times New Roman" w:hAnsi="Times New Roman" w:cs="Times New Roman"/>
          <w:iCs/>
          <w:sz w:val="28"/>
          <w:szCs w:val="28"/>
        </w:rPr>
        <w:t xml:space="preserve">         расходов бюджета по ведомственной структуре расходов соответствующего бюджета;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0D5">
        <w:rPr>
          <w:rFonts w:ascii="Times New Roman" w:hAnsi="Times New Roman" w:cs="Times New Roman"/>
          <w:iCs/>
          <w:sz w:val="28"/>
          <w:szCs w:val="28"/>
        </w:rPr>
        <w:t xml:space="preserve">          расходов бюджета по разделам и подразделам классификации расходов бюджетов;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00D5">
        <w:rPr>
          <w:rFonts w:ascii="Times New Roman" w:hAnsi="Times New Roman" w:cs="Times New Roman"/>
          <w:iCs/>
          <w:sz w:val="28"/>
          <w:szCs w:val="28"/>
        </w:rPr>
        <w:t xml:space="preserve">         источников финансирования дефицита бюджета по кодам классификации источников финансирования дефицитов бюджетов.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00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</w:t>
      </w: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предоставленных документов и материалов к отчету об исполнении бюджета поселения за 20</w:t>
      </w:r>
      <w:r w:rsidR="009172B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соответствует перечню, установленному статьей  43 Положения о бюджетном процессе, утвержденного решением Совета поселения от 05 декабря 2014 года №37</w:t>
      </w:r>
      <w:r w:rsidRPr="006F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нормам статьи 264.6 Бюджетного кодекса Российской Федерации</w:t>
      </w: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D5" w:rsidRPr="006F00D5" w:rsidRDefault="006F00D5" w:rsidP="006F0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D5" w:rsidRPr="006F00D5" w:rsidRDefault="006F00D5" w:rsidP="006F00D5">
      <w:pPr>
        <w:keepLines/>
        <w:spacing w:before="100" w:beforeAutospacing="1" w:after="0" w:line="240" w:lineRule="auto"/>
        <w:ind w:left="426" w:right="15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исполнения доходной и расходной части бюджета поселения в динамике за 201</w:t>
      </w:r>
      <w:r w:rsidR="009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F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20</w:t>
      </w:r>
      <w:r w:rsidR="009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6F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6F00D5" w:rsidRPr="006F00D5" w:rsidRDefault="006F00D5" w:rsidP="006F00D5">
      <w:pPr>
        <w:keepLines/>
        <w:spacing w:before="100" w:beforeAutospacing="1" w:after="0" w:line="240" w:lineRule="auto"/>
        <w:ind w:left="426" w:right="15"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0D5" w:rsidRPr="006F00D5" w:rsidRDefault="006F00D5" w:rsidP="006F00D5">
      <w:pPr>
        <w:spacing w:after="0" w:line="240" w:lineRule="auto"/>
        <w:ind w:left="426" w:firstLine="351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00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Динамика исполнения бюджета поселения за 201</w:t>
      </w:r>
      <w:r w:rsidR="009172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6F00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</w:t>
      </w:r>
      <w:r w:rsidR="009172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6F00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</w:t>
      </w: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F00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тыс. руб.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134"/>
        <w:gridCol w:w="1134"/>
        <w:gridCol w:w="1276"/>
        <w:gridCol w:w="1276"/>
      </w:tblGrid>
      <w:tr w:rsidR="003011B2" w:rsidRPr="006C5DD3" w:rsidTr="003011B2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6C5DD3" w:rsidRDefault="006F00D5" w:rsidP="006F00D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6C5DD3" w:rsidRDefault="006F00D5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00D5" w:rsidRPr="006C5DD3" w:rsidRDefault="006F00D5" w:rsidP="003011B2">
            <w:pPr>
              <w:spacing w:after="0" w:line="240" w:lineRule="auto"/>
              <w:ind w:lef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бюджета поселения за 201</w:t>
            </w:r>
            <w:r w:rsidR="003011B2"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00D5" w:rsidRPr="006C5DD3" w:rsidRDefault="006F00D5" w:rsidP="003011B2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бюджета поселения за 20</w:t>
            </w:r>
            <w:r w:rsidR="003011B2"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0D5" w:rsidRPr="006C5DD3" w:rsidRDefault="006F00D5" w:rsidP="003011B2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показателей исполнения бюджета поселения 20</w:t>
            </w:r>
            <w:r w:rsidR="003011B2"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к 201</w:t>
            </w:r>
            <w:r w:rsidR="003011B2"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</w:tr>
      <w:tr w:rsidR="003011B2" w:rsidRPr="006C5DD3" w:rsidTr="003011B2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6C5DD3" w:rsidRDefault="006F00D5" w:rsidP="006F00D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00D5" w:rsidRPr="006C5DD3" w:rsidRDefault="006F00D5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6C5DD3" w:rsidRDefault="006F00D5" w:rsidP="006F00D5">
            <w:pPr>
              <w:spacing w:after="0" w:line="240" w:lineRule="auto"/>
              <w:ind w:lef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6C5DD3" w:rsidRDefault="006F00D5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6C5DD3" w:rsidRDefault="006F00D5" w:rsidP="006F00D5">
            <w:pPr>
              <w:tabs>
                <w:tab w:val="left" w:pos="34"/>
              </w:tabs>
              <w:spacing w:after="0" w:line="240" w:lineRule="auto"/>
              <w:ind w:left="175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6C5DD3" w:rsidRDefault="006F00D5" w:rsidP="006F00D5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011B2" w:rsidRPr="006C5DD3" w:rsidTr="003011B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79,7</w:t>
            </w:r>
          </w:p>
        </w:tc>
      </w:tr>
      <w:tr w:rsidR="003011B2" w:rsidRPr="006C5DD3" w:rsidTr="003011B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3011B2" w:rsidRPr="006C5DD3" w:rsidTr="003011B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Налог  на имущество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3011B2" w:rsidRPr="006C5DD3" w:rsidTr="003011B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3011B2" w:rsidRPr="006C5DD3" w:rsidTr="003011B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3011B2" w:rsidRPr="006C5DD3" w:rsidTr="003011B2">
        <w:trPr>
          <w:trHeight w:val="2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3011B2" w:rsidRPr="006C5DD3" w:rsidTr="003011B2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реализации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011B2" w:rsidRPr="006C5DD3" w:rsidTr="006C5DD3">
        <w:trPr>
          <w:trHeight w:val="5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408,1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3011B2" w:rsidRPr="006C5DD3" w:rsidRDefault="00DF3B48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-47,9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3011B2" w:rsidRPr="006C5DD3" w:rsidRDefault="00DF3B48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89,5</w:t>
            </w:r>
          </w:p>
        </w:tc>
      </w:tr>
      <w:tr w:rsidR="00DF3B48" w:rsidRPr="006C5DD3" w:rsidTr="00DF3B48">
        <w:trPr>
          <w:trHeight w:val="4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DF3B48" w:rsidRPr="006C5DD3" w:rsidRDefault="00DF3B48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DF3B48" w:rsidRPr="006C5DD3" w:rsidRDefault="00DF3B48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DF3B48" w:rsidRPr="006C5DD3" w:rsidRDefault="00DF3B48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5184,7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DF3B48" w:rsidRPr="006C5DD3" w:rsidRDefault="00DF3B48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4806,1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DF3B48" w:rsidRPr="006C5DD3" w:rsidRDefault="00DF3B48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-378,6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DF3B48" w:rsidRPr="006C5DD3" w:rsidRDefault="00DF3B48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92,7</w:t>
            </w:r>
          </w:p>
        </w:tc>
      </w:tr>
      <w:tr w:rsidR="003011B2" w:rsidRPr="006C5DD3" w:rsidTr="003011B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DF3B48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DF3B48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3011B2" w:rsidRPr="006C5DD3" w:rsidTr="003011B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DF3B48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DF3B48" w:rsidP="00DF3B48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3011B2" w:rsidRPr="006C5DD3" w:rsidTr="003011B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и передаваемых полномочий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DF3B48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DF3B48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3011B2" w:rsidRPr="006C5DD3" w:rsidTr="003011B2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DF3B48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DF3B48" w:rsidP="006F00D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3011B2" w:rsidRPr="006C5DD3" w:rsidTr="003011B2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предоставляемые физическими и юридическими лицами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DF3B48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DF3B48" w:rsidP="006F00D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3011B2" w:rsidRPr="006C5DD3" w:rsidTr="003011B2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DF3B48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DF3B48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011B2" w:rsidRPr="006C5DD3" w:rsidTr="003011B2">
        <w:trPr>
          <w:trHeight w:val="4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 w:hanging="34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5D40B4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5214,2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DF3B48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-426,5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DF3B48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92,4</w:t>
            </w:r>
          </w:p>
        </w:tc>
      </w:tr>
      <w:tr w:rsidR="003011B2" w:rsidRPr="006C5DD3" w:rsidTr="003011B2">
        <w:trPr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17" w:right="-108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011B2" w:rsidRPr="006C5DD3" w:rsidTr="003011B2">
        <w:trPr>
          <w:trHeight w:val="2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3011B2" w:rsidRPr="006C5DD3" w:rsidTr="003011B2">
        <w:trPr>
          <w:trHeight w:val="2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3011B2" w:rsidRPr="006C5DD3" w:rsidTr="003011B2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4,3 раза</w:t>
            </w:r>
          </w:p>
        </w:tc>
      </w:tr>
      <w:tr w:rsidR="003011B2" w:rsidRPr="006C5DD3" w:rsidTr="003011B2">
        <w:trPr>
          <w:trHeight w:val="3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</w:tr>
      <w:tr w:rsidR="003011B2" w:rsidRPr="006C5DD3" w:rsidTr="003011B2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</w:tr>
      <w:tr w:rsidR="003011B2" w:rsidRPr="006C5DD3" w:rsidTr="003011B2">
        <w:trPr>
          <w:trHeight w:val="2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3011B2" w:rsidRPr="006C5DD3" w:rsidTr="003011B2">
        <w:trPr>
          <w:trHeight w:val="2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3011B2" w:rsidRPr="006C5DD3" w:rsidTr="003011B2">
        <w:trPr>
          <w:trHeight w:val="2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3011B2" w:rsidRPr="006C5DD3" w:rsidTr="003011B2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191" w:right="-108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1B2" w:rsidRPr="006C5DD3" w:rsidRDefault="003011B2" w:rsidP="006F00D5">
            <w:pPr>
              <w:spacing w:after="0" w:line="240" w:lineRule="auto"/>
              <w:ind w:left="-391" w:firstLine="391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3011B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677A24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4974,6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98606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-678,7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C5DD3" w:rsidRDefault="0098606B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88,0</w:t>
            </w:r>
          </w:p>
        </w:tc>
      </w:tr>
    </w:tbl>
    <w:p w:rsidR="006F00D5" w:rsidRPr="006C5DD3" w:rsidRDefault="006F00D5" w:rsidP="006F00D5">
      <w:pPr>
        <w:spacing w:after="0" w:line="240" w:lineRule="auto"/>
        <w:ind w:left="426" w:firstLine="3"/>
        <w:contextualSpacing/>
        <w:jc w:val="both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</w:p>
    <w:p w:rsidR="006F00D5" w:rsidRPr="009172BF" w:rsidRDefault="006F00D5" w:rsidP="006F00D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5D40B4"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  <w:tab/>
        <w:t xml:space="preserve"> </w:t>
      </w:r>
      <w:r w:rsidRPr="006C5D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Анализируя исполнение бюджета поселения за</w:t>
      </w:r>
      <w:r w:rsidRPr="006C5DD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6C5DD3" w:rsidRPr="006C5DD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6C5DD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-20</w:t>
      </w:r>
      <w:r w:rsidR="006C5DD3" w:rsidRPr="006C5DD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6C5DD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C5D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годы необходимо отметить, что доходная часть в целом в 20</w:t>
      </w:r>
      <w:r w:rsidR="006C5DD3" w:rsidRPr="006C5D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8756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5D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году у</w:t>
      </w:r>
      <w:r w:rsidR="006C5DD3" w:rsidRPr="006C5D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меньшилась</w:t>
      </w:r>
      <w:r w:rsidRPr="006C5D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сравнению с 201</w:t>
      </w:r>
      <w:r w:rsidR="006C5DD3" w:rsidRPr="006C5D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C5D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годом на </w:t>
      </w:r>
      <w:r w:rsidR="006C5DD3" w:rsidRPr="006C5D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426,5</w:t>
      </w:r>
      <w:r w:rsidRPr="006C5D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  тыс. рублей, или на </w:t>
      </w:r>
      <w:r w:rsidR="006C5DD3" w:rsidRPr="006C5D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7,6</w:t>
      </w:r>
      <w:r w:rsidRPr="006C5D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%, в том числе в части собственных доходов на </w:t>
      </w:r>
      <w:r w:rsidR="006C5DD3" w:rsidRPr="006C5D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47,9</w:t>
      </w:r>
      <w:r w:rsidRPr="006C5D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на </w:t>
      </w:r>
      <w:r w:rsidR="006C5DD3" w:rsidRPr="006C5D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10,5</w:t>
      </w:r>
      <w:r w:rsidRPr="006C5DD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процента. </w:t>
      </w:r>
    </w:p>
    <w:p w:rsidR="006F00D5" w:rsidRPr="00762C58" w:rsidRDefault="006F00D5" w:rsidP="006F00D5">
      <w:pPr>
        <w:spacing w:after="0" w:line="240" w:lineRule="auto"/>
        <w:ind w:firstLine="3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 части безвозмездных поступлений произошло также у</w:t>
      </w:r>
      <w:r w:rsidR="006C5DD3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меньшение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6C5DD3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378,6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на </w:t>
      </w:r>
      <w:r w:rsidR="006C5DD3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7,3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%, что связано с у</w:t>
      </w:r>
      <w:r w:rsidR="006C5DD3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меньшением 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20</w:t>
      </w:r>
      <w:r w:rsidR="006C5DD3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  </w:t>
      </w:r>
      <w:r w:rsidR="006C5DD3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дотаций 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бюджетам  сельских поселений в сумме </w:t>
      </w:r>
      <w:r w:rsidR="006C5DD3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18,4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8756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5DD3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0,7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раза, </w:t>
      </w:r>
      <w:r w:rsidR="00762C5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субсидий </w:t>
      </w:r>
      <w:r w:rsidR="006C5DD3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бюджетам поселений в сумме 387,6 тыс. р</w:t>
      </w:r>
      <w:r w:rsidR="00762C5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ублей, или на 50,3 %, предоставляемых физическими и юридическими лицами на 41,6 тыс. рублей, или на 57,1%. Увеличение по субвенциям бюджетам сельских поселений на 3,0 тыс. рублей, или на 3,2%, по 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межбюджетны</w:t>
      </w:r>
      <w:r w:rsidR="00762C5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трансферт</w:t>
      </w:r>
      <w:r w:rsidR="00762C5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передаваемых  бюджетам  муниципальных образований на осуществление полномочий  по решению вопросов местного значения в соответствии с заключенными соглашениями на </w:t>
      </w:r>
      <w:r w:rsidR="00762C5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22,5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рублей, или </w:t>
      </w:r>
      <w:r w:rsidR="00762C5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1,4%</w:t>
      </w:r>
      <w:r w:rsidR="008756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62C5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возврату остатков субсидий, субвенций и иных межбюджетных трансфертов, имеющих целевое назначение прошлых лет из бюджетов сельских поселений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762C5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53,5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</w:t>
      </w:r>
      <w:r w:rsidR="00762C5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100,0 процентов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00D5" w:rsidRPr="008A4A79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Расходная часть бюджета  поселения в 20</w:t>
      </w:r>
      <w:r w:rsidR="00762C5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 по сравнению с 201</w:t>
      </w:r>
      <w:r w:rsidR="00762C5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годом  также у</w:t>
      </w:r>
      <w:r w:rsidR="00762C5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меньши</w:t>
      </w:r>
      <w:r w:rsidR="008756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лась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762C5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678,7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рублей, или на </w:t>
      </w:r>
      <w:r w:rsidR="00762C5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12,0</w:t>
      </w:r>
      <w:r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762C5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числе: общегосударственные вопросы на 266,8 тыс. рублей (на 10,0%), 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жилищно-коммунальное хозяйство на 582,9 тыс. рублей (на 51,5%), образование на 0,2 тыс. рублей (на 28,6%). 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Увеличение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4A79" w:rsidRPr="008A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</w:t>
      </w:r>
      <w:r w:rsidR="008A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r w:rsidR="008A4A79" w:rsidRPr="008A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оборон</w:t>
      </w:r>
      <w:r w:rsidR="008A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1,4 тыс. рублей (на 1,5%),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национальн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безопасност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правоохранительн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15,6 тыс. рублей (в 4,3 раза), 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национальн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экономик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34,3 тыс. рублей (на 13,0%),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социальн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политик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36,7 тыс. рублей (на 23,0%), 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физическ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культур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спорт</w:t>
      </w:r>
      <w:r w:rsid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8A4A79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36,7 тыс. рублей (на 23,0%).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6F00D5" w:rsidRPr="003011B2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30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исполнения бюджета поселения в динамике за 201</w:t>
      </w:r>
      <w:r w:rsidR="003011B2" w:rsidRPr="0030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0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</w:t>
      </w:r>
      <w:r w:rsidR="003011B2" w:rsidRPr="0030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011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представлена следующими данными:</w:t>
      </w:r>
    </w:p>
    <w:p w:rsidR="006F00D5" w:rsidRPr="003011B2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00D5" w:rsidRPr="003011B2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00D5" w:rsidRPr="003011B2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00D5" w:rsidRPr="003011B2" w:rsidRDefault="006F00D5" w:rsidP="006F00D5">
      <w:pPr>
        <w:spacing w:after="0" w:line="240" w:lineRule="auto"/>
        <w:ind w:left="426" w:firstLine="3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11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Структура  бюджета поселения за 201</w:t>
      </w:r>
      <w:r w:rsidR="003011B2" w:rsidRPr="003011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3011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-20</w:t>
      </w:r>
      <w:r w:rsidR="003011B2" w:rsidRPr="003011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3011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6F00D5" w:rsidRPr="003011B2" w:rsidRDefault="006F00D5" w:rsidP="006F00D5">
      <w:pPr>
        <w:spacing w:after="0" w:line="240" w:lineRule="auto"/>
        <w:ind w:left="426" w:firstLine="3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10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992"/>
        <w:gridCol w:w="86"/>
        <w:gridCol w:w="1331"/>
        <w:gridCol w:w="1020"/>
        <w:gridCol w:w="114"/>
        <w:gridCol w:w="122"/>
        <w:gridCol w:w="1296"/>
        <w:gridCol w:w="1071"/>
      </w:tblGrid>
      <w:tr w:rsidR="009172BF" w:rsidRPr="006373EF" w:rsidTr="00A47B32">
        <w:trPr>
          <w:trHeight w:val="2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6373EF" w:rsidRDefault="006F00D5" w:rsidP="006F00D5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6373EF" w:rsidRDefault="006F00D5" w:rsidP="006F00D5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6373EF" w:rsidRDefault="006F00D5" w:rsidP="006F00D5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6373EF" w:rsidRDefault="006F00D5" w:rsidP="006F00D5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6373EF" w:rsidRDefault="006F00D5" w:rsidP="006F00D5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6373EF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 w:rsidRPr="00C95EC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9172BF" w:rsidRPr="006373EF" w:rsidTr="00A47B32">
        <w:trPr>
          <w:gridAfter w:val="1"/>
          <w:wAfter w:w="1071" w:type="dxa"/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6373EF" w:rsidRDefault="006F00D5" w:rsidP="006F00D5">
            <w:pPr>
              <w:spacing w:after="0" w:line="240" w:lineRule="auto"/>
              <w:ind w:left="426" w:hanging="5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6373EF" w:rsidRDefault="006F00D5" w:rsidP="006F00D5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0D5" w:rsidRPr="006373EF" w:rsidRDefault="006F00D5" w:rsidP="003011B2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бюджета поселения за        201</w:t>
            </w:r>
            <w:r w:rsidR="003011B2"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0D5" w:rsidRPr="006373EF" w:rsidRDefault="006F00D5" w:rsidP="003011B2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бюджета поселения за        20</w:t>
            </w:r>
            <w:r w:rsidR="003011B2"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011B2" w:rsidRPr="006373EF" w:rsidTr="00A47B32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373EF" w:rsidRDefault="003011B2" w:rsidP="006F00D5">
            <w:pPr>
              <w:spacing w:after="0" w:line="240" w:lineRule="auto"/>
              <w:ind w:left="426" w:hanging="53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11B2" w:rsidRPr="006373EF" w:rsidRDefault="003011B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373EF" w:rsidRDefault="003011B2" w:rsidP="003011B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373EF" w:rsidRDefault="003011B2" w:rsidP="003011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вес в структуре доходов, расходов</w:t>
            </w:r>
          </w:p>
          <w:p w:rsidR="003011B2" w:rsidRPr="006373EF" w:rsidRDefault="003011B2" w:rsidP="003011B2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373EF" w:rsidRDefault="003011B2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1B2" w:rsidRPr="006373EF" w:rsidRDefault="003011B2" w:rsidP="006F00D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вес в структуре доходов, расходов</w:t>
            </w:r>
          </w:p>
          <w:p w:rsidR="003011B2" w:rsidRPr="006373EF" w:rsidRDefault="003011B2" w:rsidP="006F00D5">
            <w:pPr>
              <w:spacing w:after="0" w:line="240" w:lineRule="auto"/>
              <w:ind w:left="426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%)</w:t>
            </w:r>
          </w:p>
        </w:tc>
      </w:tr>
      <w:tr w:rsidR="00A47B32" w:rsidRPr="006373EF" w:rsidTr="00A47B32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7,0</w:t>
            </w:r>
          </w:p>
        </w:tc>
      </w:tr>
      <w:tr w:rsidR="00A47B32" w:rsidRPr="006373EF" w:rsidTr="00A47B32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A47B32" w:rsidRPr="006373EF" w:rsidTr="00A47B32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A47B32" w:rsidRPr="006373EF" w:rsidTr="00A47B32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A47B32" w:rsidRPr="006373EF" w:rsidTr="00A47B32">
        <w:trPr>
          <w:gridAfter w:val="1"/>
          <w:wAfter w:w="1071" w:type="dxa"/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A47B32" w:rsidRPr="006373EF" w:rsidTr="00A47B32">
        <w:trPr>
          <w:gridAfter w:val="1"/>
          <w:wAfter w:w="1071" w:type="dxa"/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</w:p>
        </w:tc>
      </w:tr>
      <w:tr w:rsidR="00A47B32" w:rsidRPr="006373EF" w:rsidTr="00873AA4">
        <w:trPr>
          <w:gridAfter w:val="1"/>
          <w:wAfter w:w="1071" w:type="dxa"/>
          <w:trHeight w:val="6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32" w:rsidRPr="006373EF" w:rsidRDefault="006373EF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5D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реализации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A47B32" w:rsidRPr="006373EF" w:rsidTr="00A47B32">
        <w:trPr>
          <w:gridAfter w:val="1"/>
          <w:wAfter w:w="1071" w:type="dxa"/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408,1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</w:tr>
      <w:tr w:rsidR="00A47B32" w:rsidRPr="006373EF" w:rsidTr="00A47B32">
        <w:trPr>
          <w:gridAfter w:val="1"/>
          <w:wAfter w:w="1071" w:type="dxa"/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5184,7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4806,1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92,2</w:t>
            </w:r>
          </w:p>
        </w:tc>
      </w:tr>
      <w:tr w:rsidR="00A47B32" w:rsidRPr="006373EF" w:rsidTr="00A47B32">
        <w:trPr>
          <w:gridAfter w:val="1"/>
          <w:wAfter w:w="1071" w:type="dxa"/>
          <w:trHeight w:val="7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2715,7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2697,3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A47B32" w:rsidRPr="006373EF" w:rsidTr="00A47B32">
        <w:trPr>
          <w:gridAfter w:val="1"/>
          <w:wAfter w:w="1071" w:type="dxa"/>
          <w:trHeight w:val="3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A47B32" w:rsidRPr="006373EF" w:rsidTr="00A47B32">
        <w:trPr>
          <w:gridAfter w:val="1"/>
          <w:wAfter w:w="1071" w:type="dxa"/>
          <w:trHeight w:val="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и на выполнение передаваемых полномочий субъектов РФ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A47B32" w:rsidRPr="006373EF" w:rsidTr="00A47B32">
        <w:trPr>
          <w:gridAfter w:val="1"/>
          <w:wAfter w:w="1071" w:type="dxa"/>
          <w:trHeight w:val="6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1599,1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A47B32" w:rsidRPr="006373EF" w:rsidTr="00A47B32">
        <w:trPr>
          <w:gridAfter w:val="1"/>
          <w:wAfter w:w="1071" w:type="dxa"/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предоставляемые физическими и юридическими лицами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05380D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A47B32" w:rsidRPr="006373EF" w:rsidTr="00A47B32">
        <w:trPr>
          <w:gridAfter w:val="1"/>
          <w:wAfter w:w="1071" w:type="dxa"/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 15.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05380D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7B32" w:rsidRPr="006373EF" w:rsidTr="00A47B32">
        <w:trPr>
          <w:gridAfter w:val="1"/>
          <w:wAfter w:w="1071" w:type="dxa"/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16.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5640,7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5214,2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47B32" w:rsidRPr="006373EF" w:rsidRDefault="0005380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47B32" w:rsidRPr="006373EF" w:rsidTr="00A47B32">
        <w:trPr>
          <w:gridAfter w:val="1"/>
          <w:wAfter w:w="1071" w:type="dxa"/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26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47B32" w:rsidRPr="006373EF" w:rsidTr="00A47B32">
        <w:trPr>
          <w:gridAfter w:val="1"/>
          <w:wAfter w:w="1071" w:type="dxa"/>
          <w:trHeight w:val="4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2675,3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05380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A47B32" w:rsidRPr="006373EF" w:rsidTr="00A47B32">
        <w:trPr>
          <w:gridAfter w:val="1"/>
          <w:wAfter w:w="1071" w:type="dxa"/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05380D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A47B32" w:rsidRPr="006373EF" w:rsidTr="00A47B32">
        <w:trPr>
          <w:gridAfter w:val="1"/>
          <w:wAfter w:w="1071" w:type="dxa"/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05380D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A47B32" w:rsidRPr="006373EF" w:rsidTr="00A47B32">
        <w:trPr>
          <w:gridAfter w:val="1"/>
          <w:wAfter w:w="1071" w:type="dxa"/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05380D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47B32" w:rsidRPr="006373EF" w:rsidTr="00A47B32">
        <w:trPr>
          <w:gridAfter w:val="1"/>
          <w:wAfter w:w="1071" w:type="dxa"/>
          <w:trHeight w:val="4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05380D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A47B32" w:rsidRPr="006373EF" w:rsidTr="00A47B32">
        <w:trPr>
          <w:gridAfter w:val="1"/>
          <w:wAfter w:w="1071" w:type="dxa"/>
          <w:trHeight w:val="4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05380D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A47B32" w:rsidRPr="006373EF" w:rsidTr="00A47B32">
        <w:trPr>
          <w:gridAfter w:val="1"/>
          <w:wAfter w:w="1071" w:type="dxa"/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05380D" w:rsidP="006F00D5">
            <w:pPr>
              <w:spacing w:after="0" w:line="240" w:lineRule="auto"/>
              <w:ind w:left="426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3,99</w:t>
            </w:r>
          </w:p>
        </w:tc>
      </w:tr>
      <w:tr w:rsidR="00A47B32" w:rsidRPr="006373EF" w:rsidTr="00A47B32">
        <w:trPr>
          <w:gridAfter w:val="1"/>
          <w:wAfter w:w="1071" w:type="dxa"/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459" w:hanging="39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7B32" w:rsidRPr="006373EF" w:rsidRDefault="00A47B32" w:rsidP="006F00D5">
            <w:pPr>
              <w:spacing w:after="0" w:line="240" w:lineRule="auto"/>
              <w:ind w:left="3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B32" w:rsidRPr="006373EF" w:rsidRDefault="0005380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A47B32" w:rsidRPr="006373EF" w:rsidTr="00873AA4">
        <w:trPr>
          <w:gridAfter w:val="1"/>
          <w:wAfter w:w="1071" w:type="dxa"/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47B32" w:rsidRPr="006373EF" w:rsidRDefault="00A47B32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47B32" w:rsidRPr="006373EF" w:rsidRDefault="00A47B32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7B32" w:rsidRPr="006373EF" w:rsidRDefault="00A47B32" w:rsidP="006F00D5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расходов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5653,3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47B32" w:rsidRPr="006373EF" w:rsidRDefault="00A47B32" w:rsidP="003011B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47B32" w:rsidRPr="006373EF" w:rsidRDefault="00A47B32" w:rsidP="00AF1421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4974,6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47B32" w:rsidRPr="006373EF" w:rsidRDefault="0005380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373E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6F00D5" w:rsidRPr="006373EF" w:rsidRDefault="006F00D5" w:rsidP="006F00D5">
      <w:pPr>
        <w:spacing w:after="0" w:line="240" w:lineRule="auto"/>
        <w:ind w:left="426" w:firstLine="3"/>
        <w:contextualSpacing/>
        <w:jc w:val="both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</w:p>
    <w:p w:rsidR="006F00D5" w:rsidRPr="006373E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Удельный вес собственных доходов в общей сумме доходов составил в 201</w:t>
      </w:r>
      <w:r w:rsidR="0048450A"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 – 10,4%, в 20</w:t>
      </w:r>
      <w:r w:rsidR="006373EF"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 – </w:t>
      </w:r>
      <w:r w:rsidR="006373EF"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7,8</w:t>
      </w:r>
      <w:r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процента.  </w:t>
      </w:r>
    </w:p>
    <w:p w:rsidR="006F00D5" w:rsidRPr="006373E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Удельный вес безвозмездных поступлений в общей сумме доходов составил в 201</w:t>
      </w:r>
      <w:r w:rsidR="006373EF"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 – </w:t>
      </w:r>
      <w:r w:rsidR="006373EF"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91,9</w:t>
      </w:r>
      <w:r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%, в 20</w:t>
      </w:r>
      <w:r w:rsidR="006373EF"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 – </w:t>
      </w:r>
      <w:r w:rsidR="006373EF"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92,2</w:t>
      </w:r>
      <w:r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процента. </w:t>
      </w:r>
    </w:p>
    <w:p w:rsidR="006F00D5" w:rsidRPr="00053540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  <w:t xml:space="preserve">   </w:t>
      </w:r>
      <w:r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Анализируя показатели  исполнения бюджета поселения  за 20</w:t>
      </w:r>
      <w:r w:rsidR="006373EF"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373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 необходимо отметить, что наибольший удельный вес в структуре 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собственных доходов занимают: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</w:p>
    <w:p w:rsidR="006F00D5" w:rsidRPr="00053540" w:rsidRDefault="006F00D5" w:rsidP="006F00D5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- налог на доходы физических лиц – </w:t>
      </w:r>
      <w:r w:rsidR="006373EF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40,6 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процента;</w:t>
      </w:r>
    </w:p>
    <w:p w:rsidR="00053540" w:rsidRPr="00053540" w:rsidRDefault="006F00D5" w:rsidP="006F00D5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- налог на имущество физических лиц –</w:t>
      </w:r>
      <w:r w:rsidR="006373EF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27,0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C95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F00D5" w:rsidRPr="00053540" w:rsidRDefault="00053540" w:rsidP="006F00D5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земельный налог – </w:t>
      </w:r>
      <w:r w:rsidR="006373EF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20,5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процента;</w:t>
      </w:r>
    </w:p>
    <w:p w:rsidR="006F00D5" w:rsidRPr="00053540" w:rsidRDefault="00053540" w:rsidP="00053540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- доходы от реализации муниципального имущества – 10,9 процента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3540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В структуре безвозмездных поступлений наибольший удельный вес  занимают</w:t>
      </w:r>
      <w:r w:rsid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53540" w:rsidRDefault="00053540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дотации  на выравнивание бюджетной обеспеченности и сбалансированности бюджета поселения – 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56,1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процента;</w:t>
      </w:r>
    </w:p>
    <w:p w:rsidR="00053540" w:rsidRPr="00053540" w:rsidRDefault="00053540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– 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33,3 процента;</w:t>
      </w:r>
    </w:p>
    <w:p w:rsidR="006F00D5" w:rsidRPr="00053540" w:rsidRDefault="00053540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- 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субсидии бюджетам сельских поселений – 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8,0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структуре расходов бюджета поселения в 20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  расходы на  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социальную сферу составили 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1605,4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32,3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% от общего объема расходов  (в 201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году – 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1485,7 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рублей, или 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26,3</w:t>
      </w:r>
      <w:r w:rsidR="006F00D5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6F00D5" w:rsidRPr="00053540" w:rsidRDefault="006F00D5" w:rsidP="006F00D5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Основную долю расходов в социальной сфере составили расходы на:</w:t>
      </w:r>
    </w:p>
    <w:p w:rsidR="006F00D5" w:rsidRPr="00053540" w:rsidRDefault="006F00D5" w:rsidP="006F00D5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- физическую культуру и спорт</w:t>
      </w:r>
      <w:r w:rsidR="00053540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053540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8 7,8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процента;</w:t>
      </w:r>
    </w:p>
    <w:p w:rsidR="006F00D5" w:rsidRPr="00053540" w:rsidRDefault="006F00D5" w:rsidP="006F00D5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- социальную политику – </w:t>
      </w:r>
      <w:r w:rsidR="00053540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12,2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процента.</w:t>
      </w:r>
    </w:p>
    <w:p w:rsidR="006F00D5" w:rsidRPr="00053540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При анализе исполнения бюджета поселения за 201</w:t>
      </w:r>
      <w:r w:rsidR="00053540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53540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53540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годы наблюдается тенденция у</w:t>
      </w:r>
      <w:r w:rsidR="00053540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величение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расходов на социальную сферу в процентном соотношении на </w:t>
      </w:r>
      <w:r w:rsidR="00053540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8,1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%, в абсолютном выражении незначительное увеличение на </w:t>
      </w:r>
      <w:r w:rsidR="00053540"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119,7</w:t>
      </w:r>
      <w:r w:rsidRPr="0005354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тыс. рублей.   </w:t>
      </w:r>
    </w:p>
    <w:p w:rsidR="006F00D5" w:rsidRPr="000A2699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A26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0A2699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Увеличение </w:t>
      </w:r>
      <w:r w:rsidRPr="000A269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объема расходов бюджета за анализируемый период  наблюдается в части расходов по следующим разделам:</w:t>
      </w:r>
    </w:p>
    <w:p w:rsidR="006F00D5" w:rsidRPr="00EF7A0A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F7A0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«Национальная оборона» - на </w:t>
      </w:r>
      <w:r w:rsidR="00EF7A0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1,4</w:t>
      </w:r>
      <w:r w:rsidRPr="00EF7A0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на </w:t>
      </w:r>
      <w:r w:rsidR="00EF7A0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1,5</w:t>
      </w:r>
      <w:r w:rsidRPr="00EF7A0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процента, в связи с увеличением субвенции на осуществление первичного воинского учета на территориях, где отсутствуют военные комиссариаты;</w:t>
      </w:r>
    </w:p>
    <w:p w:rsidR="00EF7A0A" w:rsidRPr="00EF7A0A" w:rsidRDefault="00EF7A0A" w:rsidP="00EF7A0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EF7A0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«Национальная безопасность и правоохранительная деятельность» -  на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20,3</w:t>
      </w:r>
      <w:r w:rsidRPr="00EF7A0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4,3 раза, что связано с увеличением расходов на </w:t>
      </w:r>
      <w:r w:rsidRPr="00EF7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пожарной безопасности</w:t>
      </w:r>
      <w:r w:rsidRPr="00EF7A0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F00D5" w:rsidRPr="001E5A66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«Национальная экономика» на </w:t>
      </w:r>
      <w:r w:rsidR="00EF7A0A"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34,3</w:t>
      </w:r>
      <w:r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на </w:t>
      </w:r>
      <w:r w:rsidR="00EF7A0A"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13,0</w:t>
      </w:r>
      <w:r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EF7A0A"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ов, что связано с увеличением расходов на </w:t>
      </w:r>
      <w:r w:rsidR="00EF7A0A" w:rsidRPr="001E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ремонт и содержание автомобильных дорог местного значения</w:t>
      </w:r>
      <w:r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E5A66" w:rsidRPr="001E5A66" w:rsidRDefault="001E5A66" w:rsidP="006F00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«Социальная политика» - на 36,7 тыс. рублей, или на 23,0 процента, что связано  с увеличением расходов на </w:t>
      </w:r>
      <w:r w:rsidRPr="001E5A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доплату к пенсии за выслугу лет лицам, замещавшим муниципальные должности в органах местного самоуправления поселения;</w:t>
      </w:r>
    </w:p>
    <w:p w:rsidR="006F00D5" w:rsidRPr="001E5A66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по разделу «Физическая культура и спорт»  на </w:t>
      </w:r>
      <w:r w:rsid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83,2</w:t>
      </w:r>
      <w:r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на </w:t>
      </w:r>
      <w:r w:rsid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6,3</w:t>
      </w:r>
      <w:r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процента, что связано с повышением заработной платы работникам МБУ ФОК «Олимп».</w:t>
      </w:r>
    </w:p>
    <w:p w:rsidR="006F00D5" w:rsidRPr="001E5A66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1E5A6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Снижение </w:t>
      </w:r>
      <w:r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объема расходов бюджета за анализируемый период наблюдается  также в части расходов по следующим разделам:</w:t>
      </w:r>
    </w:p>
    <w:p w:rsidR="001E5A66" w:rsidRPr="001E5A66" w:rsidRDefault="006F00D5" w:rsidP="001E5A6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E5A66"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«Общегосударственные вопросы» на 266,8 тыс. рублей, или на 10,0 процент</w:t>
      </w:r>
      <w:r w:rsidR="00C95EC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1E5A66"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что связано с выделением иных межбюджетных трансфертов  на приобретение автомобиля  в 2019 году  в сумме 650,0 тыс. рублей, в 2020 году аналогичные расходы отсутствовали;  </w:t>
      </w:r>
    </w:p>
    <w:p w:rsidR="001E5A66" w:rsidRPr="001E5A66" w:rsidRDefault="006F00D5" w:rsidP="001E5A6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="001E5A66" w:rsidRPr="001E5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A66"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«Жилищно-коммунальное хозяйство» на 582,9 тыс. рублей, или на 51,5 процента, что связано с отсутствием расходов  на мероприятия по проекту</w:t>
      </w:r>
      <w:r w:rsid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«Народный бюджет»</w:t>
      </w:r>
      <w:r w:rsidR="001E5A66"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F00D5" w:rsidRPr="001E5A66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«Образование»  – </w:t>
      </w:r>
      <w:r w:rsidR="001E5A66"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0,2</w:t>
      </w:r>
      <w:r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на </w:t>
      </w:r>
      <w:r w:rsidR="001E5A66"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28,6</w:t>
      </w:r>
      <w:r w:rsidRPr="001E5A6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процента. 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6F00D5" w:rsidRPr="00707DA4" w:rsidRDefault="006F00D5" w:rsidP="006F00D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07D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Анализ показателей утвержденного бюджета с первоначально утвержденными назначениями за 20</w:t>
      </w:r>
      <w:r w:rsidR="003011B2" w:rsidRPr="00707D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707D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6F00D5" w:rsidRPr="00707DA4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00D5" w:rsidRPr="00707DA4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Первоначальный бюджет поселения на 20</w:t>
      </w:r>
      <w:r w:rsidR="00707DA4"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</w:t>
      </w:r>
      <w:r w:rsidR="00C95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7DA4"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707DA4"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№ </w:t>
      </w:r>
      <w:r w:rsidR="00707DA4"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58</w:t>
      </w:r>
      <w:r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 следующими основными параметрами:</w:t>
      </w:r>
    </w:p>
    <w:p w:rsidR="006F00D5" w:rsidRPr="00707DA4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- по доходам в сумме  </w:t>
      </w:r>
      <w:r w:rsidR="00707DA4"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4839,0</w:t>
      </w:r>
      <w:r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6F00D5" w:rsidRPr="00707DA4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- по расходам  в сумме </w:t>
      </w:r>
      <w:r w:rsidR="00707DA4"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4839,0 </w:t>
      </w:r>
      <w:r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6F00D5" w:rsidRPr="00707DA4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В течение 20</w:t>
      </w:r>
      <w:r w:rsidR="00707DA4"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07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 и дополнения в решение  о бюджете поселения   вносились четыре  раза.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  <w:t xml:space="preserve"> </w:t>
      </w:r>
      <w:r w:rsidRPr="00327B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Уточненный бюджет  поселения  на 20</w:t>
      </w:r>
      <w:r w:rsidR="00327B64" w:rsidRPr="00327B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327B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 утвержден решением Совета поселения от 2</w:t>
      </w:r>
      <w:r w:rsidR="00327B64" w:rsidRPr="00327B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27B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декабря  20</w:t>
      </w:r>
      <w:r w:rsidR="00707DA4" w:rsidRPr="00327B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327B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года № </w:t>
      </w:r>
      <w:r w:rsidR="00327B64" w:rsidRPr="00327B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68</w:t>
      </w:r>
      <w:r w:rsidRPr="00327B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«О внесении изменений в решение </w:t>
      </w:r>
      <w:r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</w:t>
      </w:r>
      <w:r w:rsidR="00707DA4"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707DA4"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</w:t>
      </w:r>
      <w:r w:rsidR="00707DA4"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58</w:t>
      </w:r>
      <w:r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С учетом изменений доходная </w:t>
      </w:r>
      <w:r w:rsidR="00707DA4"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часть </w:t>
      </w:r>
      <w:r w:rsidR="00EA085F"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бюджетных ассигнований </w:t>
      </w:r>
      <w:r w:rsidR="00707DA4"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составила 5232,3 тыс. рублей, </w:t>
      </w:r>
      <w:r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расходная </w:t>
      </w:r>
      <w:r w:rsidR="00EA085F"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085F"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4977,0</w:t>
      </w:r>
      <w:r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EA085F"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 профицитом в сумме 255,3 тыс. рублей</w:t>
      </w:r>
      <w:r w:rsidRPr="00EA0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327B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Остаток средств бюджета поселения на 01.01.202</w:t>
      </w:r>
      <w:r w:rsidR="00EA085F" w:rsidRPr="00327B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27B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года в сумме </w:t>
      </w:r>
      <w:r w:rsidR="009B748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273,8</w:t>
      </w:r>
      <w:r w:rsidRPr="00327B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6F00D5" w:rsidRPr="009B4A83" w:rsidRDefault="006F00D5" w:rsidP="006F00D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D70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Анализ первоначально утвержденных и уточненных показателей </w:t>
      </w:r>
      <w:r w:rsidRPr="009B4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бюджета поселения за 20</w:t>
      </w:r>
      <w:r w:rsidR="00EA085F" w:rsidRPr="009B4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9B4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016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"/>
        <w:gridCol w:w="3686"/>
        <w:gridCol w:w="142"/>
        <w:gridCol w:w="992"/>
        <w:gridCol w:w="1134"/>
        <w:gridCol w:w="1134"/>
        <w:gridCol w:w="378"/>
        <w:gridCol w:w="756"/>
        <w:gridCol w:w="949"/>
      </w:tblGrid>
      <w:tr w:rsidR="009172BF" w:rsidRPr="009B4A83" w:rsidTr="003011B2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9B4A83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9B4A83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9B4A83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9B4A83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9B4A83" w:rsidRDefault="006F00D5" w:rsidP="006F00D5">
            <w:pPr>
              <w:spacing w:after="0" w:line="240" w:lineRule="auto"/>
              <w:ind w:right="-13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9B4A83" w:rsidRDefault="006F00D5" w:rsidP="006F00D5">
            <w:pPr>
              <w:spacing w:after="0" w:line="240" w:lineRule="auto"/>
              <w:ind w:left="-61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4A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9172BF" w:rsidRPr="009B4A83" w:rsidTr="003011B2">
        <w:trPr>
          <w:gridAfter w:val="1"/>
          <w:wAfter w:w="949" w:type="dxa"/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Первоначальный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Уточненный бюджет поселения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показателей уточненного бюджета поселения от первоначального</w:t>
            </w:r>
          </w:p>
        </w:tc>
      </w:tr>
      <w:tr w:rsidR="009172BF" w:rsidRPr="009B4A83" w:rsidTr="003011B2">
        <w:trPr>
          <w:gridAfter w:val="1"/>
          <w:wAfter w:w="949" w:type="dxa"/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72BF" w:rsidRPr="009B4A83" w:rsidTr="003011B2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F00D5" w:rsidRPr="00A54C6D" w:rsidRDefault="00EA085F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-82,4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82,2</w:t>
            </w:r>
          </w:p>
        </w:tc>
      </w:tr>
      <w:tr w:rsidR="009172BF" w:rsidRPr="009B4A83" w:rsidTr="003011B2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EA085F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9172BF" w:rsidRPr="009B4A83" w:rsidTr="003011B2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Налоги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EA085F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9172BF" w:rsidRPr="009B4A83" w:rsidTr="003011B2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EA085F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9172BF" w:rsidRPr="009B4A83" w:rsidTr="003011B2">
        <w:trPr>
          <w:gridAfter w:val="1"/>
          <w:wAfter w:w="949" w:type="dxa"/>
          <w:trHeight w:val="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EA085F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9172BF" w:rsidRPr="009B4A83" w:rsidTr="003011B2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F00D5" w:rsidRPr="00A54C6D" w:rsidRDefault="00EA085F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154,3</w:t>
            </w:r>
          </w:p>
        </w:tc>
      </w:tr>
      <w:tr w:rsidR="009172BF" w:rsidRPr="009B4A83" w:rsidTr="003011B2">
        <w:trPr>
          <w:gridAfter w:val="1"/>
          <w:wAfter w:w="949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A04F5C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реализации муниципального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EA085F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154,3</w:t>
            </w:r>
          </w:p>
        </w:tc>
      </w:tr>
      <w:tr w:rsidR="009172BF" w:rsidRPr="009B4A83" w:rsidTr="003011B2">
        <w:trPr>
          <w:gridAfter w:val="1"/>
          <w:wAfter w:w="949" w:type="dxa"/>
          <w:trHeight w:val="5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F00D5" w:rsidRPr="00A54C6D" w:rsidRDefault="00EA085F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F00D5" w:rsidRPr="00A54C6D" w:rsidRDefault="00EA085F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86,5</w:t>
            </w:r>
          </w:p>
        </w:tc>
      </w:tr>
      <w:tr w:rsidR="004D7091" w:rsidRPr="009B4A83" w:rsidTr="00EA085F">
        <w:trPr>
          <w:gridAfter w:val="1"/>
          <w:wAfter w:w="949" w:type="dxa"/>
          <w:trHeight w:val="3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4346,1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F00D5" w:rsidRPr="00A54C6D" w:rsidRDefault="004D7091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110,6</w:t>
            </w:r>
          </w:p>
        </w:tc>
      </w:tr>
      <w:tr w:rsidR="009172BF" w:rsidRPr="009B4A83" w:rsidTr="003011B2">
        <w:trPr>
          <w:gridAfter w:val="1"/>
          <w:wAfter w:w="949" w:type="dxa"/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72BF" w:rsidRPr="009B4A83" w:rsidTr="003011B2">
        <w:trPr>
          <w:gridAfter w:val="1"/>
          <w:wAfter w:w="949" w:type="dxa"/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бюджетам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-228,8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4D709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62,6</w:t>
            </w:r>
          </w:p>
        </w:tc>
      </w:tr>
      <w:tr w:rsidR="009172BF" w:rsidRPr="009B4A83" w:rsidTr="003011B2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72BF" w:rsidRPr="009B4A83" w:rsidTr="003011B2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</w:t>
            </w: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167,8</w:t>
            </w:r>
          </w:p>
        </w:tc>
      </w:tr>
      <w:tr w:rsidR="004D7091" w:rsidRPr="009B4A83" w:rsidTr="003011B2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91" w:rsidRPr="00A54C6D" w:rsidRDefault="004D7091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091" w:rsidRPr="00A54C6D" w:rsidRDefault="004D7091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межбюджетные трансферы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91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91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91" w:rsidRPr="00A54C6D" w:rsidRDefault="004D7091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091" w:rsidRPr="00A54C6D" w:rsidRDefault="009B4A8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4D7091"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72BF" w:rsidRPr="009B4A83" w:rsidTr="003011B2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4D709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4D7091"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Пожертвования от физических и юридических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4D7091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9B4A8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4D7091"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172BF" w:rsidRPr="009B4A83" w:rsidTr="003011B2">
        <w:trPr>
          <w:gridAfter w:val="1"/>
          <w:wAfter w:w="949" w:type="dxa"/>
          <w:trHeight w:val="4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6F00D5" w:rsidRPr="00A54C6D" w:rsidRDefault="006F00D5" w:rsidP="008A5F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8A5FF3"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4839,0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6F00D5" w:rsidRPr="00A54C6D" w:rsidRDefault="004D7091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5232,3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6F00D5" w:rsidRPr="00A54C6D" w:rsidRDefault="008A5FF3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108,1</w:t>
            </w:r>
          </w:p>
        </w:tc>
      </w:tr>
      <w:tr w:rsidR="009172BF" w:rsidRPr="009B4A83" w:rsidTr="003011B2">
        <w:trPr>
          <w:gridAfter w:val="1"/>
          <w:wAfter w:w="949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8A5F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A5FF3"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172BF" w:rsidRPr="009B4A83" w:rsidTr="00327B64">
        <w:trPr>
          <w:gridAfter w:val="1"/>
          <w:wAfter w:w="949" w:type="dxa"/>
          <w:trHeight w:val="57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8A5F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8A5FF3"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9172BF" w:rsidRPr="009B4A83" w:rsidTr="00327B64">
        <w:trPr>
          <w:gridAfter w:val="1"/>
          <w:wAfter w:w="949" w:type="dxa"/>
          <w:trHeight w:val="42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8A5F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8A5FF3"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172BF" w:rsidRPr="009B4A83" w:rsidTr="003011B2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6F00D5"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79,6</w:t>
            </w:r>
          </w:p>
        </w:tc>
      </w:tr>
      <w:tr w:rsidR="009172BF" w:rsidRPr="009B4A83" w:rsidTr="00327B64">
        <w:trPr>
          <w:gridAfter w:val="1"/>
          <w:wAfter w:w="949" w:type="dxa"/>
          <w:trHeight w:val="27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  <w:r w:rsidR="006F00D5"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149,5</w:t>
            </w:r>
          </w:p>
        </w:tc>
      </w:tr>
      <w:tr w:rsidR="009172BF" w:rsidRPr="009B4A83" w:rsidTr="003011B2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  <w:r w:rsidR="006F00D5"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</w:tr>
      <w:tr w:rsidR="009172BF" w:rsidRPr="009B4A83" w:rsidTr="003011B2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8A5F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8A5FF3"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9172BF" w:rsidRPr="009B4A83" w:rsidTr="003011B2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8A5F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8A5FF3"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9172BF" w:rsidRPr="009B4A83" w:rsidTr="003011B2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8A5F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8A5FF3"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9172BF" w:rsidRPr="009B4A83" w:rsidTr="003011B2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6F00D5" w:rsidRPr="00A54C6D" w:rsidRDefault="006F00D5" w:rsidP="008A5F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8A5FF3"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6F00D5" w:rsidRPr="00A54C6D" w:rsidRDefault="008A5FF3" w:rsidP="006F00D5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6F00D5" w:rsidRPr="00A54C6D" w:rsidRDefault="008A5FF3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102,8</w:t>
            </w:r>
          </w:p>
        </w:tc>
      </w:tr>
    </w:tbl>
    <w:p w:rsidR="006F00D5" w:rsidRPr="008A5FF3" w:rsidRDefault="006F00D5" w:rsidP="006F00D5">
      <w:pPr>
        <w:spacing w:after="0" w:line="240" w:lineRule="auto"/>
        <w:ind w:left="426" w:firstLine="35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0D5" w:rsidRPr="009B4A83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рамках  вышеприведенного анализа наблюдается тенденция    роста доходов и расходов в отчетном периоде на </w:t>
      </w:r>
      <w:r w:rsidR="009B4A83"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393,3</w:t>
      </w:r>
      <w:r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9B4A83"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8,1</w:t>
      </w:r>
      <w:r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первоначально утвержденным назначениям. </w:t>
      </w:r>
      <w:r w:rsidR="009B4A83"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собственны</w:t>
      </w:r>
      <w:r w:rsidR="009B4A83"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</w:t>
      </w:r>
      <w:r w:rsidR="009B4A83"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 наблюдается уменьшение </w:t>
      </w:r>
      <w:r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первоначально утвержденными назначениями </w:t>
      </w:r>
      <w:r w:rsidR="00C95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B4A83"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66,7</w:t>
      </w:r>
      <w:r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B4A83"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13,5</w:t>
      </w:r>
      <w:r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6F00D5" w:rsidRPr="009B4A83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Объем безвозмездных поступлений увеличивается  по сравнению с первоначально утвержденными показателями бюджета на </w:t>
      </w:r>
      <w:r w:rsidR="009B4A83"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460,0</w:t>
      </w:r>
      <w:r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или на </w:t>
      </w:r>
      <w:r w:rsidR="009B4A83"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10,6</w:t>
      </w:r>
      <w:r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%. Увеличение  произошло за счет роста объема </w:t>
      </w:r>
      <w:r w:rsidR="009B4A83"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межбюджетных трансфертов и безвозмездных поступлений (пожертвований физическими и юридическими лицами) </w:t>
      </w:r>
      <w:r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бюджету поселения на </w:t>
      </w:r>
      <w:r w:rsidR="009B4A83"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657,6</w:t>
      </w:r>
      <w:r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B4A83" w:rsidRPr="009B4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69,7 % и 31,2 тыс. </w:t>
      </w:r>
      <w:r w:rsidR="009B4A83"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 или на 100,0 процентов соответственно</w:t>
      </w:r>
      <w:r w:rsidR="00DB0DE6"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(ранее не планировались)</w:t>
      </w: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DB0DE6" w:rsidRPr="00DB0DE6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Также,   произошло </w:t>
      </w:r>
      <w:r w:rsidR="00F12738"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уменьшение </w:t>
      </w: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части субсидий бюджетам сельских поселений на </w:t>
      </w:r>
      <w:r w:rsidR="00F12738"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228,8</w:t>
      </w: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DB0DE6"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37,4 процента.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увеличением  объема доходной части бюджета соответственно произошло увеличение и расходной части бюджета.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DB0D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первоначально утвержденными показателями бюджета произошло по разделам:</w:t>
      </w:r>
    </w:p>
    <w:p w:rsidR="00DB0DE6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Общегосударственные вопросы  - на </w:t>
      </w:r>
      <w:r w:rsidR="00DB0DE6"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19,0</w:t>
      </w: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DB0DE6"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DB0DE6" w:rsidRPr="00DB0DE6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6F00D5" w:rsidRPr="00DB0DE6" w:rsidRDefault="00DB0DE6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Национальная экономика  - на 49,5 процента;</w:t>
      </w:r>
    </w:p>
    <w:p w:rsidR="006F00D5" w:rsidRPr="00DB0DE6" w:rsidRDefault="006F00D5" w:rsidP="006F00D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B0DE6"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Социальная политика – на 23,0 процента</w:t>
      </w: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  </w:t>
      </w:r>
    </w:p>
    <w:p w:rsidR="006F00D5" w:rsidRPr="00DB0DE6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- Физическая культура и спорт -  на   </w:t>
      </w:r>
      <w:r w:rsidR="00DB0DE6"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2,8</w:t>
      </w: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   </w:t>
      </w:r>
    </w:p>
    <w:p w:rsidR="006F00D5" w:rsidRPr="00DB0DE6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DB0D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утвержденных назначений по сравнению с первоначальными показателями бюджета наблюдается по разделам:</w:t>
      </w:r>
    </w:p>
    <w:p w:rsidR="00DB0DE6" w:rsidRPr="00DB0DE6" w:rsidRDefault="006F00D5" w:rsidP="00DB0DE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B0DE6"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Жилищно-коммунальное хозяйство -  на 43,1 процента;   </w:t>
      </w:r>
    </w:p>
    <w:p w:rsidR="006F00D5" w:rsidRPr="00DB0DE6" w:rsidRDefault="00DB0DE6" w:rsidP="00DB0DE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6F00D5"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Национальная безопасность и правоохранительная деятельность -  на </w:t>
      </w: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20,4</w:t>
      </w:r>
      <w:r w:rsidR="006F00D5"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6F00D5"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00D5" w:rsidRPr="00DB0DE6" w:rsidRDefault="006F00D5" w:rsidP="006F00D5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Образование – на </w:t>
      </w:r>
      <w:r w:rsidR="00DB0DE6" w:rsidRP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>83,6</w:t>
      </w:r>
      <w:r w:rsidR="00DB0D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6F00D5" w:rsidRPr="009172BF" w:rsidRDefault="006F00D5" w:rsidP="006F00D5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6F00D5" w:rsidRPr="00726D58" w:rsidRDefault="006F00D5" w:rsidP="006F00D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26D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Анализ исполнения бюджета за 20</w:t>
      </w:r>
      <w:r w:rsidR="00726D58" w:rsidRPr="00726D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726D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год.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79"/>
        <w:gridCol w:w="1806"/>
        <w:gridCol w:w="1385"/>
        <w:gridCol w:w="1167"/>
        <w:gridCol w:w="640"/>
        <w:gridCol w:w="494"/>
      </w:tblGrid>
      <w:tr w:rsidR="00726D58" w:rsidRPr="00726D58" w:rsidTr="003011B2">
        <w:trPr>
          <w:trHeight w:val="25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726D58" w:rsidRDefault="006F00D5" w:rsidP="00726D5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26D5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ab/>
              <w:t>Анализ исполнения бюджета поселения за 20</w:t>
            </w:r>
            <w:r w:rsidR="00726D58" w:rsidRPr="00726D5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726D5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год представлен следующими данными: </w:t>
            </w:r>
          </w:p>
        </w:tc>
      </w:tr>
      <w:tr w:rsidR="009172BF" w:rsidRPr="009172BF" w:rsidTr="003011B2">
        <w:trPr>
          <w:trHeight w:val="25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9172BF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9172BF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F00D5" w:rsidRPr="00A54C6D" w:rsidRDefault="006F00D5" w:rsidP="006F00D5">
            <w:pPr>
              <w:spacing w:after="0" w:line="240" w:lineRule="auto"/>
              <w:ind w:right="-14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тыс. руб.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54C6D" w:rsidRPr="00A54C6D" w:rsidTr="003011B2">
        <w:trPr>
          <w:trHeight w:val="621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A54C6D" w:rsidRPr="00A54C6D" w:rsidTr="003011B2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0D5" w:rsidRPr="00A54C6D" w:rsidRDefault="006F00D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54C6D" w:rsidRPr="00A54C6D" w:rsidTr="003011B2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E6523" w:rsidRPr="00A54C6D" w:rsidRDefault="004E6523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E6523" w:rsidRPr="00A54C6D" w:rsidRDefault="004E6523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381,6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E6523" w:rsidRPr="00A54C6D" w:rsidRDefault="00A04F5C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E6523" w:rsidRPr="00A54C6D" w:rsidRDefault="00A04F5C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E6523" w:rsidRPr="00A54C6D" w:rsidRDefault="00A04F5C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95,3</w:t>
            </w:r>
          </w:p>
        </w:tc>
      </w:tr>
      <w:tr w:rsidR="00A54C6D" w:rsidRPr="00A54C6D" w:rsidTr="003011B2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4E6523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4E6523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04F5C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54C6D" w:rsidRPr="00A54C6D" w:rsidTr="003011B2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4E6523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 физических лиц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4E6523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04F5C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54C6D" w:rsidRPr="00A54C6D" w:rsidTr="003011B2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4E6523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4E6523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04F5C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54C6D" w:rsidRPr="00A54C6D" w:rsidTr="003011B2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4E6523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4E6523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04F5C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54C6D" w:rsidRPr="00A54C6D" w:rsidTr="003011B2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E6523" w:rsidRPr="00A54C6D" w:rsidRDefault="004E6523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Неналоговые доходы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E6523" w:rsidRPr="00A54C6D" w:rsidRDefault="004E6523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A54C6D" w:rsidRPr="00A54C6D" w:rsidTr="003011B2">
        <w:trPr>
          <w:trHeight w:val="255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реализации муниципального имущества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4E6523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54C6D" w:rsidRPr="00A54C6D" w:rsidTr="003011B2">
        <w:trPr>
          <w:trHeight w:val="429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E6523" w:rsidRPr="00A54C6D" w:rsidRDefault="004E6523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6523" w:rsidRPr="00A54C6D" w:rsidRDefault="004E6523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408,1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95,7</w:t>
            </w:r>
          </w:p>
        </w:tc>
      </w:tr>
      <w:tr w:rsidR="004E6523" w:rsidRPr="009172BF" w:rsidTr="003011B2">
        <w:trPr>
          <w:trHeight w:val="25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E6523" w:rsidRPr="00A54C6D" w:rsidRDefault="004E6523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6523" w:rsidRPr="00A54C6D" w:rsidRDefault="004E6523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4806,1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4806,1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100,0</w:t>
            </w:r>
          </w:p>
        </w:tc>
      </w:tr>
      <w:tr w:rsidR="004E6523" w:rsidRPr="009172BF" w:rsidTr="003011B2">
        <w:trPr>
          <w:trHeight w:val="84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523" w:rsidRPr="00A54C6D" w:rsidRDefault="004E6523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6523" w:rsidRPr="00A54C6D" w:rsidRDefault="004E6523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2697,3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2697,3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E6523" w:rsidRPr="009172BF" w:rsidTr="003011B2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523" w:rsidRPr="00A54C6D" w:rsidRDefault="005D6AA4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Субсидии  бюджетам </w:t>
            </w:r>
            <w:r w:rsidR="004E6523"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муниципальных  образований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4E6523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6523" w:rsidRPr="009172BF" w:rsidTr="003011B2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523" w:rsidRPr="00A54C6D" w:rsidRDefault="004E6523" w:rsidP="005D6AA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</w:t>
            </w:r>
            <w:r w:rsidR="005D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венции</w:t>
            </w: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бюджетам муниципальных  образований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4E6523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6523" w:rsidRPr="009172BF" w:rsidTr="003011B2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523" w:rsidRPr="00A54C6D" w:rsidRDefault="004E6523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4E6523" w:rsidP="008077D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1580,</w:t>
            </w:r>
            <w:r w:rsidR="00807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8077DE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1580,</w:t>
            </w:r>
            <w:r w:rsidR="008077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E6523" w:rsidRPr="009172BF" w:rsidTr="003011B2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523" w:rsidRPr="00A54C6D" w:rsidRDefault="00E3699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4E6523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523" w:rsidRPr="00A54C6D" w:rsidRDefault="00A54C6D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6995" w:rsidRPr="002347BE" w:rsidTr="003011B2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995" w:rsidRPr="00A54C6D" w:rsidRDefault="00E36995" w:rsidP="00AF142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предоставляемые физическими и юридическими </w:t>
            </w:r>
            <w:r w:rsidRPr="00A5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лицами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31,2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6995" w:rsidRPr="002347BE" w:rsidTr="003011B2">
        <w:trPr>
          <w:trHeight w:val="29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доходов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36995" w:rsidRPr="002347BE" w:rsidRDefault="00E36995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5232,3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5214,2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36995" w:rsidRPr="002347BE" w:rsidTr="003011B2">
        <w:trPr>
          <w:trHeight w:val="1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5D40B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36995" w:rsidRPr="002347BE" w:rsidTr="003011B2">
        <w:trPr>
          <w:trHeight w:val="31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2410,9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2408,5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2347B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36995" w:rsidRPr="002347BE" w:rsidTr="003011B2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6995" w:rsidRPr="002347BE" w:rsidTr="003011B2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 деятельность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6995" w:rsidRPr="002347BE" w:rsidTr="003011B2">
        <w:trPr>
          <w:trHeight w:val="23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6995" w:rsidRPr="002347BE" w:rsidTr="003011B2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547,9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547,9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6995" w:rsidRPr="002347BE" w:rsidTr="003011B2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6995" w:rsidRPr="002347BE" w:rsidTr="003011B2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6995" w:rsidRPr="002347BE" w:rsidTr="003011B2">
        <w:trPr>
          <w:trHeight w:val="28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1409,0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36995" w:rsidRPr="002347BE" w:rsidTr="003011B2">
        <w:trPr>
          <w:trHeight w:val="42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36995" w:rsidRPr="002347BE" w:rsidRDefault="00E36995" w:rsidP="005D40B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4977,0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ind w:lef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4974,6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36995" w:rsidRPr="002347BE" w:rsidRDefault="00E36995" w:rsidP="006F00D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7B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</w:tbl>
    <w:p w:rsidR="002347BE" w:rsidRDefault="002347BE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18"/>
          <w:szCs w:val="18"/>
          <w:lang w:eastAsia="ru-RU"/>
        </w:rPr>
      </w:pPr>
    </w:p>
    <w:p w:rsidR="006F00D5" w:rsidRPr="00D32993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993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За 20</w:t>
      </w:r>
      <w:r w:rsidR="002347BE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 бюджет поселения поступило </w:t>
      </w:r>
      <w:r w:rsidR="00D32993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5214,2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</w:p>
    <w:p w:rsidR="006F00D5" w:rsidRPr="00D32993" w:rsidRDefault="00D32993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99,6</w:t>
      </w:r>
      <w:r w:rsidR="006F00D5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от годовых назначений, в т. ч.  в части собственных доходов – 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408,1</w:t>
      </w:r>
      <w:r w:rsidR="006F00D5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95,7</w:t>
      </w:r>
      <w:r w:rsidR="006F00D5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в части безвозмездных поступлений – 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4806,1</w:t>
      </w:r>
      <w:r w:rsidR="006F00D5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="006F00D5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 годовых назначений.</w:t>
      </w:r>
    </w:p>
    <w:p w:rsidR="006F00D5" w:rsidRPr="00D32993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Первоначально в бюджете поселения на 20</w:t>
      </w:r>
      <w:r w:rsidR="00D32993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предусмотрено собственных доходов  в сумме  </w:t>
      </w:r>
      <w:r w:rsidR="00D32993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492,9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С учетом изменений и дополнений в течение 20</w:t>
      </w:r>
      <w:r w:rsidR="00D32993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объем  собственных доходов </w:t>
      </w:r>
      <w:r w:rsidR="00D32993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снизился 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D32993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66,7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D32993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13,5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Фактическое исполнение собственных доходов в отчетном периоде  ниже годовых назначений на </w:t>
      </w:r>
      <w:r w:rsidR="00D32993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18,1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32993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4,3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6F00D5" w:rsidRPr="001B07A5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поступлений собственных доходов наблюдается по налогу на доходы физических лиц на </w:t>
      </w:r>
      <w:r w:rsidR="00D32993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14,3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32993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8,0</w:t>
      </w:r>
      <w:r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</w:t>
      </w:r>
      <w:r w:rsidR="00D32993" w:rsidRP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земельному налогу  на 4,1 тыс. рублей, или 4,7 %,</w:t>
      </w:r>
      <w:r w:rsidR="00D329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государственная пошлина на 0,1 тыс. р</w:t>
      </w:r>
      <w:r w:rsidR="001B0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ублей, или на 2,5 процента.</w:t>
      </w:r>
    </w:p>
    <w:p w:rsidR="001B07A5" w:rsidRPr="001B07A5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1B0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произошло по налогу на имущество физических лиц на </w:t>
      </w:r>
      <w:r w:rsidR="001B07A5" w:rsidRPr="001B0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</w:t>
      </w:r>
      <w:r w:rsidRPr="001B0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B07A5" w:rsidRPr="001B0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</w:t>
      </w:r>
      <w:r w:rsidRPr="001B07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1B07A5" w:rsidRPr="001B07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</w:t>
      </w:r>
    </w:p>
    <w:p w:rsidR="006F00D5" w:rsidRPr="001B07A5" w:rsidRDefault="006F00D5" w:rsidP="006F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безвозмездным поступлениям исполнение составило </w:t>
      </w:r>
      <w:r w:rsidR="001B07A5" w:rsidRP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>%, изменения в течение года по данному доходному источнику уточнялись по  субсидиям, прочим безвозмездным поступлениям в бюджет поселения</w:t>
      </w:r>
      <w:r w:rsidR="001B07A5" w:rsidRP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межбюджетным трансфертам из бюджета района и области</w:t>
      </w:r>
      <w:r w:rsidR="001B07A5" w:rsidRP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B07A5" w:rsidRPr="001B07A5">
        <w:rPr>
          <w:rFonts w:ascii="Times New Roman" w:eastAsia="Times New Roman" w:hAnsi="Times New Roman"/>
          <w:sz w:val="24"/>
          <w:szCs w:val="24"/>
        </w:rPr>
        <w:t xml:space="preserve">  </w:t>
      </w:r>
      <w:r w:rsidR="001B07A5" w:rsidRPr="001B07A5">
        <w:rPr>
          <w:rFonts w:ascii="Times New Roman" w:eastAsia="Times New Roman" w:hAnsi="Times New Roman"/>
          <w:sz w:val="28"/>
          <w:szCs w:val="28"/>
        </w:rPr>
        <w:t>поступлениям от денежных пожертвований, предоставляемых физическими  и юридическими лицами</w:t>
      </w:r>
      <w:r w:rsidRP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00D5" w:rsidRPr="009172BF" w:rsidRDefault="006F00D5" w:rsidP="006F0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бюджету сельского поселения составили </w:t>
      </w:r>
      <w:r w:rsidR="001B07A5" w:rsidRP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>2697,3</w:t>
      </w:r>
      <w:r w:rsidRP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(100,0%), из них:</w:t>
      </w:r>
    </w:p>
    <w:p w:rsidR="001B07A5" w:rsidRPr="001B07A5" w:rsidRDefault="006F00D5" w:rsidP="006F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B07A5" w:rsidRP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>2673,7</w:t>
      </w:r>
      <w:r w:rsidRP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– дотация на выравн</w:t>
      </w:r>
      <w:r w:rsid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ивание бюджетной обеспеченности;</w:t>
      </w:r>
    </w:p>
    <w:p w:rsidR="006F00D5" w:rsidRPr="009172BF" w:rsidRDefault="006F00D5" w:rsidP="006F0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07A5" w:rsidRP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>23,6</w:t>
      </w:r>
      <w:r w:rsidRPr="001B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дотация на поддержку мер по обеспечению сбалансированности бюджетов. </w:t>
      </w:r>
    </w:p>
    <w:p w:rsidR="006F00D5" w:rsidRPr="005D6AA4" w:rsidRDefault="006F00D5" w:rsidP="006F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Субвенции поступили в сумме </w:t>
      </w:r>
      <w:r w:rsidR="005D6AA4"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>95,5</w:t>
      </w:r>
      <w:r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(100,0%), в том числе:</w:t>
      </w:r>
    </w:p>
    <w:p w:rsidR="006F00D5" w:rsidRPr="005D6AA4" w:rsidRDefault="006F00D5" w:rsidP="006F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осуществление первичного воинского учета на территориях, где отсутствуют военные комиссариаты – </w:t>
      </w:r>
      <w:r w:rsidR="005D6AA4"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>93,5</w:t>
      </w:r>
      <w:r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F00D5" w:rsidRPr="005D6AA4" w:rsidRDefault="006F00D5" w:rsidP="006F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выполнение передаваемых  полномочий субъектов РФ </w:t>
      </w:r>
      <w:r w:rsidR="005D6AA4"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AA4"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D6AA4" w:rsidRPr="005D6AA4" w:rsidRDefault="006F00D5" w:rsidP="006F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2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сельских поселений составили </w:t>
      </w:r>
      <w:r w:rsidR="005D6AA4"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>383,0</w:t>
      </w:r>
      <w:r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D6AA4"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5D6AA4"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5D6AA4" w:rsidRPr="005D6AA4" w:rsidRDefault="005D6AA4" w:rsidP="006F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организацию уличного освещения в рамках программы «Энергоэфективность и развитие газификации на территории Вологодской области на 2014-2020 годы» - 299,0 тыс. рублей;</w:t>
      </w:r>
    </w:p>
    <w:p w:rsidR="005D6AA4" w:rsidRPr="005D6AA4" w:rsidRDefault="005D6AA4" w:rsidP="006F0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 реализацию мероприятий </w:t>
      </w:r>
      <w:r w:rsidR="0077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«Народный бюджет» </w:t>
      </w:r>
      <w:r w:rsidRPr="005D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- 84,0 тыс. рублей.</w:t>
      </w:r>
    </w:p>
    <w:p w:rsidR="00F7315C" w:rsidRDefault="006F00D5" w:rsidP="00F7315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межбюджетные трансферты поступили в бюджет поселения в сумме </w:t>
      </w:r>
      <w:r w:rsidR="005D6AA4" w:rsidRP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>1599,1</w:t>
      </w:r>
      <w:r w:rsidRP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  <w:r w:rsidR="008077DE" w:rsidRP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осуществление части полномочий по </w:t>
      </w:r>
      <w:r w:rsidR="008077DE" w:rsidRPr="008077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вопросов местного значения в соответствии</w:t>
      </w:r>
      <w:r w:rsidR="008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заключенными соглашениями – 1580,9</w:t>
      </w:r>
      <w:r w:rsidR="008077DE" w:rsidRPr="008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</w:t>
      </w:r>
      <w:r w:rsidR="008077DE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8077DE" w:rsidRPr="008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 </w:t>
      </w:r>
      <w:r w:rsidR="008077DE">
        <w:rPr>
          <w:rFonts w:ascii="Times New Roman" w:eastAsia="Times New Roman" w:hAnsi="Times New Roman" w:cs="Times New Roman"/>
          <w:sz w:val="28"/>
          <w:szCs w:val="28"/>
          <w:lang w:eastAsia="ru-RU"/>
        </w:rPr>
        <w:t>299,0</w:t>
      </w:r>
      <w:r w:rsidR="008077DE" w:rsidRPr="008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направляется на содержание дорог, 7,3 тыс. рублей –</w:t>
      </w:r>
      <w:r w:rsidR="008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DE" w:rsidRPr="008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администрирование в сфере дорожной деятельности, </w:t>
      </w:r>
      <w:r w:rsidR="008077DE">
        <w:rPr>
          <w:rFonts w:ascii="Times New Roman" w:eastAsia="Times New Roman" w:hAnsi="Times New Roman" w:cs="Times New Roman"/>
          <w:sz w:val="28"/>
          <w:szCs w:val="28"/>
          <w:lang w:eastAsia="ru-RU"/>
        </w:rPr>
        <w:t>1274,6</w:t>
      </w:r>
      <w:r w:rsidR="008077DE" w:rsidRPr="008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-  на повышение минимального размера оплаты труда работникам администрации поселения и работникам МБУ ФОК «Олимп»</w:t>
      </w:r>
      <w:r w:rsidR="00807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18,2 тыс. рублей на</w:t>
      </w:r>
      <w:r w:rsidR="00F7315C" w:rsidRPr="00F7315C">
        <w:rPr>
          <w:rFonts w:ascii="Times New Roman" w:hAnsi="Times New Roman" w:cs="Times New Roman"/>
          <w:sz w:val="28"/>
          <w:szCs w:val="28"/>
        </w:rPr>
        <w:t xml:space="preserve"> </w:t>
      </w:r>
      <w:r w:rsidR="00F7315C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затрат, связанных с выплатой заработной платы </w:t>
      </w:r>
      <w:r w:rsid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организации общественных работ.</w:t>
      </w:r>
    </w:p>
    <w:p w:rsidR="006F00D5" w:rsidRPr="00F7315C" w:rsidRDefault="006F00D5" w:rsidP="00F7315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от денежных пожертвований, поступивших от физических и юридических лиц – </w:t>
      </w:r>
      <w:r w:rsidR="00F7315C" w:rsidRP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P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</w:t>
      </w:r>
      <w:r w:rsidR="00F7315C" w:rsidRP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>24,0</w:t>
      </w:r>
      <w:r w:rsidRP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от ООО «Холбит»</w:t>
      </w:r>
      <w:r w:rsidR="00F7315C" w:rsidRP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15C" w:rsidRP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P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от населения на реализацию проекта «Народный бюджет».</w:t>
      </w:r>
    </w:p>
    <w:p w:rsidR="006F00D5" w:rsidRPr="009172BF" w:rsidRDefault="006F00D5" w:rsidP="00F731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остатков субсидий, субвенций и ИМТ, имеющих  целевое назначение  из бюджета поселения на осуществление дорожной деятельности </w:t>
      </w:r>
      <w:r w:rsidR="00F7315C" w:rsidRP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отсутствует</w:t>
      </w:r>
      <w:r w:rsidRPr="00F7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00D5" w:rsidRPr="009172BF" w:rsidRDefault="006F00D5" w:rsidP="00F7315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6F00D5" w:rsidRPr="00F7315C" w:rsidRDefault="006F00D5" w:rsidP="00F7315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3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Исполнение расходной части бюджета  составило </w:t>
      </w:r>
      <w:r w:rsidR="00F7315C" w:rsidRPr="00F73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4974,6</w:t>
      </w:r>
      <w:r w:rsidRPr="00F73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F7315C" w:rsidRPr="00F73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</w:t>
      </w:r>
      <w:r w:rsidRPr="00F731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94A0D" w:rsidRDefault="006F00D5" w:rsidP="00E94A0D">
      <w:pPr>
        <w:spacing w:after="0" w:line="240" w:lineRule="auto"/>
        <w:ind w:left="426" w:firstLine="351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F7315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Структура  расходной части бюджета за 20</w:t>
      </w:r>
      <w:r w:rsidR="00F7315C" w:rsidRPr="00F7315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20 </w:t>
      </w:r>
      <w:r w:rsidRPr="00F7315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год</w:t>
      </w:r>
    </w:p>
    <w:p w:rsidR="00E94A0D" w:rsidRPr="00F7315C" w:rsidRDefault="00E94A0D" w:rsidP="00E94A0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77A90AD" wp14:editId="7E4A1EE2">
            <wp:extent cx="5781675" cy="4005263"/>
            <wp:effectExtent l="0" t="0" r="9525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6F00D5" w:rsidRPr="00AF1421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AF142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0100 «Общегосударственные вопросы» </w:t>
      </w: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AF1421"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2408,5</w:t>
      </w: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F1421"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</w:t>
      </w: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годовых назначений. Доля расходов по данному разделу в общем объеме расходов бюджета поселения составила </w:t>
      </w:r>
      <w:r w:rsidR="00AF1421"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48,4</w:t>
      </w: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</w:t>
      </w:r>
    </w:p>
    <w:p w:rsidR="006F00D5" w:rsidRPr="00AF1421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 в 20</w:t>
      </w:r>
      <w:r w:rsidR="00AF1421"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на:</w:t>
      </w:r>
    </w:p>
    <w:p w:rsidR="006F00D5" w:rsidRPr="00AF1421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функционирование органов местного самоуправления поселения – </w:t>
      </w:r>
      <w:r w:rsid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2136,6</w:t>
      </w: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F00D5" w:rsidRPr="00AF1421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функционирование высшего должностного лица муниципального образования – </w:t>
      </w:r>
      <w:r w:rsidR="00AF1421"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564,0</w:t>
      </w: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6F00D5" w:rsidRPr="00AF1421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функционирование местной администрации -</w:t>
      </w:r>
      <w:r w:rsidR="00AF1421"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</w:t>
      </w:r>
      <w:r w:rsid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F1421"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6F00D5" w:rsidRPr="00AF1421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иные межбюджетные трансферты – </w:t>
      </w:r>
      <w:r w:rsidR="00AF1421"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66,6</w:t>
      </w: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F00D5" w:rsidRPr="00AF1421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осуществление полномочий контрольно-счетного органа поселения по осуществлению внешнего муниципального финансового контроля – </w:t>
      </w:r>
      <w:r w:rsidR="00AF1421"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56,2</w:t>
      </w: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</w:t>
      </w:r>
    </w:p>
    <w:p w:rsidR="006F00D5" w:rsidRPr="00AF1421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14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осуществление полномочий в сфере  внутреннего муниципального финансового контроля – 10,4 тыс. рублей; </w:t>
      </w:r>
    </w:p>
    <w:p w:rsidR="006F00D5" w:rsidRPr="00AD42D2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D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общегосударственные вопросы – </w:t>
      </w:r>
      <w:r w:rsidR="00AF1421" w:rsidRPr="00AD42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D42D2" w:rsidRPr="00AD42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1421" w:rsidRPr="00AD42D2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AD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6F00D5" w:rsidRPr="009172BF" w:rsidRDefault="006F00D5" w:rsidP="006F00D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межбюджетные трансферты передаваемые на уровень района  на осуществление полномочий по составлению и рассмотрению проекта бюджета поселения, утверждению и исполнению бюджета поселения, осуществления контроля за его исполнением,  составлению и 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утверждению отчета об исполнении бюджета поселения в части ведения бухгалтерского учета – </w:t>
      </w:r>
      <w:r w:rsidR="00155A9B"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202,3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6F00D5" w:rsidRPr="009172BF" w:rsidRDefault="006F00D5" w:rsidP="006F00D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</w:t>
      </w:r>
      <w:r w:rsidRPr="00155A9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членские взносы в Ассоциацию «Совет муниципальных образований» - 3,0 тыс. рублей.</w:t>
      </w:r>
    </w:p>
    <w:p w:rsidR="006F00D5" w:rsidRPr="009172BF" w:rsidRDefault="006F00D5" w:rsidP="006F00D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F00D5" w:rsidRPr="00155A9B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по </w:t>
      </w:r>
      <w:r w:rsidRPr="00155A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0200 «Национальная оборона» 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исполнены в сумме</w:t>
      </w:r>
      <w:r w:rsidRPr="00155A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55A9B"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93,5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100,0 % от годовых назначений. Доля расходов по данному разделу в общем объеме расходов бюджета поселения составила 1,</w:t>
      </w:r>
      <w:r w:rsidR="00155A9B"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По данному разделу произведены расходы на осуществление первичного воинского учета на территории поселения, где отсутствуют военные комиссариаты.</w:t>
      </w:r>
    </w:p>
    <w:p w:rsidR="006F00D5" w:rsidRPr="009172BF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6F00D5" w:rsidRPr="00155A9B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Расходы по </w:t>
      </w:r>
      <w:r w:rsidRPr="00155A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 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выполнение полномочий  по пожарной безопасности направлено </w:t>
      </w:r>
      <w:r w:rsidR="00155A9B"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20,3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100,0 от утвержденных годовых назначений. Средства направлены на приобретение огнетушителей и табличек для пожарных водоемов. Доля расходов по данному разделу в общем объеме расходов бюджета поселения составила </w:t>
      </w:r>
      <w:r w:rsidR="00155A9B"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6F00D5" w:rsidRPr="009172BF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6F00D5" w:rsidRPr="00155A9B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155A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0400 «Национальная экономика» 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155A9B"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299,0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100,0 % от годовых назначений. Доля расходов по данному разделу в общем объеме расходов  бюджета поселения составила </w:t>
      </w:r>
      <w:r w:rsidR="00155A9B"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 </w:t>
      </w:r>
    </w:p>
    <w:p w:rsidR="006F00D5" w:rsidRPr="00155A9B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заключенным Соглашением между администрацией района и администрацией поселения осуществлялись полномочия по содержанию дорог в границах поселения в сумме </w:t>
      </w:r>
      <w:r w:rsidR="00155A9B"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299,0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за счет иных межбюджетных трансфертов из бюджета района.    </w:t>
      </w:r>
    </w:p>
    <w:p w:rsidR="006F00D5" w:rsidRPr="009172BF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6F00D5" w:rsidRPr="00155A9B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155A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0500 «Жилищно-коммунальное хозяйство» 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155A9B"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547,9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55A9B"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155A9B"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11,0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  </w:t>
      </w:r>
    </w:p>
    <w:p w:rsidR="006F00D5" w:rsidRPr="00155A9B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 в 20</w:t>
      </w:r>
      <w:r w:rsidR="00155A9B"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по подразделу 0503 «Благоустройство» в сумме </w:t>
      </w:r>
      <w:r w:rsidR="00155A9B"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>547,9</w:t>
      </w:r>
      <w:r w:rsidRPr="00155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(согласно пояснительной записке администрации поселения): </w:t>
      </w:r>
    </w:p>
    <w:p w:rsidR="006F00D5" w:rsidRPr="00940CFD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уличное освещение                   -  </w:t>
      </w:r>
      <w:r w:rsidR="00940CFD"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>401,1</w:t>
      </w:r>
      <w:r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 за счет софинансирования  из областного бюджета в сумме </w:t>
      </w:r>
      <w:r w:rsidR="002B7550"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299,0</w:t>
      </w:r>
      <w:r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940CFD"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бюджета поселения 102,1 тыс. рублей</w:t>
      </w:r>
      <w:r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00D5" w:rsidRPr="00940CFD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расходы по проекту «Народный бюджет»  -      </w:t>
      </w:r>
      <w:r w:rsidR="002B7550"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120,0</w:t>
      </w:r>
      <w:r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B7550"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 софинансирования  из областного бюджета в сумме 84,0 тыс. рублей и за</w:t>
      </w:r>
      <w:r w:rsidR="00940CFD"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B7550"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счет пожертвований физических и юридических лиц в сумме 31,2 тыс. рублей</w:t>
      </w:r>
      <w:r w:rsidR="00940CFD"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средства бюджета поселения 4,8 тыс. рублей</w:t>
      </w:r>
      <w:r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00D5" w:rsidRPr="00940CFD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расходы на прочие мероприятия по благоустройству – </w:t>
      </w:r>
      <w:r w:rsidR="00940CFD"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>8,6 тыс. рублей;</w:t>
      </w:r>
    </w:p>
    <w:p w:rsidR="00940CFD" w:rsidRPr="00940CFD" w:rsidRDefault="00940CFD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940C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реализация мероприятий по организации общественных работ – 18,2 тыс. рублей.</w:t>
      </w:r>
    </w:p>
    <w:p w:rsidR="006F00D5" w:rsidRPr="009172BF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6F00D5" w:rsidRPr="005C4447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5C44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0700 «Образование» 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исполнены в сумме 0,</w:t>
      </w:r>
      <w:r w:rsidR="005C4447"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  % от годовых назначений.</w:t>
      </w:r>
    </w:p>
    <w:p w:rsidR="006F00D5" w:rsidRPr="005C4447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расходов по рассматриваемому разделу в 20</w:t>
      </w:r>
      <w:r w:rsidR="005C4447"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мероприятий в области молодежной политики – 0,</w:t>
      </w:r>
      <w:r w:rsidR="00C95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6F00D5" w:rsidRPr="005C4447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5C44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1000 «Социальная политика» 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5C4447"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195,9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100,0 % от годовых назначений. Доля расходов по данному разделу в общем объеме расходов бюджета поселения составила </w:t>
      </w:r>
      <w:r w:rsidR="005C4447"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3,99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6F00D5" w:rsidRPr="005C4447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данном разделе отражены расходы  на доплату к пенси</w:t>
      </w:r>
      <w:r w:rsidR="005C4447"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бывшей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</w:t>
      </w:r>
      <w:r w:rsid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</w:t>
      </w:r>
      <w:r w:rsidR="005C4447"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бывшей </w:t>
      </w:r>
      <w:r w:rsidR="005C4447"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главному бухгалтеру</w:t>
      </w:r>
      <w:r w:rsid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00D5" w:rsidRPr="009172BF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6F00D5" w:rsidRPr="009172BF" w:rsidRDefault="006F00D5" w:rsidP="006F00D5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5C44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1100 «Физическая культура и спорт» 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 </w:t>
      </w:r>
      <w:r w:rsidR="005C4447"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1409,0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100,0 % от годовых назначений. Доля расходов по данному разделу в общем объеме расходов бюджета поселения составила </w:t>
      </w:r>
      <w:r w:rsidR="005C4447"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28,3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6F00D5" w:rsidRDefault="006F00D5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расходы на предоставление субсидий на выполнение муниципального задания МБУ ФОК «Олимп» в сумме </w:t>
      </w:r>
      <w:r w:rsidR="005C4447"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1406,3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за счет реализации  расходных обязательств  в части выплаты заработной платы работникам муниципальных учреждений в сумме </w:t>
      </w:r>
      <w:r w:rsidR="005C4447"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707,1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физкультурно-оздоровительную работу и проведение мероприятий по физической культуре и спорту в сумме </w:t>
      </w:r>
      <w:r w:rsidR="005C4447"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5C44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67F46" w:rsidRPr="00D67F46" w:rsidRDefault="00D67F46" w:rsidP="006F00D5">
      <w:pPr>
        <w:spacing w:after="0" w:line="240" w:lineRule="auto"/>
        <w:ind w:left="426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7F46" w:rsidRDefault="006F00D5" w:rsidP="006F00D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7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67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В проекте решения в </w:t>
      </w:r>
      <w:r w:rsidR="00D67F46" w:rsidRPr="00D67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приложениях </w:t>
      </w:r>
      <w:r w:rsidRPr="00D67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D67F46" w:rsidRPr="00D67F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,3 и 4 допущены ошибки, которые в период проверки устранены в полном объеме.</w:t>
      </w:r>
    </w:p>
    <w:p w:rsidR="00A9648E" w:rsidRPr="00D67F46" w:rsidRDefault="00A9648E" w:rsidP="006F00D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00D5" w:rsidRPr="00D67F46" w:rsidRDefault="006F00D5" w:rsidP="00D67F46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6F00D5" w:rsidRPr="00D67F46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6F00D5" w:rsidRPr="00D67F46" w:rsidRDefault="006F00D5" w:rsidP="006F00D5">
      <w:pPr>
        <w:spacing w:after="0" w:line="240" w:lineRule="auto"/>
        <w:ind w:left="426" w:firstLine="3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67F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Дефицит бюджета поселения, источники его покрытия</w:t>
      </w:r>
    </w:p>
    <w:p w:rsidR="006F00D5" w:rsidRPr="009172BF" w:rsidRDefault="006F00D5" w:rsidP="006F00D5">
      <w:pPr>
        <w:spacing w:after="0" w:line="240" w:lineRule="auto"/>
        <w:ind w:left="426" w:firstLine="3"/>
        <w:contextualSpacing/>
        <w:jc w:val="center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6F00D5" w:rsidRPr="00B767B8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 xml:space="preserve">        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Совета поселения от</w:t>
      </w:r>
      <w:r w:rsidRPr="00B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7F46" w:rsidRPr="00B767B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D67F46" w:rsidRPr="00B767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7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67F46" w:rsidRPr="00B767B8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Туровецкое  на 20</w:t>
      </w:r>
      <w:r w:rsidR="00D67F46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67F46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D67F46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 первоначальный бюджет поселения на 20</w:t>
      </w:r>
      <w:r w:rsidR="00587978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без дефицита (профицита).  Решением Совета поселения от 2</w:t>
      </w:r>
      <w:r w:rsidR="00587978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 20</w:t>
      </w:r>
      <w:r w:rsidR="00587978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</w:t>
      </w:r>
      <w:r w:rsidR="00587978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68 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 изменений  в решение от 2</w:t>
      </w:r>
      <w:r w:rsidR="00587978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587978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№ </w:t>
      </w:r>
      <w:r w:rsidR="00587978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58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уточненный бюджет утвержден  </w:t>
      </w:r>
      <w:r w:rsidR="00587978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67B8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87978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сумме 255,3 тыс. рублей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767B8">
        <w:rPr>
          <w:rFonts w:eastAsiaTheme="minorEastAsia"/>
          <w:sz w:val="28"/>
          <w:szCs w:val="28"/>
          <w:lang w:eastAsia="ru-RU"/>
        </w:rPr>
        <w:t xml:space="preserve">         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F00D5" w:rsidRPr="00B767B8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 xml:space="preserve">      В результате исполнения  бюджета поселения за 20</w:t>
      </w:r>
      <w:r w:rsidR="00B767B8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получен профицит в сумме </w:t>
      </w:r>
      <w:r w:rsidR="00C95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239,6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данными  баланса исполнения  бюджета поселения  объем остатков средств  бюджета поселения  по состоянию на 01.01.20</w:t>
      </w:r>
      <w:r w:rsidR="00B767B8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34,2</w:t>
      </w:r>
      <w:r w:rsidR="00B767B8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на 01.01.202</w:t>
      </w:r>
      <w:r w:rsidR="00B767B8"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273,8</w:t>
      </w:r>
      <w:r w:rsidRPr="00B767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F00D5" w:rsidRPr="009172BF" w:rsidRDefault="006F00D5" w:rsidP="006F00D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6F00D5" w:rsidRPr="00116B92" w:rsidRDefault="006F00D5" w:rsidP="006F00D5">
      <w:pPr>
        <w:spacing w:after="0" w:line="240" w:lineRule="auto"/>
        <w:ind w:left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16B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Муниципальный долг</w:t>
      </w:r>
    </w:p>
    <w:p w:rsidR="006F00D5" w:rsidRPr="00116B92" w:rsidRDefault="006F00D5" w:rsidP="006F00D5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00D5" w:rsidRPr="00116B92" w:rsidRDefault="006F00D5" w:rsidP="006F00D5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16B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116B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отчетный период  в поселении Туровецкое долговые обязательства по бюджетным кредитам и муниципальным гарантиям отсутствуют.</w:t>
      </w:r>
      <w:r w:rsidRPr="00116B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F00D5" w:rsidRPr="009172BF" w:rsidRDefault="006F00D5" w:rsidP="006F00D5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6F00D5" w:rsidRPr="00116B92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F00D5" w:rsidRPr="00116B92" w:rsidRDefault="006F00D5" w:rsidP="006F00D5">
      <w:pPr>
        <w:spacing w:after="0" w:line="240" w:lineRule="auto"/>
        <w:ind w:left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16B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Кредиторская и дебиторская задолженность</w:t>
      </w:r>
    </w:p>
    <w:p w:rsidR="006F00D5" w:rsidRPr="009172BF" w:rsidRDefault="006F00D5" w:rsidP="006F00D5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bCs/>
          <w:color w:val="C00000"/>
          <w:sz w:val="28"/>
          <w:szCs w:val="28"/>
          <w:lang w:eastAsia="ru-RU"/>
        </w:rPr>
      </w:pPr>
    </w:p>
    <w:p w:rsidR="006F00D5" w:rsidRPr="00052F4D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 получателей средств бюджета  поселения  по состоянию на 01.01.202</w:t>
      </w:r>
      <w:r w:rsidR="00393921"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393921"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167,3</w:t>
      </w:r>
      <w:r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просроченная кредиторская задолженность отсутствует.   На 01.01.20</w:t>
      </w:r>
      <w:r w:rsidR="00393921"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кредиторская задолженность  составляла  </w:t>
      </w:r>
      <w:r w:rsidR="00393921"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148,5</w:t>
      </w:r>
      <w:r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просроченная кредиторская задолженность также отсутствовала.  По сравнению с 20</w:t>
      </w:r>
      <w:r w:rsidR="00052F4D"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у</w:t>
      </w:r>
      <w:r w:rsidR="00052F4D"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величился</w:t>
      </w:r>
      <w:r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052F4D"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18,8</w:t>
      </w:r>
      <w:r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на </w:t>
      </w:r>
      <w:r w:rsidR="00052F4D"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12,7</w:t>
      </w:r>
      <w:r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Структура кредиторской задолженности имеет следующий вид: </w:t>
      </w:r>
    </w:p>
    <w:p w:rsidR="006F00D5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задолженность по данным налоговой инспекции – </w:t>
      </w:r>
      <w:r w:rsidR="00052F4D"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88,4</w:t>
      </w:r>
      <w:r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52F4D" w:rsidRPr="00052F4D" w:rsidRDefault="00052F4D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</w:t>
      </w:r>
      <w:r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задолженность  по авансовому отчету – 0,1 тыс. рублей;</w:t>
      </w:r>
    </w:p>
    <w:p w:rsidR="006F00D5" w:rsidRPr="00052F4D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задолженность  за услуги связи за декабрь  20</w:t>
      </w:r>
      <w:r w:rsidR="00052F4D"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– </w:t>
      </w:r>
      <w:r w:rsidR="00052F4D"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6F00D5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задолженность за электроэнергию за декабрь 20</w:t>
      </w:r>
      <w:r w:rsidR="00052F4D"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– </w:t>
      </w:r>
      <w:r w:rsidR="00052F4D"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51,9 тыс. рублей;</w:t>
      </w:r>
    </w:p>
    <w:p w:rsidR="00052F4D" w:rsidRPr="00052F4D" w:rsidRDefault="00052F4D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задолженность  по договорам  с финансистом и за пред рейсовый осмотр – 13,8 тыс. рублей;</w:t>
      </w:r>
    </w:p>
    <w:p w:rsidR="00052F4D" w:rsidRPr="00052F4D" w:rsidRDefault="00052F4D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задолженность в МРИ ФНС России №1 по НДФЛ за декабрь 2020 года – 2,0 тыс. рублей;</w:t>
      </w:r>
    </w:p>
    <w:p w:rsidR="00052F4D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="00052F4D"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задолженность в МРИ ФНС России №1 по </w:t>
      </w:r>
      <w:r w:rsid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страховым взносам </w:t>
      </w:r>
      <w:r w:rsidR="00052F4D"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декабрь 2020 года – </w:t>
      </w:r>
      <w:r w:rsidR="004B57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5,6 </w:t>
      </w:r>
      <w:r w:rsidR="00052F4D" w:rsidRPr="00052F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</w:t>
      </w:r>
      <w:r w:rsidR="004B5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6F00D5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116B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задолженность перед получателями бюджетных средств на 01.01.202</w:t>
      </w:r>
      <w:r w:rsidR="00116B92" w:rsidRPr="00116B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16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составила </w:t>
      </w:r>
      <w:r w:rsidR="00116B92" w:rsidRPr="00116B92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65,1</w:t>
      </w:r>
      <w:r w:rsidRPr="00116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 у</w:t>
      </w:r>
      <w:r w:rsidR="00116B92" w:rsidRPr="00116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величилась </w:t>
      </w:r>
      <w:r w:rsidRPr="00116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116B92" w:rsidRPr="00116B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16,5</w:t>
      </w:r>
      <w:r w:rsidRPr="00116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16B92" w:rsidRPr="00116B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34,0</w:t>
      </w:r>
      <w:r w:rsidRPr="00116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Структур дебиторской задолженности имеет следующий вид:</w:t>
      </w:r>
    </w:p>
    <w:p w:rsidR="003902F3" w:rsidRDefault="003902F3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авансовые платежи за  электроэнергию (за декабрь 2020 года)  ООО «Северная сбытовая компания» - 23,5 тыс. рублей;</w:t>
      </w:r>
    </w:p>
    <w:p w:rsidR="003902F3" w:rsidRPr="003C699C" w:rsidRDefault="003902F3" w:rsidP="003902F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авансовые платежи за  подписку  (за декабрь 2020 года)  УФПС  «Почта России» - </w:t>
      </w:r>
      <w:r w:rsidR="003C699C" w:rsidRPr="003C69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3C69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3902F3" w:rsidRPr="00393921" w:rsidRDefault="003C699C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69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3902F3" w:rsidRPr="003C69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69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задолженность по налогам по данным налоговой инспекции  – 38,5 тыс. </w:t>
      </w:r>
      <w:r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рублей; </w:t>
      </w:r>
      <w:r w:rsidRPr="0039392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</w:p>
    <w:p w:rsidR="006F00D5" w:rsidRPr="00393921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- </w:t>
      </w:r>
      <w:r w:rsidR="003C699C"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переплата  МРИ ФНС России №1 по НДФЛ</w:t>
      </w:r>
      <w:r w:rsidR="003902F3"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r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902F3"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</w:t>
      </w:r>
      <w:r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  <w:r w:rsidRPr="0039392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</w:p>
    <w:p w:rsidR="006F00D5" w:rsidRPr="00393921" w:rsidRDefault="00393921" w:rsidP="006F00D5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3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Просроченная дебиторская задолженность на 01.01.2021 года составила 38,5 тыс. рублей по налогам.</w:t>
      </w:r>
    </w:p>
    <w:p w:rsidR="006F00D5" w:rsidRPr="009172BF" w:rsidRDefault="006F00D5" w:rsidP="006F00D5">
      <w:pPr>
        <w:spacing w:after="0" w:line="240" w:lineRule="auto"/>
        <w:ind w:left="426" w:right="-143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6F00D5" w:rsidRPr="004B5705" w:rsidRDefault="006F00D5" w:rsidP="006F00D5">
      <w:pPr>
        <w:spacing w:after="0" w:line="240" w:lineRule="auto"/>
        <w:ind w:left="426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 Резервный фонд</w:t>
      </w:r>
    </w:p>
    <w:p w:rsidR="006F00D5" w:rsidRPr="009172BF" w:rsidRDefault="006F00D5" w:rsidP="006F00D5">
      <w:pPr>
        <w:spacing w:after="0" w:line="240" w:lineRule="auto"/>
        <w:ind w:left="426"/>
        <w:contextualSpacing/>
        <w:jc w:val="center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6F00D5" w:rsidRPr="004B5705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7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соответствии со статьей 81 Бюджетного кодекса Российской Федерации с отчетом об исполнении бюджета поселения за 20</w:t>
      </w:r>
      <w:r w:rsidR="004B5705" w:rsidRPr="004B5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B57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представлена информация о расходовании  средств резервного фонда за 20</w:t>
      </w:r>
      <w:r w:rsidR="004B5705" w:rsidRPr="004B5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B57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</w:t>
      </w:r>
      <w:r w:rsidR="004B5705" w:rsidRPr="004B57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5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Исходя из анализа расходной части бюджета поселения в разделе 0100 «Общегосударственные расходы» расход средств по подразделу 0111«Резервные фонды» не проводился.</w:t>
      </w:r>
    </w:p>
    <w:p w:rsidR="006F00D5" w:rsidRPr="004B5705" w:rsidRDefault="006F00D5" w:rsidP="006F00D5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00D5" w:rsidRPr="004B5705" w:rsidRDefault="006F00D5" w:rsidP="006F00D5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B570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9. Выводы  и  предложения</w:t>
      </w:r>
    </w:p>
    <w:p w:rsidR="006F00D5" w:rsidRPr="009172BF" w:rsidRDefault="006F00D5" w:rsidP="006F00D5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6F00D5" w:rsidRPr="006B738E" w:rsidRDefault="006F00D5" w:rsidP="006F0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3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бюджета поселения за 20</w:t>
      </w:r>
      <w:r w:rsidR="006B738E" w:rsidRPr="006B73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ревизионную комиссию Представительного Собрания района </w:t>
      </w:r>
      <w:r w:rsidR="006B738E" w:rsidRPr="006B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</w:t>
      </w:r>
      <w:r w:rsidRPr="006B73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</w:t>
      </w:r>
      <w:r w:rsidR="006B738E" w:rsidRPr="006B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B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="006B738E" w:rsidRPr="006B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738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Наличие представленных документов и материалов к отчету об исполнении бюджета поселения за 20</w:t>
      </w:r>
      <w:r w:rsidR="006B738E" w:rsidRPr="006B73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соответствует перечню, установленному статьей 43  Положения о бюджетном процессе, утвержденного решением Совета поселения от </w:t>
      </w:r>
      <w:r w:rsidRPr="006B73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05 декабря 2014 года №37 </w:t>
      </w:r>
      <w:r w:rsidRPr="006B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нормам статьи 264.6 Бюджетного кодекса Российской Федерации.  </w:t>
      </w:r>
    </w:p>
    <w:p w:rsidR="006F00D5" w:rsidRPr="006B738E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</w:t>
      </w:r>
      <w:r w:rsidR="006B738E"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поселения.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Первоначально в бюджете поселения на 20</w:t>
      </w:r>
      <w:r w:rsidR="006B738E"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предусмотрено  доходов в сумме </w:t>
      </w:r>
      <w:r w:rsidR="006B738E"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4839,0</w:t>
      </w:r>
      <w:r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собственных доходов в объеме </w:t>
      </w:r>
      <w:r w:rsidR="006B738E"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492,9</w:t>
      </w:r>
      <w:r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С учетом изменений в бюджет  поселения  в течение 20</w:t>
      </w:r>
      <w:r w:rsidR="006B738E"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произошло увеличение доходов на </w:t>
      </w:r>
      <w:r w:rsidR="006B738E"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393,3</w:t>
      </w:r>
      <w:r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B738E"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8,1</w:t>
      </w:r>
      <w:r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в части собственных доходов     у</w:t>
      </w:r>
      <w:r w:rsidR="006B738E"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составило  </w:t>
      </w:r>
      <w:r w:rsidR="006B738E"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66,7</w:t>
      </w:r>
      <w:r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B738E"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13,5</w:t>
      </w:r>
      <w:r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в части безвозмездных поступлений увеличение – </w:t>
      </w:r>
      <w:r w:rsidR="006B738E"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460,0</w:t>
      </w:r>
      <w:r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B738E"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10,6</w:t>
      </w:r>
      <w:r w:rsidRPr="006B73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</w:t>
      </w:r>
    </w:p>
    <w:p w:rsidR="006F00D5" w:rsidRPr="00FB562E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бюджет поселения за 20</w:t>
      </w:r>
      <w:r w:rsidR="00FB562E"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FB562E"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>5214,2</w:t>
      </w:r>
      <w:r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 </w:t>
      </w:r>
      <w:r w:rsidR="00FB562E"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99,6</w:t>
      </w:r>
      <w:r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FB562E"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>5232,3</w:t>
      </w:r>
      <w:r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Фактическое исполнение  собственных доходов в отчетном периоде  ниже  утвержденных годовых назначений на </w:t>
      </w:r>
      <w:r w:rsidR="00FB562E"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18,1</w:t>
      </w:r>
      <w:r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B562E"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>4,3</w:t>
      </w:r>
      <w:r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поселения в 20</w:t>
      </w:r>
      <w:r w:rsidR="00FB562E"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</w:t>
      </w:r>
      <w:r w:rsidR="00FB562E"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201</w:t>
      </w:r>
      <w:r w:rsidR="00FB562E"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годом на </w:t>
      </w:r>
      <w:r w:rsidR="00FB562E"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>426,5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B562E"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>7,6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 в части собственных доходов произошло </w:t>
      </w:r>
      <w:r w:rsidR="00FB562E"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B562E"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>47,9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или </w:t>
      </w:r>
      <w:r w:rsidR="00FB562E"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Наиболее значительное </w:t>
      </w:r>
      <w:r w:rsidRPr="00FB5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FB562E" w:rsidRPr="00FB5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FB5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по налогу на 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имущество физических лиц  в сумме </w:t>
      </w:r>
      <w:r w:rsidR="00FB562E"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>49,5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налогу на доходы физических лиц на </w:t>
      </w:r>
      <w:r w:rsidR="00FB562E"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>22,4</w:t>
      </w:r>
      <w:r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по </w:t>
      </w:r>
      <w:r w:rsidR="00FB562E"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налогу на 14,5 тыс. рублей,  по   доходам от реализации муниципального имущества произошло </w:t>
      </w:r>
      <w:r w:rsidR="00FB562E" w:rsidRPr="00FB5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FB562E" w:rsidRPr="00FB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44,6 тыс. рублей.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структуре собственных доходов наибольший удельный вес  занимает налог на доходы физических лиц – </w:t>
      </w:r>
      <w:r w:rsidR="00FB562E"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165,7</w:t>
      </w:r>
      <w:r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B562E"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40,6</w:t>
      </w:r>
      <w:r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налог на имущество физических лиц </w:t>
      </w:r>
      <w:r w:rsidR="00FB562E"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110,4</w:t>
      </w:r>
      <w:r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B562E"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27,0</w:t>
      </w:r>
      <w:r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 земельный налог -</w:t>
      </w:r>
      <w:r w:rsidR="00FB562E"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>83,5</w:t>
      </w:r>
      <w:r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B562E"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20,5</w:t>
      </w:r>
      <w:r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</w:t>
      </w:r>
      <w:r w:rsidR="00FB562E"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доходы от реализации муниципального имущества – 44,6 тыс. рублей</w:t>
      </w:r>
      <w:r w:rsidRPr="00FB56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F00D5" w:rsidRPr="009F0C18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Фактическое исполнение  безвозмездных поступлений в отчетном периоде  </w:t>
      </w:r>
      <w:r w:rsidR="009F0C18"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составило 100,0 % </w:t>
      </w:r>
      <w:r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утвержденных годовых назначений.</w:t>
      </w:r>
    </w:p>
    <w:p w:rsidR="006F00D5" w:rsidRPr="009F0C18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Расходы бюджета поселения произведены в сумме </w:t>
      </w:r>
      <w:r w:rsidR="009F0C18"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4974,6</w:t>
      </w:r>
      <w:r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9F0C18"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</w:t>
      </w:r>
      <w:r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Бюджет поселения исполнен с профицитом в размере </w:t>
      </w:r>
      <w:r w:rsidR="009F0C18"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239,6</w:t>
      </w:r>
      <w:r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Остаток  бюджетных средств на счете поселения  на 31.12. 201</w:t>
      </w:r>
      <w:r w:rsidR="009F0C18"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9F0C18"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34,2</w:t>
      </w:r>
      <w:r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31.12. 20</w:t>
      </w:r>
      <w:r w:rsidR="009F0C18"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</w:t>
      </w:r>
      <w:r w:rsidR="009F0C18"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273,8</w:t>
      </w:r>
      <w:r w:rsidRP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F00D5" w:rsidRPr="00BF41EC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="009F0C1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Расходная часть бюджета  поселения в 2020 году по сравнению с 2019 годом  также уменьшил</w:t>
      </w:r>
      <w:r w:rsidR="009574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ась</w:t>
      </w:r>
      <w:r w:rsidR="009F0C18" w:rsidRPr="00762C5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на 678,7  тыс. рублей, или на 12,0 процентов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числе: общегосударственные вопросы на 266,8 тыс. рублей (на 10,0%), жилищно-коммунальное хозяйство на 582,9 тыс. рублей (на 51,5%), образование на 0,2 тыс. рублей (на 28,6%). 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Увеличение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0C18" w:rsidRPr="008A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</w:t>
      </w:r>
      <w:r w:rsid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</w:t>
      </w:r>
      <w:r w:rsidR="009F0C18" w:rsidRPr="008A4A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оборон</w:t>
      </w:r>
      <w:r w:rsidR="009F0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1,4 тыс. рублей (на 1,5%),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национальн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безопасност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правоохранительн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15,6 тыс. рублей (в 4,3 раза), 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национальн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экономик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34,3 тыс. рублей (на 13,0%),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социальн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политик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36,7 тыс. рублей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(на 23,0%), 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физическ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культур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спорт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36,7 тыс. рублей</w:t>
      </w:r>
      <w:r w:rsidR="009F0C1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0C18" w:rsidRPr="008A4A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(на 23,0%).</w:t>
      </w:r>
      <w:r w:rsidR="00BF41E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Основной причиной </w:t>
      </w:r>
      <w:r w:rsidR="009F0C18"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снижения</w:t>
      </w:r>
      <w:r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в данном случае является </w:t>
      </w:r>
      <w:r w:rsidR="00BF41EC"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субсидий  на уличное освещение и переустройство улич</w:t>
      </w:r>
      <w:r w:rsidR="00BF41EC"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освещения</w:t>
      </w:r>
      <w:r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также расхо</w:t>
      </w:r>
      <w:r w:rsidR="00BF41EC"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ды по проекту «Народный бюджет».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 структуре расходов бюджета поселения в 20</w:t>
      </w:r>
      <w:r w:rsidR="00BF41EC"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наибольший удельный вес занимают расходы на общегосударственные вопросы – </w:t>
      </w:r>
      <w:r w:rsidR="00BF41EC"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48,4</w:t>
      </w:r>
      <w:r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на физическую культуру  и спорт – </w:t>
      </w:r>
      <w:r w:rsidR="00BF41EC"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28,3</w:t>
      </w:r>
      <w:r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на жилищно-коммунальное хозяйство – </w:t>
      </w:r>
      <w:r w:rsidR="00BF41EC"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11,0</w:t>
      </w:r>
      <w:r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на национальную экономику – </w:t>
      </w:r>
      <w:r w:rsidR="00BF41EC"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="00BF41EC"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социальную политику – 3,99 %, </w:t>
      </w:r>
      <w:r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национальную оборону, на национальную безопасность и правоохранительную деятельность</w:t>
      </w:r>
      <w:r w:rsidR="00BF41EC"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образование всего </w:t>
      </w:r>
      <w:r w:rsidR="00BF41EC"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2,31</w:t>
      </w:r>
      <w:r w:rsidRPr="00BF41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поселения принят решением Совета поселения от</w:t>
      </w:r>
      <w:r w:rsidRPr="0037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r w:rsidR="00370617" w:rsidRPr="003706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370617" w:rsidRPr="003706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7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70617" w:rsidRPr="00370617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Туровецкое  на 20</w:t>
      </w:r>
      <w:r w:rsidR="00370617"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70617"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370617"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 и утвержден без дефицита (профицита).  Решением Совета поселения от 2</w:t>
      </w:r>
      <w:r w:rsidR="00370617"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 20</w:t>
      </w:r>
      <w:r w:rsidR="00370617"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</w:t>
      </w:r>
      <w:r w:rsidR="00370617"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68 </w:t>
      </w: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 изменений  в решение от 2</w:t>
      </w:r>
      <w:r w:rsidR="00370617"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370617"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370617"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58</w:t>
      </w: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уточненный бюджет утвержден  </w:t>
      </w:r>
      <w:r w:rsidR="00370617"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профицитом в размере 255,3 тыс. рублей.</w:t>
      </w:r>
      <w:r w:rsidRPr="00370617">
        <w:rPr>
          <w:rFonts w:eastAsiaTheme="minorEastAsia"/>
          <w:sz w:val="28"/>
          <w:szCs w:val="28"/>
          <w:lang w:eastAsia="ru-RU"/>
        </w:rPr>
        <w:t xml:space="preserve">         </w:t>
      </w: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F00D5" w:rsidRPr="00370617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Кредиторская задолженность бюджета поселения по своим обязательствам составила </w:t>
      </w:r>
      <w:r w:rsidR="00370617"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167,3</w:t>
      </w: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70617"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370617"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росроченная кредиторская </w:t>
      </w:r>
      <w:r w:rsidR="00370617"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задолженность отсутствует.  По сравнению с 2020 годом объем задолженности  увеличился   на 18,8  тыс. рублей, или  на 12,7 процента.  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</w:p>
    <w:p w:rsidR="00370617" w:rsidRPr="00370617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72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="00370617" w:rsidRPr="00116B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задолженность перед получателями бюджетных средств на 01.01.2021 года  составила 65,1 тыс. рублей. По сравнению с отчетным периодом прошлого года дебиторская задолженность  увеличилась   на 16,5 тыс. </w:t>
      </w:r>
      <w:r w:rsidR="00370617"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рублей, или на 34,0 процента. </w:t>
      </w:r>
    </w:p>
    <w:p w:rsidR="006F00D5" w:rsidRPr="00370617" w:rsidRDefault="006F00D5" w:rsidP="006F00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17" w:rsidRPr="0037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706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вышеизложенное,   ревизионная комиссия предлагает:</w:t>
      </w:r>
    </w:p>
    <w:p w:rsidR="006F00D5" w:rsidRPr="00370617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осуществлять детальный анализ при планировании и исполнении доходной части бюджета поселения, в  части налоговых и неналоговых доходов;</w:t>
      </w:r>
    </w:p>
    <w:p w:rsidR="006F00D5" w:rsidRPr="009172BF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  <w:r w:rsidRPr="009172B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Совету поселения рекомендуем утвердить отчет об исполнении бюджета поселения Туровецкое  за 20</w:t>
      </w:r>
      <w:r w:rsidR="00370617"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1B08F7" w:rsidRPr="001B08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6F00D5" w:rsidRDefault="006F00D5" w:rsidP="006F0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172B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</w:p>
    <w:p w:rsidR="001B08F7" w:rsidRPr="009172BF" w:rsidRDefault="001B08F7" w:rsidP="006F00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F00D5" w:rsidRPr="00370617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6F00D5" w:rsidRPr="00370617" w:rsidRDefault="006F00D5" w:rsidP="006F00D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06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                                                        Шестакова М.И.</w:t>
      </w:r>
    </w:p>
    <w:p w:rsidR="006F00D5" w:rsidRPr="009172BF" w:rsidRDefault="006F00D5" w:rsidP="006F00D5">
      <w:pPr>
        <w:spacing w:after="0" w:line="240" w:lineRule="auto"/>
        <w:ind w:left="426" w:firstLine="54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6F00D5" w:rsidRPr="009172BF" w:rsidRDefault="006F00D5" w:rsidP="006F00D5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6F00D5" w:rsidRPr="009172BF" w:rsidRDefault="006F00D5" w:rsidP="006F00D5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6F00D5" w:rsidRPr="009172BF" w:rsidRDefault="006F00D5" w:rsidP="006F00D5">
      <w:pPr>
        <w:rPr>
          <w:rFonts w:eastAsiaTheme="minorEastAsia"/>
          <w:color w:val="C00000"/>
          <w:lang w:eastAsia="ru-RU"/>
        </w:rPr>
      </w:pPr>
    </w:p>
    <w:p w:rsidR="006F00D5" w:rsidRPr="009172BF" w:rsidRDefault="006F00D5" w:rsidP="006F00D5">
      <w:pPr>
        <w:rPr>
          <w:color w:val="C00000"/>
        </w:rPr>
      </w:pPr>
    </w:p>
    <w:p w:rsidR="00550121" w:rsidRPr="009172BF" w:rsidRDefault="00550121">
      <w:pPr>
        <w:rPr>
          <w:color w:val="C00000"/>
        </w:rPr>
      </w:pPr>
    </w:p>
    <w:sectPr w:rsidR="00550121" w:rsidRPr="009172BF" w:rsidSect="003011B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F9" w:rsidRDefault="000414F9">
      <w:pPr>
        <w:spacing w:after="0" w:line="240" w:lineRule="auto"/>
      </w:pPr>
      <w:r>
        <w:separator/>
      </w:r>
    </w:p>
  </w:endnote>
  <w:endnote w:type="continuationSeparator" w:id="0">
    <w:p w:rsidR="000414F9" w:rsidRDefault="0004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F9" w:rsidRDefault="000414F9">
      <w:pPr>
        <w:spacing w:after="0" w:line="240" w:lineRule="auto"/>
      </w:pPr>
      <w:r>
        <w:separator/>
      </w:r>
    </w:p>
  </w:footnote>
  <w:footnote w:type="continuationSeparator" w:id="0">
    <w:p w:rsidR="000414F9" w:rsidRDefault="0004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2855"/>
    </w:sdtPr>
    <w:sdtEndPr/>
    <w:sdtContent>
      <w:p w:rsidR="0095748D" w:rsidRDefault="0095748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A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748D" w:rsidRDefault="009574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C3"/>
    <w:rsid w:val="00023B3A"/>
    <w:rsid w:val="000414F9"/>
    <w:rsid w:val="00052F4D"/>
    <w:rsid w:val="00053540"/>
    <w:rsid w:val="0005380D"/>
    <w:rsid w:val="000A2699"/>
    <w:rsid w:val="00116B92"/>
    <w:rsid w:val="00120537"/>
    <w:rsid w:val="00134658"/>
    <w:rsid w:val="00153414"/>
    <w:rsid w:val="00155A9B"/>
    <w:rsid w:val="00170F79"/>
    <w:rsid w:val="001B07A5"/>
    <w:rsid w:val="001B08F7"/>
    <w:rsid w:val="001E5A66"/>
    <w:rsid w:val="002347BE"/>
    <w:rsid w:val="002B7550"/>
    <w:rsid w:val="003011B2"/>
    <w:rsid w:val="00327B64"/>
    <w:rsid w:val="00346469"/>
    <w:rsid w:val="00370617"/>
    <w:rsid w:val="003902F3"/>
    <w:rsid w:val="00393921"/>
    <w:rsid w:val="003C699C"/>
    <w:rsid w:val="0043098B"/>
    <w:rsid w:val="0048450A"/>
    <w:rsid w:val="004B5705"/>
    <w:rsid w:val="004D7091"/>
    <w:rsid w:val="004E6523"/>
    <w:rsid w:val="00502C6D"/>
    <w:rsid w:val="00550121"/>
    <w:rsid w:val="00587978"/>
    <w:rsid w:val="005A6112"/>
    <w:rsid w:val="005C4447"/>
    <w:rsid w:val="005D0AEE"/>
    <w:rsid w:val="005D40B4"/>
    <w:rsid w:val="005D6AA4"/>
    <w:rsid w:val="006373EF"/>
    <w:rsid w:val="00677A24"/>
    <w:rsid w:val="006B738E"/>
    <w:rsid w:val="006C5DD3"/>
    <w:rsid w:val="006F00D5"/>
    <w:rsid w:val="00707DA4"/>
    <w:rsid w:val="00726D58"/>
    <w:rsid w:val="00745221"/>
    <w:rsid w:val="00762C58"/>
    <w:rsid w:val="00776E75"/>
    <w:rsid w:val="008077DE"/>
    <w:rsid w:val="00873AA4"/>
    <w:rsid w:val="00875662"/>
    <w:rsid w:val="008A4A79"/>
    <w:rsid w:val="008A5FF3"/>
    <w:rsid w:val="009172BF"/>
    <w:rsid w:val="00940CFD"/>
    <w:rsid w:val="0095748D"/>
    <w:rsid w:val="009602C3"/>
    <w:rsid w:val="0098606B"/>
    <w:rsid w:val="009B4A83"/>
    <w:rsid w:val="009B7483"/>
    <w:rsid w:val="009F0C18"/>
    <w:rsid w:val="009F3820"/>
    <w:rsid w:val="00A04F5C"/>
    <w:rsid w:val="00A47B32"/>
    <w:rsid w:val="00A54C6D"/>
    <w:rsid w:val="00A9648E"/>
    <w:rsid w:val="00AD42D2"/>
    <w:rsid w:val="00AF1421"/>
    <w:rsid w:val="00B767B8"/>
    <w:rsid w:val="00BF41EC"/>
    <w:rsid w:val="00C02DDB"/>
    <w:rsid w:val="00C95EC4"/>
    <w:rsid w:val="00CF3542"/>
    <w:rsid w:val="00D32993"/>
    <w:rsid w:val="00D67F46"/>
    <w:rsid w:val="00DB0DE6"/>
    <w:rsid w:val="00DD270C"/>
    <w:rsid w:val="00DF3B48"/>
    <w:rsid w:val="00E36995"/>
    <w:rsid w:val="00E94A0D"/>
    <w:rsid w:val="00EA085F"/>
    <w:rsid w:val="00EF7A0A"/>
    <w:rsid w:val="00F12738"/>
    <w:rsid w:val="00F7315C"/>
    <w:rsid w:val="00F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00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6F00D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0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F00D5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F00D5"/>
  </w:style>
  <w:style w:type="character" w:styleId="a3">
    <w:name w:val="Strong"/>
    <w:qFormat/>
    <w:rsid w:val="006F00D5"/>
    <w:rPr>
      <w:b/>
      <w:bCs/>
    </w:rPr>
  </w:style>
  <w:style w:type="paragraph" w:styleId="a4">
    <w:name w:val="Normal (Web)"/>
    <w:basedOn w:val="a"/>
    <w:rsid w:val="006F00D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F00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F0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F00D5"/>
  </w:style>
  <w:style w:type="table" w:styleId="a8">
    <w:name w:val="Table Grid"/>
    <w:basedOn w:val="a1"/>
    <w:rsid w:val="006F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00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6F00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F0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F0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F00D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12">
    <w:name w:val="Обычный1"/>
    <w:rsid w:val="006F00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6F00D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6F00D5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F00D5"/>
  </w:style>
  <w:style w:type="paragraph" w:styleId="ad">
    <w:name w:val="List Paragraph"/>
    <w:basedOn w:val="a"/>
    <w:uiPriority w:val="34"/>
    <w:qFormat/>
    <w:rsid w:val="006F00D5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00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6F00D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0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F00D5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F00D5"/>
  </w:style>
  <w:style w:type="character" w:styleId="a3">
    <w:name w:val="Strong"/>
    <w:qFormat/>
    <w:rsid w:val="006F00D5"/>
    <w:rPr>
      <w:b/>
      <w:bCs/>
    </w:rPr>
  </w:style>
  <w:style w:type="paragraph" w:styleId="a4">
    <w:name w:val="Normal (Web)"/>
    <w:basedOn w:val="a"/>
    <w:rsid w:val="006F00D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F00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F0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F00D5"/>
  </w:style>
  <w:style w:type="table" w:styleId="a8">
    <w:name w:val="Table Grid"/>
    <w:basedOn w:val="a1"/>
    <w:rsid w:val="006F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00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6F00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F0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F0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6F00D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12">
    <w:name w:val="Обычный1"/>
    <w:rsid w:val="006F00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6F00D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6F00D5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F00D5"/>
  </w:style>
  <w:style w:type="paragraph" w:styleId="ad">
    <w:name w:val="List Paragraph"/>
    <w:basedOn w:val="a"/>
    <w:uiPriority w:val="34"/>
    <w:qFormat/>
    <w:rsid w:val="006F00D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055619694984588E-2"/>
          <c:y val="0.17763896578524574"/>
          <c:w val="0.82667514171931145"/>
          <c:h val="0.72637181842730392"/>
        </c:manualLayout>
      </c:layout>
      <c:pie3DChart>
        <c:varyColors val="1"/>
        <c:ser>
          <c:idx val="0"/>
          <c:order val="0"/>
          <c:tx>
            <c:strRef>
              <c:f>Лист1!$B$72:$B$73</c:f>
              <c:strCache>
                <c:ptCount val="1"/>
                <c:pt idx="0">
                  <c:v>Структура расходов бюджета поселения</c:v>
                </c:pt>
              </c:strCache>
            </c:strRef>
          </c:tx>
          <c:explosion val="24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- 48,4%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оборона" -1,9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- 0,4%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</a:t>
                    </a:r>
                    <a:r>
                      <a:rPr lang="ru-RU" baseline="0"/>
                      <a:t> 6,0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-11,0%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5856330561645199"/>
                  <c:y val="2.21177888264899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"Образование" -0,01%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политика"-3,99%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8718105047412737E-2"/>
                  <c:y val="-1.780657100420122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- 28,3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4100316949672889"/>
                  <c:y val="-2.507291284088257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- 35,4%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Лист1!$A$74:$A$81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Лист1!$B$74:$B$81</c:f>
              <c:numCache>
                <c:formatCode>General</c:formatCode>
                <c:ptCount val="8"/>
                <c:pt idx="0">
                  <c:v>48.4</c:v>
                </c:pt>
                <c:pt idx="1">
                  <c:v>1.9</c:v>
                </c:pt>
                <c:pt idx="2">
                  <c:v>0.4</c:v>
                </c:pt>
                <c:pt idx="3">
                  <c:v>6</c:v>
                </c:pt>
                <c:pt idx="4">
                  <c:v>11</c:v>
                </c:pt>
                <c:pt idx="5">
                  <c:v>0.01</c:v>
                </c:pt>
                <c:pt idx="6">
                  <c:v>3.99</c:v>
                </c:pt>
                <c:pt idx="7">
                  <c:v>28.3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6999-70E6-4D53-9759-CFBB3630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5723</Words>
  <Characters>32627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2021-04-19T07:39:00Z</cp:lastPrinted>
  <dcterms:created xsi:type="dcterms:W3CDTF">2021-04-20T07:53:00Z</dcterms:created>
  <dcterms:modified xsi:type="dcterms:W3CDTF">2021-04-20T07:53:00Z</dcterms:modified>
</cp:coreProperties>
</file>