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363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8A9A463" wp14:editId="2F14477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CB5C42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 декабря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2A0312" w:rsidRPr="00133639" w:rsidRDefault="002A0312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района», пунктом 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</w:t>
      </w:r>
      <w:proofErr w:type="gramEnd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</w:t>
      </w:r>
      <w:proofErr w:type="gramEnd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F7CDD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1245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рамках рассматриваемого проекта решения связано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изменением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безвозмездных поступлений и</w:t>
      </w:r>
      <w:r w:rsidRPr="00133639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9676BC">
        <w:rPr>
          <w:rFonts w:ascii="Times New Roman" w:hAnsi="Times New Roman" w:cs="Times New Roman"/>
          <w:sz w:val="28"/>
          <w:szCs w:val="28"/>
        </w:rPr>
        <w:t>ой</w:t>
      </w:r>
      <w:r w:rsidRPr="0013363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«Общегосударственные вопросы»,</w:t>
      </w:r>
      <w:r w:rsidR="00CB5C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5C4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«Национальная безопасность и правоохранительная деятельность»,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экономика»,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2A0312" w:rsidP="005F7C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B5C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5C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седьмой 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AA63B4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33639">
        <w:rPr>
          <w:rFonts w:ascii="Times New Roman" w:hAnsi="Times New Roman" w:cs="Times New Roman"/>
          <w:sz w:val="28"/>
          <w:szCs w:val="28"/>
        </w:rPr>
        <w:t>у</w:t>
      </w:r>
      <w:r w:rsidR="005F7CDD">
        <w:rPr>
          <w:rFonts w:ascii="Times New Roman" w:hAnsi="Times New Roman" w:cs="Times New Roman"/>
          <w:sz w:val="28"/>
          <w:szCs w:val="28"/>
        </w:rPr>
        <w:t>величится</w:t>
      </w:r>
      <w:r w:rsidR="00653882">
        <w:rPr>
          <w:rFonts w:ascii="Times New Roman" w:hAnsi="Times New Roman" w:cs="Times New Roman"/>
          <w:sz w:val="28"/>
          <w:szCs w:val="28"/>
        </w:rPr>
        <w:t xml:space="preserve"> </w:t>
      </w:r>
      <w:r w:rsidRPr="00133639">
        <w:rPr>
          <w:rFonts w:ascii="Times New Roman" w:hAnsi="Times New Roman" w:cs="Times New Roman"/>
          <w:sz w:val="28"/>
          <w:szCs w:val="28"/>
        </w:rPr>
        <w:t xml:space="preserve">на </w:t>
      </w:r>
      <w:r w:rsidR="00CB5C42">
        <w:rPr>
          <w:rFonts w:ascii="Times New Roman" w:hAnsi="Times New Roman" w:cs="Times New Roman"/>
          <w:sz w:val="28"/>
          <w:szCs w:val="28"/>
        </w:rPr>
        <w:t>125,7</w:t>
      </w:r>
      <w:r w:rsidRPr="00133639">
        <w:rPr>
          <w:rFonts w:ascii="Times New Roman" w:hAnsi="Times New Roman" w:cs="Times New Roman"/>
          <w:sz w:val="28"/>
          <w:szCs w:val="28"/>
        </w:rPr>
        <w:t xml:space="preserve"> тыс. рублей и составит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B5C42">
        <w:rPr>
          <w:rFonts w:ascii="Times New Roman" w:eastAsia="Times New Roman" w:hAnsi="Times New Roman" w:cs="Times New Roman"/>
          <w:sz w:val="28"/>
          <w:szCs w:val="28"/>
          <w:lang w:eastAsia="ru-RU"/>
        </w:rPr>
        <w:t>19289,1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B5C42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объем расходов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CB5C42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6A67A7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B5C42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B5C42">
        <w:rPr>
          <w:rFonts w:ascii="Times New Roman" w:eastAsia="Times New Roman" w:hAnsi="Times New Roman" w:cs="Times New Roman"/>
          <w:sz w:val="28"/>
          <w:szCs w:val="28"/>
          <w:lang w:eastAsia="ru-RU"/>
        </w:rPr>
        <w:t>19575,2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7405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643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7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7,</w:t>
      </w:r>
      <w:r w:rsidR="00CB5C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поселения по состоянию на 01.01.201</w:t>
      </w:r>
      <w:r w:rsid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851"/>
        <w:gridCol w:w="850"/>
        <w:gridCol w:w="851"/>
        <w:gridCol w:w="850"/>
        <w:gridCol w:w="709"/>
        <w:gridCol w:w="851"/>
        <w:gridCol w:w="992"/>
        <w:gridCol w:w="709"/>
        <w:gridCol w:w="850"/>
      </w:tblGrid>
      <w:tr w:rsidR="00CB5C42" w:rsidRPr="00133639" w:rsidTr="00CB5C42">
        <w:trPr>
          <w:trHeight w:val="70"/>
        </w:trPr>
        <w:tc>
          <w:tcPr>
            <w:tcW w:w="1418" w:type="dxa"/>
            <w:vMerge w:val="restart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CB5C42" w:rsidRPr="00133639" w:rsidRDefault="00CB5C42" w:rsidP="00AA63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B5C42" w:rsidRPr="00133639" w:rsidRDefault="00CB5C42" w:rsidP="002D2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2019 года</w:t>
            </w:r>
          </w:p>
        </w:tc>
        <w:tc>
          <w:tcPr>
            <w:tcW w:w="851" w:type="dxa"/>
            <w:vMerge w:val="restart"/>
          </w:tcPr>
          <w:p w:rsidR="00CB5C42" w:rsidRDefault="00CB5C42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апреле 2019 года</w:t>
            </w:r>
          </w:p>
        </w:tc>
        <w:tc>
          <w:tcPr>
            <w:tcW w:w="850" w:type="dxa"/>
            <w:vMerge w:val="restart"/>
          </w:tcPr>
          <w:p w:rsidR="00CB5C42" w:rsidRDefault="00CB5C42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709" w:type="dxa"/>
            <w:vMerge w:val="restart"/>
          </w:tcPr>
          <w:p w:rsidR="00CB5C42" w:rsidRDefault="00CB5C42" w:rsidP="005F7CDD"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июле   2019 года</w:t>
            </w:r>
          </w:p>
        </w:tc>
        <w:tc>
          <w:tcPr>
            <w:tcW w:w="851" w:type="dxa"/>
            <w:vMerge w:val="restart"/>
          </w:tcPr>
          <w:p w:rsidR="00CB5C42" w:rsidRDefault="00CB5C42" w:rsidP="00CB5C42"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2019 года</w:t>
            </w:r>
          </w:p>
        </w:tc>
        <w:tc>
          <w:tcPr>
            <w:tcW w:w="992" w:type="dxa"/>
            <w:vMerge w:val="restart"/>
          </w:tcPr>
          <w:p w:rsidR="00CB5C42" w:rsidRDefault="00CB5C42" w:rsidP="00CB5C42"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2019 года</w:t>
            </w:r>
          </w:p>
        </w:tc>
        <w:tc>
          <w:tcPr>
            <w:tcW w:w="1559" w:type="dxa"/>
            <w:gridSpan w:val="2"/>
            <w:tcBorders>
              <w:bottom w:val="nil"/>
              <w:right w:val="single" w:sz="4" w:space="0" w:color="auto"/>
            </w:tcBorders>
          </w:tcPr>
          <w:p w:rsidR="00CB5C42" w:rsidRPr="00133639" w:rsidRDefault="00CB5C4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C42" w:rsidRPr="00133639" w:rsidTr="00CB5C42">
        <w:trPr>
          <w:trHeight w:val="736"/>
        </w:trPr>
        <w:tc>
          <w:tcPr>
            <w:tcW w:w="1418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right w:val="single" w:sz="4" w:space="0" w:color="auto"/>
            </w:tcBorders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42" w:rsidRPr="00133639" w:rsidTr="00CB5C42">
        <w:trPr>
          <w:trHeight w:val="1395"/>
        </w:trPr>
        <w:tc>
          <w:tcPr>
            <w:tcW w:w="1418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B5C42" w:rsidRPr="00133639" w:rsidRDefault="00CB5C4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B5C42" w:rsidRPr="00133639" w:rsidRDefault="00CB5C4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CB5C42" w:rsidRPr="00133639" w:rsidTr="00CB5C42">
        <w:tc>
          <w:tcPr>
            <w:tcW w:w="1418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15931,4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18610,8</w:t>
            </w:r>
          </w:p>
        </w:tc>
        <w:tc>
          <w:tcPr>
            <w:tcW w:w="709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18016,9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19163,4</w:t>
            </w:r>
          </w:p>
        </w:tc>
        <w:tc>
          <w:tcPr>
            <w:tcW w:w="992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19289,1</w:t>
            </w:r>
          </w:p>
        </w:tc>
        <w:tc>
          <w:tcPr>
            <w:tcW w:w="709" w:type="dxa"/>
          </w:tcPr>
          <w:p w:rsidR="00CB5C42" w:rsidRPr="00133639" w:rsidRDefault="00CB5C42" w:rsidP="00133639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6254,7</w:t>
            </w:r>
          </w:p>
        </w:tc>
        <w:tc>
          <w:tcPr>
            <w:tcW w:w="850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CB5C42" w:rsidRPr="00133639" w:rsidTr="00CB5C42">
        <w:tc>
          <w:tcPr>
            <w:tcW w:w="1418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709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19449,5</w:t>
            </w:r>
          </w:p>
        </w:tc>
        <w:tc>
          <w:tcPr>
            <w:tcW w:w="992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19575,2</w:t>
            </w:r>
          </w:p>
        </w:tc>
        <w:tc>
          <w:tcPr>
            <w:tcW w:w="709" w:type="dxa"/>
          </w:tcPr>
          <w:p w:rsidR="00CB5C42" w:rsidRPr="00133639" w:rsidRDefault="00CB5C42" w:rsidP="00C55D7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7980,8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CB5C42" w:rsidRPr="00133639" w:rsidTr="00CB5C42">
        <w:tc>
          <w:tcPr>
            <w:tcW w:w="1418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850" w:type="dxa"/>
          </w:tcPr>
          <w:p w:rsidR="00CB5C42" w:rsidRPr="00133639" w:rsidRDefault="00CB5C4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709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1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2" w:type="dxa"/>
          </w:tcPr>
          <w:p w:rsidR="00CB5C42" w:rsidRPr="00133639" w:rsidRDefault="00CB5C4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709" w:type="dxa"/>
          </w:tcPr>
          <w:p w:rsidR="00CB5C42" w:rsidRPr="00133639" w:rsidRDefault="006223E3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-1726,1</w:t>
            </w:r>
          </w:p>
        </w:tc>
        <w:tc>
          <w:tcPr>
            <w:tcW w:w="850" w:type="dxa"/>
          </w:tcPr>
          <w:p w:rsidR="00CB5C42" w:rsidRPr="00133639" w:rsidRDefault="006223E3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19289,1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6254,7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19575,2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7980,8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23E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2DC6" w:rsidRP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</w:t>
      </w:r>
      <w:r w:rsidR="006223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6A67A7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77405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86880" w:rsidRPr="009F3BF3" w:rsidRDefault="00B86880" w:rsidP="00B0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3E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</w:t>
      </w:r>
      <w:r w:rsidRPr="009F3BF3">
        <w:rPr>
          <w:rFonts w:ascii="Times New Roman" w:hAnsi="Times New Roman" w:cs="Times New Roman"/>
          <w:sz w:val="28"/>
          <w:szCs w:val="28"/>
        </w:rPr>
        <w:t>неналоговые  доходы бюджета поселения Сухонское</w:t>
      </w:r>
      <w:r w:rsidR="00B02DC6">
        <w:rPr>
          <w:rFonts w:ascii="Times New Roman" w:hAnsi="Times New Roman" w:cs="Times New Roman"/>
          <w:sz w:val="28"/>
          <w:szCs w:val="28"/>
        </w:rPr>
        <w:t>.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8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33639">
        <w:rPr>
          <w:rFonts w:ascii="Times New Roman" w:hAnsi="Times New Roman" w:cs="Times New Roman"/>
          <w:sz w:val="28"/>
          <w:szCs w:val="28"/>
        </w:rPr>
        <w:t>2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850"/>
        <w:gridCol w:w="992"/>
        <w:gridCol w:w="993"/>
        <w:gridCol w:w="850"/>
        <w:gridCol w:w="992"/>
        <w:gridCol w:w="13"/>
        <w:gridCol w:w="980"/>
        <w:gridCol w:w="708"/>
        <w:gridCol w:w="709"/>
      </w:tblGrid>
      <w:tr w:rsidR="006223E3" w:rsidRPr="00133639" w:rsidTr="006223E3">
        <w:trPr>
          <w:trHeight w:val="103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E3" w:rsidRPr="00133639" w:rsidRDefault="006223E3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E3" w:rsidRPr="00133639" w:rsidRDefault="006223E3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6223E3" w:rsidRPr="00133639" w:rsidRDefault="006223E3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133639">
              <w:rPr>
                <w:rFonts w:ascii="Times New Roman" w:hAnsi="Times New Roman" w:cs="Times New Roman"/>
              </w:rPr>
              <w:t>в</w:t>
            </w:r>
            <w:proofErr w:type="gramEnd"/>
            <w:r w:rsidRPr="00133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223E3" w:rsidRPr="00133639" w:rsidRDefault="006223E3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33639">
              <w:rPr>
                <w:rFonts w:ascii="Times New Roman" w:hAnsi="Times New Roman" w:cs="Times New Roman"/>
              </w:rPr>
              <w:t>феврале</w:t>
            </w:r>
            <w:proofErr w:type="gramEnd"/>
            <w:r w:rsidRPr="0013363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1336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E3" w:rsidRPr="00133639" w:rsidRDefault="006223E3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 w:rsidRPr="00133639">
              <w:rPr>
                <w:rFonts w:ascii="Times New Roman" w:eastAsia="Times New Roman" w:hAnsi="Times New Roman" w:cs="Times New Roman"/>
              </w:rPr>
              <w:t>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марте 2019 года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46B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5F7C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июле 2019 года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6223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ноябре 2019 года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6223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декабре 2019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6223E3" w:rsidRPr="00133639" w:rsidTr="006223E3">
        <w:trPr>
          <w:trHeight w:val="155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</w:t>
            </w:r>
            <w:r>
              <w:rPr>
                <w:rFonts w:ascii="Times New Roman" w:eastAsia="Times New Roman" w:hAnsi="Times New Roman" w:cs="Times New Roman"/>
              </w:rPr>
              <w:t xml:space="preserve">, получаемые в виде 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аренд</w:t>
            </w:r>
            <w:r>
              <w:rPr>
                <w:rFonts w:ascii="Times New Roman" w:eastAsia="Times New Roman" w:hAnsi="Times New Roman" w:cs="Times New Roman"/>
              </w:rPr>
              <w:t xml:space="preserve">ной платы, а также средства от продажи права на заключение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договоров аренды на земли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A9082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A9082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</w:rPr>
              <w:t>реализации иного имущества, в части реализации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EB0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Денежные взыскания (штрафы) и иные суммы, взыскиваемые с  лиц, виновных в совершении преступлений, и в  возмещении ущерба имуществу, зачисляемые в бюджеты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A9082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EB0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поступления от денежных взысканий </w:t>
            </w:r>
          </w:p>
          <w:p w:rsidR="006223E3" w:rsidRDefault="006223E3" w:rsidP="00EB0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(штрафов) и иных сумм в возмещение ущерба, зачисляемые в бюджеты поселений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A9082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Default="00A9082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223E3" w:rsidRPr="00133639" w:rsidTr="006223E3">
        <w:trPr>
          <w:trHeight w:val="4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63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6223E3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A90823" w:rsidP="009E25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E3" w:rsidRPr="00133639" w:rsidRDefault="00A90823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D37A86" w:rsidRDefault="00EE1E01" w:rsidP="00A9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FA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37A86" w:rsidRDefault="00D37A86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размер собственных доходов </w:t>
      </w:r>
      <w:r w:rsidR="0098431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предлагаемых поправок </w:t>
      </w:r>
      <w:r w:rsidR="00A90823">
        <w:rPr>
          <w:rFonts w:ascii="Times New Roman" w:eastAsia="Times New Roman" w:hAnsi="Times New Roman" w:cs="Times New Roman"/>
          <w:sz w:val="28"/>
          <w:szCs w:val="28"/>
        </w:rPr>
        <w:t xml:space="preserve"> не изменится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A90823">
        <w:rPr>
          <w:rFonts w:ascii="Times New Roman" w:eastAsia="Times New Roman" w:hAnsi="Times New Roman" w:cs="Times New Roman"/>
          <w:sz w:val="28"/>
          <w:szCs w:val="28"/>
        </w:rPr>
        <w:t>3960,0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</w:t>
      </w:r>
      <w:r w:rsidR="00CD5393">
        <w:rPr>
          <w:rFonts w:ascii="Times New Roman" w:eastAsia="Times New Roman" w:hAnsi="Times New Roman" w:cs="Times New Roman"/>
          <w:sz w:val="28"/>
          <w:szCs w:val="28"/>
        </w:rPr>
        <w:t>снизится на 0,</w:t>
      </w:r>
      <w:r w:rsidR="00A908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5393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20,</w:t>
      </w:r>
      <w:r w:rsidR="00A908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5393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A90823" w:rsidRDefault="00A90823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823" w:rsidRDefault="00A90823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823" w:rsidRDefault="00A90823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A86" w:rsidRDefault="00D37A86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87C" w:rsidRDefault="00133639" w:rsidP="00A9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A90823" w:rsidRPr="00133639" w:rsidRDefault="00A90823" w:rsidP="00A9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114" w:rsidRDefault="00133639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15329,1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79,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 на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04737" w:rsidRPr="00E04737" w:rsidRDefault="00E04737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00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3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33639">
        <w:rPr>
          <w:rFonts w:ascii="Times New Roman" w:hAnsi="Times New Roman" w:cs="Times New Roman"/>
          <w:sz w:val="24"/>
          <w:szCs w:val="24"/>
        </w:rPr>
        <w:t>3</w:t>
      </w:r>
      <w:r w:rsidRPr="00133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900"/>
        <w:gridCol w:w="15"/>
        <w:gridCol w:w="1070"/>
        <w:gridCol w:w="708"/>
        <w:gridCol w:w="709"/>
      </w:tblGrid>
      <w:tr w:rsidR="00A90823" w:rsidRPr="00984311" w:rsidTr="00A90823">
        <w:trPr>
          <w:trHeight w:val="1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2019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A90823" w:rsidRPr="00984311" w:rsidRDefault="00A90823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9843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90823" w:rsidRPr="00984311" w:rsidRDefault="00A90823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>февраля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марте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027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апреле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7F35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24 апреля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D53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в июле 2019 года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A908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в ноябре 2019 года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A908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</w:t>
            </w: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A90823" w:rsidRPr="00984311" w:rsidTr="00A90823">
        <w:trPr>
          <w:trHeight w:val="162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6626,5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7076,5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7076,5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3983,6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3983,6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3983,6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2939,7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3835,8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3835,8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-6,4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</w:t>
            </w:r>
            <w:r w:rsidRPr="0098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A0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0823" w:rsidRPr="00984311" w:rsidTr="00A90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D53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A0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0823" w:rsidRPr="00984311" w:rsidTr="00A90823">
        <w:trPr>
          <w:trHeight w:val="4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23" w:rsidRPr="00984311" w:rsidRDefault="00A9082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14155,8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E545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15203,4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23" w:rsidRPr="00984311" w:rsidRDefault="00A90823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125,7</w:t>
            </w:r>
          </w:p>
        </w:tc>
      </w:tr>
    </w:tbl>
    <w:p w:rsidR="00446AA3" w:rsidRPr="00984311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A0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A0B20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</w:t>
      </w:r>
      <w:r w:rsidR="002F7964" w:rsidRPr="00C1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1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</w:t>
      </w:r>
      <w:r w:rsid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</w:t>
      </w:r>
      <w:r w:rsidR="00C8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сельских поселений на поддержку мер по обеспечению сбалансированности бюджетов</w:t>
      </w:r>
      <w:r w:rsidR="00C8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50,0 тыс. рублей</w:t>
      </w:r>
      <w:r w:rsidR="00C8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стимулирование работников органов местного самоуправления по результатам выборной кампании губернатора Вологодской области. </w:t>
      </w:r>
      <w:r w:rsidR="00F66B4D" w:rsidRP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8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изменений в доходную часть бюджета 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1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решение Представительного Собрания района от 14.12.2019 года №59 «О бюджете района на 2019 год и плановый период 2020 и 2021 годов», уведомление УФ района  о бюджетных ассигнованиях от 17.12.2019 года;</w:t>
      </w:r>
    </w:p>
    <w:p w:rsidR="00C174F3" w:rsidRDefault="00C174F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82,1 тыс. рублей на содержание дорог (основание - уведомление УФ района  о бюджетных ассигнованиях от 17.12.2019 года);</w:t>
      </w:r>
    </w:p>
    <w:p w:rsidR="00C174F3" w:rsidRDefault="00C174F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межбюджетные трансферты,  передаваемые бюджетам сельских поселений на сумму 6,4 тыс. рублей в связи с экономией средств при проведении аукциона по установке сцены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Шуйское (основание - уведомление УФ района  о бюджетных ассигнованиях от 17.12.2019 года).</w:t>
      </w:r>
    </w:p>
    <w:p w:rsidR="00C174F3" w:rsidRDefault="00C174F3" w:rsidP="00C17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РФ от 08.06.2018 года №132-н « О порядке формирования и применения кодов бюджетной классификации Российской Федерации, их структуре и принципах назначения» доходный код бюджетной классификации «000 2 07 05030 10 0000 150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безвозмездные поступления в бюджеты сельских поселений» в сумме </w:t>
      </w:r>
      <w:r w:rsidR="009D3E63">
        <w:rPr>
          <w:rFonts w:ascii="Times New Roman" w:eastAsia="Times New Roman" w:hAnsi="Times New Roman" w:cs="Times New Roman"/>
          <w:sz w:val="28"/>
          <w:szCs w:val="28"/>
          <w:lang w:eastAsia="ru-RU"/>
        </w:rPr>
        <w:t>151,5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предлагается заменить код</w:t>
      </w:r>
      <w:r w:rsidR="009D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</w:t>
      </w:r>
      <w:r w:rsidR="009D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000 207 05020 10 0000 150  Поступления от денежных пожертвований, предоставляемых физическими лицами получателям средств бюджетов сельских поселений» в сумме </w:t>
      </w:r>
      <w:r w:rsidR="009D3E63">
        <w:rPr>
          <w:rFonts w:ascii="Times New Roman" w:eastAsia="Times New Roman" w:hAnsi="Times New Roman" w:cs="Times New Roman"/>
          <w:sz w:val="28"/>
          <w:szCs w:val="28"/>
          <w:lang w:eastAsia="ru-RU"/>
        </w:rPr>
        <w:t>151,5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Default="00984311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</w:p>
    <w:p w:rsidR="00984311" w:rsidRPr="00984311" w:rsidRDefault="00984311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46AA3" w:rsidRPr="00133639" w:rsidRDefault="00446AA3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год  предусматриваются в объеме 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19575,2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125,7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A3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359,0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уменьшение расходов планируется по  трем разделам бюджетной классификации на сумму 233,3 тыс. рублей. 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остальным разделам бюджетной классификации внесени</w:t>
      </w:r>
      <w:r w:rsidR="00B07E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 не планируется.</w:t>
      </w:r>
    </w:p>
    <w:p w:rsidR="00446AA3" w:rsidRDefault="00446AA3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 характеризуется следующими данными:</w:t>
      </w:r>
    </w:p>
    <w:p w:rsidR="000272F0" w:rsidRPr="00133639" w:rsidRDefault="000272F0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993"/>
        <w:gridCol w:w="850"/>
        <w:gridCol w:w="851"/>
        <w:gridCol w:w="992"/>
        <w:gridCol w:w="850"/>
        <w:gridCol w:w="780"/>
        <w:gridCol w:w="921"/>
        <w:gridCol w:w="709"/>
        <w:gridCol w:w="709"/>
      </w:tblGrid>
      <w:tr w:rsidR="00B07EB8" w:rsidRPr="00133639" w:rsidTr="00B07EB8">
        <w:trPr>
          <w:trHeight w:val="843"/>
        </w:trPr>
        <w:tc>
          <w:tcPr>
            <w:tcW w:w="1526" w:type="dxa"/>
            <w:vMerge w:val="restart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B07EB8" w:rsidRPr="00133639" w:rsidRDefault="00B07EB8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B07EB8" w:rsidRPr="00133639" w:rsidRDefault="00B07EB8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</w:tcPr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 2019 года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07EB8" w:rsidRPr="00133639" w:rsidRDefault="00B07EB8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B07EB8" w:rsidRPr="00133639" w:rsidRDefault="00B07EB8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апреле 2019 года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07EB8" w:rsidRPr="00133639" w:rsidRDefault="00B07EB8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B07EB8" w:rsidRPr="00133639" w:rsidRDefault="00B07EB8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апреля    2019 года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07EB8" w:rsidRPr="00133639" w:rsidRDefault="00B07EB8" w:rsidP="00551DA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B07EB8" w:rsidRPr="00133639" w:rsidRDefault="00B07EB8" w:rsidP="00551DA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     2019 года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 w:val="restart"/>
          </w:tcPr>
          <w:p w:rsidR="00B07EB8" w:rsidRPr="00133639" w:rsidRDefault="00B07EB8" w:rsidP="008519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B07EB8" w:rsidRPr="00133639" w:rsidRDefault="00B07EB8" w:rsidP="008519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ноябре     2019 года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 w:val="restart"/>
          </w:tcPr>
          <w:p w:rsidR="00B07EB8" w:rsidRPr="00133639" w:rsidRDefault="00B07EB8" w:rsidP="00B07E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07EB8" w:rsidRPr="00133639" w:rsidRDefault="00B07EB8" w:rsidP="00B07E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декабре   2019 года</w:t>
            </w:r>
          </w:p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07EB8" w:rsidRPr="00133639" w:rsidRDefault="00B07EB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07EB8" w:rsidRPr="00133639" w:rsidTr="00B07EB8">
        <w:trPr>
          <w:trHeight w:val="1004"/>
        </w:trPr>
        <w:tc>
          <w:tcPr>
            <w:tcW w:w="1526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7EB8" w:rsidRPr="00133639" w:rsidRDefault="00B07EB8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7EB8" w:rsidRPr="00133639" w:rsidRDefault="00B07EB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7EB8" w:rsidRPr="00133639" w:rsidRDefault="00B07EB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07EB8" w:rsidRPr="00133639" w:rsidTr="00B07EB8"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6482,5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6772,7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6579,4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  <w:tc>
          <w:tcPr>
            <w:tcW w:w="709" w:type="dxa"/>
          </w:tcPr>
          <w:p w:rsidR="00B07EB8" w:rsidRPr="00133639" w:rsidRDefault="00B07EB8" w:rsidP="00EE3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-193,3</w:t>
            </w:r>
          </w:p>
        </w:tc>
      </w:tr>
      <w:tr w:rsidR="00B07EB8" w:rsidRPr="00133639" w:rsidTr="00B07EB8">
        <w:trPr>
          <w:trHeight w:val="425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7EB8" w:rsidRPr="00133639" w:rsidTr="00B07EB8">
        <w:trPr>
          <w:trHeight w:val="996"/>
        </w:trPr>
        <w:tc>
          <w:tcPr>
            <w:tcW w:w="1526" w:type="dxa"/>
          </w:tcPr>
          <w:p w:rsidR="00B07EB8" w:rsidRPr="00133639" w:rsidRDefault="00B07EB8" w:rsidP="009D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еятельность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21" w:type="dxa"/>
          </w:tcPr>
          <w:p w:rsidR="00B07EB8" w:rsidRPr="00133639" w:rsidRDefault="00B07EB8" w:rsidP="00B07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-60,0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</w:tr>
      <w:tr w:rsidR="00B07EB8" w:rsidRPr="00133639" w:rsidTr="00B07EB8">
        <w:trPr>
          <w:trHeight w:val="402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1638,5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709" w:type="dxa"/>
          </w:tcPr>
          <w:p w:rsidR="00B07EB8" w:rsidRPr="00133639" w:rsidRDefault="00B07EB8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-662,7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B07EB8" w:rsidRPr="00133639" w:rsidTr="00B07EB8"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10121,0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10590,6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11387,0</w:t>
            </w:r>
          </w:p>
        </w:tc>
        <w:tc>
          <w:tcPr>
            <w:tcW w:w="921" w:type="dxa"/>
          </w:tcPr>
          <w:p w:rsidR="00B07EB8" w:rsidRPr="00133639" w:rsidRDefault="00B07EB8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11663,9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7049,8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276,9</w:t>
            </w:r>
          </w:p>
        </w:tc>
      </w:tr>
      <w:tr w:rsidR="00B07EB8" w:rsidRPr="00133639" w:rsidTr="00B07EB8">
        <w:trPr>
          <w:trHeight w:val="329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 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7EB8" w:rsidRPr="00133639" w:rsidTr="00B07EB8">
        <w:trPr>
          <w:trHeight w:val="329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</w:tcPr>
          <w:p w:rsidR="00B07EB8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07EB8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07EB8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07EB8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B07EB8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</w:tcPr>
          <w:p w:rsidR="00B07EB8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80" w:type="dxa"/>
          </w:tcPr>
          <w:p w:rsidR="00B07EB8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21" w:type="dxa"/>
          </w:tcPr>
          <w:p w:rsidR="00B07EB8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B07EB8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B07EB8" w:rsidRDefault="00B07EB8" w:rsidP="00027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7EB8" w:rsidRPr="00133639" w:rsidTr="00B07EB8">
        <w:trPr>
          <w:trHeight w:val="406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709" w:type="dxa"/>
          </w:tcPr>
          <w:p w:rsidR="00B07EB8" w:rsidRPr="00133639" w:rsidRDefault="00B07EB8" w:rsidP="00851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7EB8" w:rsidRPr="00840100" w:rsidTr="00B07EB8">
        <w:trPr>
          <w:trHeight w:val="290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B07EB8" w:rsidRPr="00133639" w:rsidRDefault="00B07EB8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</w:tcPr>
          <w:p w:rsidR="00B07EB8" w:rsidRPr="00133639" w:rsidRDefault="00B07EB8" w:rsidP="00C741E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</w:tcPr>
          <w:p w:rsidR="00B07EB8" w:rsidRPr="00133639" w:rsidRDefault="00B07EB8" w:rsidP="00C55D7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</w:tcPr>
          <w:p w:rsidR="00B07EB8" w:rsidRPr="00133639" w:rsidRDefault="00B07EB8" w:rsidP="00CB47F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0" w:type="dxa"/>
          </w:tcPr>
          <w:p w:rsidR="00B07EB8" w:rsidRPr="00133639" w:rsidRDefault="00B07EB8" w:rsidP="004627E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80" w:type="dxa"/>
          </w:tcPr>
          <w:p w:rsidR="00B07EB8" w:rsidRPr="00133639" w:rsidRDefault="00B07EB8" w:rsidP="00E545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-52,0</w:t>
            </w:r>
          </w:p>
        </w:tc>
        <w:tc>
          <w:tcPr>
            <w:tcW w:w="709" w:type="dxa"/>
          </w:tcPr>
          <w:p w:rsidR="00B07EB8" w:rsidRPr="00133639" w:rsidRDefault="00B07EB8" w:rsidP="00E97D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</w:tr>
      <w:tr w:rsidR="00B07EB8" w:rsidRPr="00133639" w:rsidTr="00B07EB8">
        <w:trPr>
          <w:trHeight w:val="290"/>
        </w:trPr>
        <w:tc>
          <w:tcPr>
            <w:tcW w:w="1526" w:type="dxa"/>
          </w:tcPr>
          <w:p w:rsidR="00B07EB8" w:rsidRPr="00133639" w:rsidRDefault="00B07EB8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B07EB8" w:rsidRPr="00133639" w:rsidRDefault="00B07EB8" w:rsidP="001336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3" w:type="dxa"/>
          </w:tcPr>
          <w:p w:rsidR="00B07EB8" w:rsidRPr="00133639" w:rsidRDefault="00B07EB8" w:rsidP="00E97D50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11594,4</w:t>
            </w:r>
          </w:p>
        </w:tc>
        <w:tc>
          <w:tcPr>
            <w:tcW w:w="850" w:type="dxa"/>
          </w:tcPr>
          <w:p w:rsidR="00B07EB8" w:rsidRPr="00133639" w:rsidRDefault="00B07EB8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851" w:type="dxa"/>
          </w:tcPr>
          <w:p w:rsidR="00B07EB8" w:rsidRPr="00133639" w:rsidRDefault="00B07EB8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2" w:type="dxa"/>
          </w:tcPr>
          <w:p w:rsidR="00B07EB8" w:rsidRPr="00133639" w:rsidRDefault="00B07EB8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850" w:type="dxa"/>
          </w:tcPr>
          <w:p w:rsidR="00B07EB8" w:rsidRPr="00133639" w:rsidRDefault="00B07EB8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780" w:type="dxa"/>
          </w:tcPr>
          <w:p w:rsidR="00B07EB8" w:rsidRPr="00133639" w:rsidRDefault="00B07EB8" w:rsidP="00B07EB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19449,5</w:t>
            </w:r>
          </w:p>
        </w:tc>
        <w:tc>
          <w:tcPr>
            <w:tcW w:w="921" w:type="dxa"/>
          </w:tcPr>
          <w:p w:rsidR="00B07EB8" w:rsidRPr="00133639" w:rsidRDefault="00B07EB8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19575,2</w:t>
            </w:r>
          </w:p>
        </w:tc>
        <w:tc>
          <w:tcPr>
            <w:tcW w:w="709" w:type="dxa"/>
          </w:tcPr>
          <w:p w:rsidR="00B07EB8" w:rsidRPr="00133639" w:rsidRDefault="00B07EB8" w:rsidP="00C741E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7980,8</w:t>
            </w:r>
          </w:p>
        </w:tc>
        <w:tc>
          <w:tcPr>
            <w:tcW w:w="709" w:type="dxa"/>
          </w:tcPr>
          <w:p w:rsidR="00B07EB8" w:rsidRPr="00133639" w:rsidRDefault="00F61E50" w:rsidP="00C741E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125,7</w:t>
            </w:r>
          </w:p>
        </w:tc>
      </w:tr>
    </w:tbl>
    <w:p w:rsidR="00CB47F1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бюджета по разделу </w:t>
      </w:r>
      <w:r w:rsidRPr="00CB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</w:t>
      </w:r>
      <w:r w:rsidR="00F6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1E50">
        <w:rPr>
          <w:rFonts w:ascii="Times New Roman" w:eastAsia="Times New Roman" w:hAnsi="Times New Roman" w:cs="Times New Roman"/>
          <w:sz w:val="28"/>
          <w:szCs w:val="28"/>
          <w:lang w:eastAsia="ru-RU"/>
        </w:rPr>
        <w:t>193,3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B47F1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47F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="00CB47F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</w:t>
      </w:r>
      <w:r w:rsidR="00225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Правительства РФ, высших органов исполнительной власти субъектов РФ, местных администраций»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F1"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61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B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="00B4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</w:t>
      </w:r>
      <w:r w:rsidR="00B4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50">
        <w:rPr>
          <w:rFonts w:ascii="Times New Roman" w:eastAsia="Times New Roman" w:hAnsi="Times New Roman" w:cs="Times New Roman"/>
          <w:sz w:val="28"/>
          <w:szCs w:val="28"/>
          <w:lang w:eastAsia="ru-RU"/>
        </w:rPr>
        <w:t>193,3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40179" w:rsidRDefault="00B4017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E50"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заработной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F61E50">
        <w:rPr>
          <w:rFonts w:ascii="Times New Roman" w:eastAsia="Times New Roman" w:hAnsi="Times New Roman" w:cs="Times New Roman"/>
          <w:sz w:val="28"/>
          <w:szCs w:val="28"/>
          <w:lang w:eastAsia="ru-RU"/>
        </w:rPr>
        <w:t>207,0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F6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77F" w:rsidRPr="004F6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919F2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10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на закупки товаров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услуг </w:t>
      </w:r>
      <w:r w:rsidR="00F6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50,1 тыс. рублей</w:t>
      </w:r>
      <w:r w:rsidR="004F6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E50" w:rsidRDefault="00F61E50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уплату налогов, сборов и иных платежей на 36,3 тыс. рублей.</w:t>
      </w:r>
      <w:r w:rsidR="004F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77F" w:rsidRPr="004F6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Финансово-экономическое обоснование изменений по разделу в ревизионную комиссию не предоставлено.</w:t>
      </w:r>
    </w:p>
    <w:p w:rsidR="002E190B" w:rsidRPr="002E190B" w:rsidRDefault="002E190B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2E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2E1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 20,0 тыс. рублей в связи с  невостребованностью средств;</w:t>
      </w:r>
    </w:p>
    <w:p w:rsidR="00CB47F1" w:rsidRPr="0098362E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</w:t>
      </w:r>
      <w:r w:rsidRP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04</w:t>
      </w:r>
      <w:r w:rsidR="002E1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E1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 (дорожные фонды)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24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43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>82,1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на </w:t>
      </w:r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очистку дорог от снега </w:t>
      </w:r>
      <w:proofErr w:type="gramStart"/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Шейбухта за счет межбюджетных трансфертов из бюджета района</w:t>
      </w:r>
      <w:r w:rsidR="004F6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6A9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1C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C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C76A9"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>276,9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C76A9" w:rsidRDefault="001C76A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190B" w:rsidRPr="00061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2E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уличное освещение  и обслуживание уличного освещения в сумме 142,3 тыс. рублей (основание </w:t>
      </w:r>
      <w:r w:rsidR="000612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счет –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2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фактура ПАО «МРСК Северо-Запада»  №21-4841 от 29.11.2019 года, счет-фактура АО «Вологдаоблэнерго» на обслуживание уличного освещения  от 19.12.2019 года №29669, счет-фактура №21-4858 от 29.11.2019 года ПАО «МРСК Северо-Запада» замена светильников уличного освещения на светодиодный,  счет №44 от 25.11.2019 года ООО «ПроМоСтрой» на проектные работы по</w:t>
      </w:r>
      <w:proofErr w:type="gramEnd"/>
      <w:r w:rsidR="0006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сети наружного освещения в с. Шуйское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Надсадного, ул. Энергетиков);</w:t>
      </w:r>
      <w:proofErr w:type="gramEnd"/>
    </w:p>
    <w:p w:rsidR="0006125A" w:rsidRDefault="0006125A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прочие мероприятия по благоустройству на 134,6 тыс. рублей 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чистке канав, вывозу грунта, отходов в населенных пунктах поселения,  на утилизацию, обезвреживание и захоронение ТБО в октябре, ноябре 2019 года, на подключение к электроснабжению сцены центрального парка с. Шуйское</w:t>
      </w:r>
      <w:r w:rsidR="00AA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доставке, установке Новогодней ели в с. Шуйское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договор №03-2019 от 04.12.2019 года с ООО «Энерго-Сервис», договор 112/2019</w:t>
      </w:r>
      <w:proofErr w:type="gramEnd"/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12.12.2019 года с ООО «Приток», счет на оплату от 12.12.2019 года №1039, договор подряда №11 от 19.09.2019 года  с ООО «Теплосбыт»</w:t>
      </w:r>
      <w:r w:rsidR="00AA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на оказание услуг от 16.12.2019 года №38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4CB0" w:rsidRDefault="00D05E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E9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1101</w:t>
      </w:r>
      <w:r w:rsidRPr="00D6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9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у культура и спорт</w:t>
      </w:r>
      <w:r w:rsidRPr="00D6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E90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 «</w:t>
      </w:r>
      <w:r w:rsidR="00E90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  <w:r w:rsidRP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90737" w:rsidRPr="00C81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90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потребности до конца года.</w:t>
      </w:r>
      <w:proofErr w:type="gramEnd"/>
    </w:p>
    <w:p w:rsidR="00CB47F1" w:rsidRDefault="00CB47F1" w:rsidP="00CB4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33639" w:rsidRPr="00133639" w:rsidRDefault="00133639" w:rsidP="0013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на 201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</w:t>
      </w:r>
      <w:r w:rsidR="004F6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4383C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51EC" w:rsidRPr="00522D67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рублей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709"/>
        <w:gridCol w:w="850"/>
        <w:gridCol w:w="851"/>
        <w:gridCol w:w="850"/>
        <w:gridCol w:w="851"/>
        <w:gridCol w:w="850"/>
        <w:gridCol w:w="930"/>
        <w:gridCol w:w="1055"/>
        <w:gridCol w:w="850"/>
      </w:tblGrid>
      <w:tr w:rsidR="00C4383C" w:rsidRPr="00522D67" w:rsidTr="0047612F">
        <w:trPr>
          <w:trHeight w:val="253"/>
          <w:tblHeader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C4383C" w:rsidRPr="001010A2" w:rsidRDefault="001010A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t xml:space="preserve">                     2019 год</w:t>
            </w:r>
          </w:p>
        </w:tc>
      </w:tr>
      <w:tr w:rsidR="004F677F" w:rsidRPr="00522D67" w:rsidTr="004F677F">
        <w:trPr>
          <w:trHeight w:val="830"/>
          <w:tblHeader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7F" w:rsidRPr="00A76594" w:rsidRDefault="004F677F" w:rsidP="00876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4F677F" w:rsidRPr="00A76594" w:rsidRDefault="004F677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4F677F" w:rsidRPr="00A76594" w:rsidRDefault="004F677F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A76594">
              <w:rPr>
                <w:rFonts w:ascii="Times New Roman" w:hAnsi="Times New Roman" w:cs="Times New Roman"/>
              </w:rPr>
              <w:t>от</w:t>
            </w:r>
            <w:proofErr w:type="gramEnd"/>
            <w:r w:rsidRPr="00A76594">
              <w:rPr>
                <w:rFonts w:ascii="Times New Roman" w:hAnsi="Times New Roman" w:cs="Times New Roman"/>
              </w:rPr>
              <w:t xml:space="preserve">  </w:t>
            </w:r>
          </w:p>
          <w:p w:rsidR="004F677F" w:rsidRPr="00A76594" w:rsidRDefault="004F677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9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 учетом поправок в марте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F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в апреле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D6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24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D6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поправок 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июле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47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ноябре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4F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декабре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77F" w:rsidRPr="00522D67" w:rsidRDefault="004F677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4F677F" w:rsidRPr="00522D67" w:rsidRDefault="004F677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F677F" w:rsidRPr="00522D67" w:rsidTr="004F677F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77F" w:rsidRPr="00522D67" w:rsidRDefault="004F677F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677F" w:rsidRPr="00522D67" w:rsidTr="004F677F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77F" w:rsidRPr="00522D67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4F677F" w:rsidRPr="00522D67" w:rsidTr="004F677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Изменение остатков средств </w:t>
            </w: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на счетах по учету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+1440,0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77F" w:rsidRPr="00522D67" w:rsidRDefault="004F677F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F677F" w:rsidRPr="00522D67" w:rsidTr="004F677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Уменьшение прочих остатков денежных средств 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19449,5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19575,2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77F" w:rsidRPr="00522D67" w:rsidRDefault="004F677F" w:rsidP="00476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125,7</w:t>
            </w:r>
          </w:p>
        </w:tc>
      </w:tr>
      <w:tr w:rsidR="004F677F" w:rsidRPr="00522D67" w:rsidTr="004F677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4F677F" w:rsidRPr="00A76594" w:rsidRDefault="004F677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-17426,4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D6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-18016,9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4F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-19163,4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F" w:rsidRPr="00522D67" w:rsidRDefault="004F677F" w:rsidP="00D6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-19289,1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77F" w:rsidRPr="00522D67" w:rsidRDefault="004F677F" w:rsidP="004F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-125,7</w:t>
            </w:r>
          </w:p>
        </w:tc>
      </w:tr>
    </w:tbl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предусмотрен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размере 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вносимых изменений и дополнений  предлагается принять бюджет на 201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B83" w:rsidRPr="00207B8C" w:rsidRDefault="000E51EC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="0047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E8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56757E" w:rsidRDefault="000E51EC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  <w:r w:rsidR="0056757E"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E51EC" w:rsidRPr="00522D67" w:rsidRDefault="000E51EC" w:rsidP="00D03B83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P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7612F" w:rsidRPr="00476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471B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7471B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19289,1 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6254,7  тыс. рублей, или на 48,0 %,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выше  утвержденного 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меняется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3960,0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 у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величится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125,7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37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15329,1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79,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B46127" w:rsidRPr="00133639" w:rsidRDefault="00133639" w:rsidP="00B4612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37471B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19575,2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7980,8 тыс. рублей, или на 68,8 %, 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  утвержденного 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471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37471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Default="00133639" w:rsidP="000C49E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Планируется увеличить расходы в 201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Национальная экономика»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276,9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016" w:rsidRPr="00133639" w:rsidRDefault="00C12016" w:rsidP="000C49E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расходов планируется по разделам: «Общегосударственные вопросы» на 193,3 тыс. рублей, или на 2,9 %, «Национальная безопасность и правоохранительная деятельность» на 20,0 тыс. рублей, или на 14,3 % и «Физическая культура и спорт» на 20,0 тыс. рублей, или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41,7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бюджета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в сумме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B83" w:rsidRP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1785,5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6757E" w:rsidRPr="00133639" w:rsidRDefault="0056757E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</w:t>
      </w:r>
      <w:r w:rsidR="0049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C135D1">
        <w:rPr>
          <w:rFonts w:ascii="Times New Roman" w:hAnsi="Times New Roman" w:cs="Times New Roman"/>
          <w:sz w:val="28"/>
          <w:szCs w:val="28"/>
        </w:rPr>
        <w:t>Порядку формирования и применения кодов бюджетной классификации Российской Федерации</w:t>
      </w:r>
      <w:r w:rsidR="00490BBE">
        <w:rPr>
          <w:rFonts w:ascii="Times New Roman" w:hAnsi="Times New Roman" w:cs="Times New Roman"/>
          <w:sz w:val="28"/>
          <w:szCs w:val="28"/>
        </w:rPr>
        <w:t xml:space="preserve">. </w:t>
      </w:r>
      <w:r w:rsidR="00490BB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района предлагает принять проект решения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1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016" w:rsidRDefault="00C12016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49EB" w:rsidRPr="00145400" w:rsidRDefault="00145400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45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 Шестакова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rPr>
          <w:rFonts w:ascii="Times New Roman" w:hAnsi="Times New Roman" w:cs="Times New Roman"/>
          <w:sz w:val="24"/>
          <w:szCs w:val="24"/>
        </w:rPr>
      </w:pPr>
    </w:p>
    <w:sectPr w:rsidR="00133639" w:rsidRPr="00133639" w:rsidSect="00434C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FE" w:rsidRDefault="00495FFE">
      <w:pPr>
        <w:spacing w:after="0" w:line="240" w:lineRule="auto"/>
      </w:pPr>
      <w:r>
        <w:separator/>
      </w:r>
    </w:p>
  </w:endnote>
  <w:endnote w:type="continuationSeparator" w:id="0">
    <w:p w:rsidR="00495FFE" w:rsidRDefault="0049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FE" w:rsidRDefault="00495FFE">
      <w:pPr>
        <w:spacing w:after="0" w:line="240" w:lineRule="auto"/>
      </w:pPr>
      <w:r>
        <w:separator/>
      </w:r>
    </w:p>
  </w:footnote>
  <w:footnote w:type="continuationSeparator" w:id="0">
    <w:p w:rsidR="00495FFE" w:rsidRDefault="0049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223E3" w:rsidRDefault="006223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23E3" w:rsidRDefault="006223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4A57"/>
    <w:multiLevelType w:val="hybridMultilevel"/>
    <w:tmpl w:val="0D0E0EC8"/>
    <w:lvl w:ilvl="0" w:tplc="80D286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79"/>
    <w:rsid w:val="00002B27"/>
    <w:rsid w:val="000272F0"/>
    <w:rsid w:val="0006125A"/>
    <w:rsid w:val="000628F8"/>
    <w:rsid w:val="00070079"/>
    <w:rsid w:val="000C49EB"/>
    <w:rsid w:val="000E51EC"/>
    <w:rsid w:val="000E6C61"/>
    <w:rsid w:val="001010A2"/>
    <w:rsid w:val="0010446E"/>
    <w:rsid w:val="0012457B"/>
    <w:rsid w:val="00133639"/>
    <w:rsid w:val="00145400"/>
    <w:rsid w:val="00170154"/>
    <w:rsid w:val="001756C9"/>
    <w:rsid w:val="00177405"/>
    <w:rsid w:val="00187B42"/>
    <w:rsid w:val="0019330B"/>
    <w:rsid w:val="001C1138"/>
    <w:rsid w:val="001C76A9"/>
    <w:rsid w:val="002005CC"/>
    <w:rsid w:val="0020283A"/>
    <w:rsid w:val="00225D79"/>
    <w:rsid w:val="00242459"/>
    <w:rsid w:val="00244D90"/>
    <w:rsid w:val="002526E7"/>
    <w:rsid w:val="002A0312"/>
    <w:rsid w:val="002A7121"/>
    <w:rsid w:val="002D2C6C"/>
    <w:rsid w:val="002E190B"/>
    <w:rsid w:val="002E6D2E"/>
    <w:rsid w:val="002F7964"/>
    <w:rsid w:val="00340A3E"/>
    <w:rsid w:val="003625FA"/>
    <w:rsid w:val="0037471B"/>
    <w:rsid w:val="003919F2"/>
    <w:rsid w:val="00424C06"/>
    <w:rsid w:val="00434C38"/>
    <w:rsid w:val="00442B9B"/>
    <w:rsid w:val="00446AA3"/>
    <w:rsid w:val="00446B5E"/>
    <w:rsid w:val="004627E0"/>
    <w:rsid w:val="00470B8C"/>
    <w:rsid w:val="0047612F"/>
    <w:rsid w:val="00490BBE"/>
    <w:rsid w:val="00495FFE"/>
    <w:rsid w:val="004B2A9D"/>
    <w:rsid w:val="004D3C30"/>
    <w:rsid w:val="004E6CDD"/>
    <w:rsid w:val="004F677F"/>
    <w:rsid w:val="00551DAC"/>
    <w:rsid w:val="0056757E"/>
    <w:rsid w:val="005E0D64"/>
    <w:rsid w:val="005F341A"/>
    <w:rsid w:val="005F7CDD"/>
    <w:rsid w:val="006223E3"/>
    <w:rsid w:val="00623387"/>
    <w:rsid w:val="00641F80"/>
    <w:rsid w:val="0064349E"/>
    <w:rsid w:val="00643D70"/>
    <w:rsid w:val="00644CB0"/>
    <w:rsid w:val="006536A7"/>
    <w:rsid w:val="00653882"/>
    <w:rsid w:val="00686813"/>
    <w:rsid w:val="006A67A7"/>
    <w:rsid w:val="006F767C"/>
    <w:rsid w:val="00702B28"/>
    <w:rsid w:val="00723EDD"/>
    <w:rsid w:val="00760D4E"/>
    <w:rsid w:val="00783005"/>
    <w:rsid w:val="00784190"/>
    <w:rsid w:val="007B08E3"/>
    <w:rsid w:val="007B31C2"/>
    <w:rsid w:val="007E2B07"/>
    <w:rsid w:val="007F3554"/>
    <w:rsid w:val="007F4A43"/>
    <w:rsid w:val="007F4AFD"/>
    <w:rsid w:val="00806AC5"/>
    <w:rsid w:val="00840100"/>
    <w:rsid w:val="008519C9"/>
    <w:rsid w:val="008758D0"/>
    <w:rsid w:val="00876F07"/>
    <w:rsid w:val="00882BF9"/>
    <w:rsid w:val="008E0A09"/>
    <w:rsid w:val="008E5078"/>
    <w:rsid w:val="00915694"/>
    <w:rsid w:val="00921AA1"/>
    <w:rsid w:val="00937D22"/>
    <w:rsid w:val="0094254B"/>
    <w:rsid w:val="009543FC"/>
    <w:rsid w:val="009676BC"/>
    <w:rsid w:val="009720AB"/>
    <w:rsid w:val="00977728"/>
    <w:rsid w:val="0098362E"/>
    <w:rsid w:val="00984311"/>
    <w:rsid w:val="009938AB"/>
    <w:rsid w:val="009A0114"/>
    <w:rsid w:val="009A174A"/>
    <w:rsid w:val="009A7973"/>
    <w:rsid w:val="009C5736"/>
    <w:rsid w:val="009D2A97"/>
    <w:rsid w:val="009D2BC4"/>
    <w:rsid w:val="009D3E63"/>
    <w:rsid w:val="009E2532"/>
    <w:rsid w:val="009F3BF3"/>
    <w:rsid w:val="00A10047"/>
    <w:rsid w:val="00A44A2F"/>
    <w:rsid w:val="00A7640D"/>
    <w:rsid w:val="00A90823"/>
    <w:rsid w:val="00A96891"/>
    <w:rsid w:val="00AA2C6C"/>
    <w:rsid w:val="00AA63B4"/>
    <w:rsid w:val="00AD16F1"/>
    <w:rsid w:val="00AD7D6F"/>
    <w:rsid w:val="00B02DC6"/>
    <w:rsid w:val="00B07EB8"/>
    <w:rsid w:val="00B20836"/>
    <w:rsid w:val="00B40179"/>
    <w:rsid w:val="00B4586C"/>
    <w:rsid w:val="00B46127"/>
    <w:rsid w:val="00B579BE"/>
    <w:rsid w:val="00B673C0"/>
    <w:rsid w:val="00B73229"/>
    <w:rsid w:val="00B86880"/>
    <w:rsid w:val="00BB4592"/>
    <w:rsid w:val="00BD0550"/>
    <w:rsid w:val="00BE27C3"/>
    <w:rsid w:val="00C12016"/>
    <w:rsid w:val="00C174F3"/>
    <w:rsid w:val="00C36FDA"/>
    <w:rsid w:val="00C4383C"/>
    <w:rsid w:val="00C55D7D"/>
    <w:rsid w:val="00C741E7"/>
    <w:rsid w:val="00C81EE7"/>
    <w:rsid w:val="00CB47F1"/>
    <w:rsid w:val="00CB5AE7"/>
    <w:rsid w:val="00CB5C42"/>
    <w:rsid w:val="00CD5393"/>
    <w:rsid w:val="00D03B83"/>
    <w:rsid w:val="00D05EF2"/>
    <w:rsid w:val="00D157FA"/>
    <w:rsid w:val="00D1687C"/>
    <w:rsid w:val="00D25D70"/>
    <w:rsid w:val="00D3191E"/>
    <w:rsid w:val="00D37A86"/>
    <w:rsid w:val="00D61E86"/>
    <w:rsid w:val="00D82871"/>
    <w:rsid w:val="00D9253E"/>
    <w:rsid w:val="00DA5AAF"/>
    <w:rsid w:val="00DB7078"/>
    <w:rsid w:val="00DD6042"/>
    <w:rsid w:val="00DD7408"/>
    <w:rsid w:val="00E04737"/>
    <w:rsid w:val="00E05C82"/>
    <w:rsid w:val="00E36A9B"/>
    <w:rsid w:val="00E45EFB"/>
    <w:rsid w:val="00E55996"/>
    <w:rsid w:val="00E57F8E"/>
    <w:rsid w:val="00E80DA5"/>
    <w:rsid w:val="00E85257"/>
    <w:rsid w:val="00E90737"/>
    <w:rsid w:val="00E972ED"/>
    <w:rsid w:val="00E97D50"/>
    <w:rsid w:val="00EA0B20"/>
    <w:rsid w:val="00EA1A43"/>
    <w:rsid w:val="00EB09FA"/>
    <w:rsid w:val="00EC390F"/>
    <w:rsid w:val="00ED22B3"/>
    <w:rsid w:val="00EE1E01"/>
    <w:rsid w:val="00EE39C2"/>
    <w:rsid w:val="00F0568A"/>
    <w:rsid w:val="00F16B62"/>
    <w:rsid w:val="00F25340"/>
    <w:rsid w:val="00F344D6"/>
    <w:rsid w:val="00F4102C"/>
    <w:rsid w:val="00F54D74"/>
    <w:rsid w:val="00F56815"/>
    <w:rsid w:val="00F61E50"/>
    <w:rsid w:val="00F66B4D"/>
    <w:rsid w:val="00F92769"/>
    <w:rsid w:val="00FB12FC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  <w:style w:type="character" w:styleId="a7">
    <w:name w:val="Hyperlink"/>
    <w:rsid w:val="00783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  <w:style w:type="character" w:styleId="a7">
    <w:name w:val="Hyperlink"/>
    <w:rsid w:val="0078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A669-0046-49A7-949D-BA682CFF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2019-12-20T12:39:00Z</cp:lastPrinted>
  <dcterms:created xsi:type="dcterms:W3CDTF">2019-12-23T12:43:00Z</dcterms:created>
  <dcterms:modified xsi:type="dcterms:W3CDTF">2019-12-23T12:43:00Z</dcterms:modified>
</cp:coreProperties>
</file>