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1FB" w:rsidRPr="003401FB" w:rsidRDefault="003401FB" w:rsidP="003401F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401FB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0B234EB9" wp14:editId="648FBCD6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1FB" w:rsidRPr="003401FB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1FB" w:rsidRPr="003401FB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3401FB" w:rsidRPr="003401FB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3401FB" w:rsidRPr="003401FB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3401FB" w:rsidRPr="003401FB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1F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3401FB" w:rsidRPr="003401FB" w:rsidRDefault="003401FB" w:rsidP="003401FB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1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3401FB" w:rsidRPr="003401FB" w:rsidRDefault="003401FB" w:rsidP="003401FB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1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Представительного Собрания района</w:t>
      </w:r>
    </w:p>
    <w:p w:rsidR="003401FB" w:rsidRPr="003401FB" w:rsidRDefault="003401FB" w:rsidP="003401FB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1F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  <w:proofErr w:type="spellStart"/>
      <w:r w:rsidRPr="003401FB">
        <w:rPr>
          <w:rFonts w:ascii="Times New Roman" w:eastAsia="Times New Roman" w:hAnsi="Times New Roman" w:cs="Times New Roman"/>
          <w:sz w:val="26"/>
          <w:szCs w:val="26"/>
          <w:lang w:eastAsia="ru-RU"/>
        </w:rPr>
        <w:t>О.А.Дудина</w:t>
      </w:r>
      <w:proofErr w:type="spellEnd"/>
      <w:r w:rsidRPr="00340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401FB" w:rsidRPr="003401FB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01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ЗАКЛЮЧЕНИЕ</w:t>
      </w:r>
    </w:p>
    <w:p w:rsidR="003401FB" w:rsidRPr="003401FB" w:rsidRDefault="003401FB" w:rsidP="003401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отчет об исполнении бюджета поселения Туровецкое</w:t>
      </w:r>
    </w:p>
    <w:p w:rsidR="003401FB" w:rsidRPr="003401FB" w:rsidRDefault="003401FB" w:rsidP="003401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полугодие  2020 года</w:t>
      </w:r>
    </w:p>
    <w:p w:rsidR="003401FB" w:rsidRPr="003401FB" w:rsidRDefault="003401FB" w:rsidP="003401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01FB" w:rsidRPr="004F5931" w:rsidRDefault="003401FB" w:rsidP="003401F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931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4F5931" w:rsidRPr="004F59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F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августа  2020 г.                                                                                  </w:t>
      </w:r>
    </w:p>
    <w:p w:rsidR="003401FB" w:rsidRPr="003401F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соответствии с пунктом 18 раздела «Экспертно-аналитические мероприятия»  Плана работы  ревизионной комиссии </w:t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Представительного Собрания района на 2020 год, ревизионной комиссией проведен анализ исполнения бюджета поселения  за 1 полугодие  2020 года.</w:t>
      </w:r>
      <w:proofErr w:type="gramEnd"/>
    </w:p>
    <w:p w:rsidR="003401FB" w:rsidRPr="003401F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поселения за 1 полугодие 20</w:t>
      </w:r>
      <w:r w:rsidR="0077080B" w:rsidRPr="0077080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 поселения Туровецкое от </w:t>
      </w:r>
      <w:r w:rsidR="0077080B" w:rsidRPr="0077080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80B" w:rsidRPr="0077080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77080B" w:rsidRPr="0077080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№</w:t>
      </w:r>
      <w:r w:rsidR="0077080B" w:rsidRPr="0077080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1FB" w:rsidRPr="003401F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3401FB" w:rsidRPr="003401F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сопоставление исполненных показателей бюджета поселения  за 1 полугодие 20</w:t>
      </w:r>
      <w:r w:rsidR="00E80C64" w:rsidRPr="00E80C6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3401FB" w:rsidRPr="003401F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выявление возможных несоответствий (нарушений) и подготовка предложений, направленных на их устранение.</w:t>
      </w:r>
    </w:p>
    <w:p w:rsidR="003401FB" w:rsidRPr="003401F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поселения за 1 полугодие 20</w:t>
      </w:r>
      <w:r w:rsidR="00E80C64" w:rsidRPr="00E80C6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01FB" w:rsidRPr="003401F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Общая характеристика бюджета поселения.</w:t>
      </w:r>
    </w:p>
    <w:p w:rsidR="003401FB" w:rsidRPr="003401F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ab/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поселения за 1 полугодие   20</w:t>
      </w:r>
      <w:r w:rsidR="00BA4821" w:rsidRPr="00BA48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Туровецкое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3401FB" w:rsidRPr="003401F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Изменения в решение «О бюджете поселения на 20</w:t>
      </w:r>
      <w:r w:rsidR="00BA4821" w:rsidRPr="00BA48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0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202</w:t>
      </w:r>
      <w:r w:rsidR="00BA4821" w:rsidRPr="00BA48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A4821" w:rsidRPr="00BA48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BA4821" w:rsidRPr="00BA4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полугодии 20</w:t>
      </w:r>
      <w:r w:rsidR="00BA4821" w:rsidRPr="00BA48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вносились 1 раз  решением Совета поселения Туровецкое  от 2</w:t>
      </w:r>
      <w:r w:rsidR="00BA4821" w:rsidRPr="00BA48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A4821" w:rsidRPr="00BA48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года №</w:t>
      </w:r>
      <w:r w:rsidR="00BA4821" w:rsidRPr="00BA4821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1FB" w:rsidRPr="003401F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бюджет поселения на 20</w:t>
      </w:r>
      <w:r w:rsidR="00BA4821" w:rsidRPr="00BA48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 решением Совета поселения Туровецкое от </w:t>
      </w:r>
      <w:r w:rsidR="00BA4821" w:rsidRPr="00BA482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BA4821" w:rsidRPr="00BA48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A4821" w:rsidRPr="00BA4821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34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 следующими параметрами:</w:t>
      </w:r>
    </w:p>
    <w:p w:rsidR="003401FB" w:rsidRPr="003600F1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доходов бюджета поселения – </w:t>
      </w:r>
      <w:r w:rsidR="003600F1"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>4839,0</w:t>
      </w:r>
      <w:r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401FB" w:rsidRPr="003600F1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расходы бюджета поселения – </w:t>
      </w:r>
      <w:r w:rsidR="003600F1"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>4839,0</w:t>
      </w:r>
      <w:r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401FB" w:rsidRPr="003600F1" w:rsidRDefault="003401FB" w:rsidP="003401F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бюджета поселения </w:t>
      </w:r>
      <w:proofErr w:type="gramStart"/>
      <w:r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дефицита.</w:t>
      </w:r>
    </w:p>
    <w:p w:rsidR="003401FB" w:rsidRPr="003600F1" w:rsidRDefault="003401FB" w:rsidP="003401FB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Уточненный бюджет поселения Туровецкое  имеет следующие параметры:</w:t>
      </w:r>
    </w:p>
    <w:p w:rsidR="003401FB" w:rsidRPr="003600F1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объем доходов бюджета поселения – </w:t>
      </w:r>
      <w:r w:rsidR="003600F1"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>5510,3</w:t>
      </w:r>
      <w:r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401FB" w:rsidRPr="003600F1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расходы бюджета поселения  - </w:t>
      </w:r>
      <w:r w:rsidR="003600F1"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>5510,3</w:t>
      </w:r>
      <w:r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401FB" w:rsidRPr="003600F1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бюджета поселения </w:t>
      </w:r>
      <w:proofErr w:type="gramStart"/>
      <w:r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дефицита.</w:t>
      </w:r>
    </w:p>
    <w:p w:rsidR="003401FB" w:rsidRPr="003401F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отчета об исполнении бюджета доходы составили </w:t>
      </w:r>
      <w:r w:rsidR="003600F1"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>2396,1</w:t>
      </w:r>
      <w:r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600F1"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>43,5</w:t>
      </w:r>
      <w:r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3600F1"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>5510,3</w:t>
      </w:r>
      <w:r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расходы – </w:t>
      </w:r>
      <w:r w:rsidR="003600F1"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>2246,1</w:t>
      </w:r>
      <w:r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600F1"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>40,8</w:t>
      </w:r>
      <w:r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3600F1"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>5510,3</w:t>
      </w:r>
      <w:r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профицит составил </w:t>
      </w:r>
      <w:r w:rsidR="003600F1"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>150,0</w:t>
      </w:r>
      <w:r w:rsidRPr="0036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401FB" w:rsidRPr="003401F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01FB" w:rsidRPr="00920173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9201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поселения за 1 полугодие 20</w:t>
      </w:r>
      <w:r w:rsidR="00920173" w:rsidRPr="009201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2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201</w:t>
      </w:r>
      <w:r w:rsidR="00920173" w:rsidRPr="0092017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2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3401FB" w:rsidRPr="00920173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2017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  <w:r w:rsidRPr="009201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1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1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1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1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9201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01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 w:rsidRPr="00920173">
        <w:rPr>
          <w:rFonts w:ascii="Times New Roman" w:eastAsia="Times New Roman" w:hAnsi="Times New Roman" w:cs="Times New Roman"/>
          <w:lang w:eastAsia="ru-RU"/>
        </w:rPr>
        <w:t>тыс. руб.</w:t>
      </w:r>
    </w:p>
    <w:p w:rsidR="003401FB" w:rsidRPr="003401F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134"/>
        <w:gridCol w:w="1418"/>
        <w:gridCol w:w="1276"/>
        <w:gridCol w:w="1417"/>
        <w:gridCol w:w="1417"/>
      </w:tblGrid>
      <w:tr w:rsidR="004B542E" w:rsidRPr="004B542E" w:rsidTr="00BA4821">
        <w:trPr>
          <w:trHeight w:val="2158"/>
        </w:trPr>
        <w:tc>
          <w:tcPr>
            <w:tcW w:w="1809" w:type="dxa"/>
          </w:tcPr>
          <w:p w:rsidR="003401FB" w:rsidRPr="004B542E" w:rsidRDefault="003401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3401FB" w:rsidRPr="004B542E" w:rsidRDefault="004B542E" w:rsidP="004B54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r w:rsidR="003401FB"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за 1 полугодие 201</w:t>
            </w: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3401FB"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года</w:t>
            </w:r>
          </w:p>
        </w:tc>
        <w:tc>
          <w:tcPr>
            <w:tcW w:w="1134" w:type="dxa"/>
          </w:tcPr>
          <w:p w:rsidR="003401FB" w:rsidRPr="004B542E" w:rsidRDefault="003401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3401FB" w:rsidRPr="004B542E" w:rsidRDefault="003401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B542E"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3401FB" w:rsidRPr="004B542E" w:rsidRDefault="003401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3401FB" w:rsidRPr="004B542E" w:rsidRDefault="003401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3401FB" w:rsidRPr="004B542E" w:rsidRDefault="004B542E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r w:rsidR="003401FB"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</w:p>
          <w:p w:rsidR="003401FB" w:rsidRPr="004B542E" w:rsidRDefault="003401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  <w:p w:rsidR="003401FB" w:rsidRPr="004B542E" w:rsidRDefault="003401FB" w:rsidP="004B54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B542E"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3401FB" w:rsidRPr="004B542E" w:rsidRDefault="003401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</w:t>
            </w:r>
            <w:proofErr w:type="spellEnd"/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401FB" w:rsidRPr="004B542E" w:rsidRDefault="003401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полнее</w:t>
            </w:r>
          </w:p>
          <w:p w:rsidR="003401FB" w:rsidRPr="004B542E" w:rsidRDefault="003401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  <w:p w:rsidR="003401FB" w:rsidRPr="004B542E" w:rsidRDefault="003401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1FB" w:rsidRPr="004B542E" w:rsidRDefault="003401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3401FB" w:rsidRPr="004B542E" w:rsidRDefault="003401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417" w:type="dxa"/>
          </w:tcPr>
          <w:p w:rsidR="003401FB" w:rsidRPr="004B542E" w:rsidRDefault="003401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Абсолютное </w:t>
            </w:r>
            <w:proofErr w:type="spellStart"/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</w:t>
            </w:r>
            <w:proofErr w:type="spellEnd"/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3401FB" w:rsidRPr="004B542E" w:rsidRDefault="003401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  <w:p w:rsidR="003401FB" w:rsidRPr="004B542E" w:rsidRDefault="003401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полугодия</w:t>
            </w:r>
          </w:p>
          <w:p w:rsidR="003401FB" w:rsidRPr="004B542E" w:rsidRDefault="003401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B542E"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3401FB" w:rsidRPr="004B542E" w:rsidRDefault="003401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3401FB" w:rsidRPr="004B542E" w:rsidRDefault="003401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полугодия</w:t>
            </w:r>
          </w:p>
          <w:p w:rsidR="003401FB" w:rsidRPr="004B542E" w:rsidRDefault="003401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4B542E"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401FB" w:rsidRPr="004B542E" w:rsidRDefault="003401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3401FB" w:rsidRPr="004B542E" w:rsidRDefault="003401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01FB" w:rsidRPr="004B542E" w:rsidRDefault="003401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401FB" w:rsidRPr="004B542E" w:rsidRDefault="003401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к уровню   1</w:t>
            </w:r>
          </w:p>
          <w:p w:rsidR="003401FB" w:rsidRPr="004B542E" w:rsidRDefault="003401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полугодия 201</w:t>
            </w:r>
            <w:r w:rsidR="004B542E"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 </w:t>
            </w:r>
          </w:p>
          <w:p w:rsidR="003401FB" w:rsidRPr="004B542E" w:rsidRDefault="003401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3401FB" w:rsidRPr="004B542E" w:rsidRDefault="003401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542E" w:rsidRPr="004B542E" w:rsidTr="00BA4821">
        <w:trPr>
          <w:trHeight w:val="261"/>
        </w:trPr>
        <w:tc>
          <w:tcPr>
            <w:tcW w:w="1809" w:type="dxa"/>
          </w:tcPr>
          <w:p w:rsidR="003401FB" w:rsidRPr="004B542E" w:rsidRDefault="003401FB" w:rsidP="00340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3401FB" w:rsidRPr="004B542E" w:rsidRDefault="003401FB" w:rsidP="00340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3401FB" w:rsidRPr="004B542E" w:rsidRDefault="003401FB" w:rsidP="00340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3401FB" w:rsidRPr="004B542E" w:rsidRDefault="003401FB" w:rsidP="00340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3401FB" w:rsidRPr="004B542E" w:rsidRDefault="003401FB" w:rsidP="00340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3401FB" w:rsidRPr="004B542E" w:rsidRDefault="003401FB" w:rsidP="00340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3401FB" w:rsidRPr="004B542E" w:rsidRDefault="003401FB" w:rsidP="00340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B542E" w:rsidRPr="004B542E" w:rsidTr="00BA4821">
        <w:tc>
          <w:tcPr>
            <w:tcW w:w="1809" w:type="dxa"/>
          </w:tcPr>
          <w:p w:rsidR="004B542E" w:rsidRPr="004B542E" w:rsidRDefault="004B542E" w:rsidP="003401F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6" w:type="dxa"/>
          </w:tcPr>
          <w:p w:rsidR="004B542E" w:rsidRPr="004B542E" w:rsidRDefault="004B542E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3001,8</w:t>
            </w:r>
          </w:p>
        </w:tc>
        <w:tc>
          <w:tcPr>
            <w:tcW w:w="1134" w:type="dxa"/>
          </w:tcPr>
          <w:p w:rsidR="004B542E" w:rsidRPr="004B542E" w:rsidRDefault="004B542E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5510,3</w:t>
            </w:r>
          </w:p>
        </w:tc>
        <w:tc>
          <w:tcPr>
            <w:tcW w:w="1418" w:type="dxa"/>
          </w:tcPr>
          <w:p w:rsidR="004B542E" w:rsidRPr="004B542E" w:rsidRDefault="004B542E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2396,1</w:t>
            </w:r>
          </w:p>
        </w:tc>
        <w:tc>
          <w:tcPr>
            <w:tcW w:w="1276" w:type="dxa"/>
          </w:tcPr>
          <w:p w:rsidR="004B542E" w:rsidRPr="004B542E" w:rsidRDefault="004B542E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417" w:type="dxa"/>
          </w:tcPr>
          <w:p w:rsidR="004B542E" w:rsidRPr="004B542E" w:rsidRDefault="004B542E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-605,7</w:t>
            </w:r>
          </w:p>
        </w:tc>
        <w:tc>
          <w:tcPr>
            <w:tcW w:w="1417" w:type="dxa"/>
          </w:tcPr>
          <w:p w:rsidR="004B542E" w:rsidRPr="004B542E" w:rsidRDefault="004B542E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</w:tr>
      <w:tr w:rsidR="004B542E" w:rsidRPr="004B542E" w:rsidTr="00BA4821">
        <w:tc>
          <w:tcPr>
            <w:tcW w:w="1809" w:type="dxa"/>
          </w:tcPr>
          <w:p w:rsidR="004B542E" w:rsidRPr="004B542E" w:rsidRDefault="004B542E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4B542E" w:rsidRPr="004B542E" w:rsidRDefault="004B542E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2838,9</w:t>
            </w:r>
          </w:p>
        </w:tc>
        <w:tc>
          <w:tcPr>
            <w:tcW w:w="1134" w:type="dxa"/>
          </w:tcPr>
          <w:p w:rsidR="004B542E" w:rsidRPr="004B542E" w:rsidRDefault="004B542E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5510,3</w:t>
            </w:r>
          </w:p>
        </w:tc>
        <w:tc>
          <w:tcPr>
            <w:tcW w:w="1418" w:type="dxa"/>
          </w:tcPr>
          <w:p w:rsidR="004B542E" w:rsidRPr="004B542E" w:rsidRDefault="004B542E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2246,1</w:t>
            </w:r>
          </w:p>
        </w:tc>
        <w:tc>
          <w:tcPr>
            <w:tcW w:w="1276" w:type="dxa"/>
          </w:tcPr>
          <w:p w:rsidR="004B542E" w:rsidRPr="004B542E" w:rsidRDefault="004B542E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417" w:type="dxa"/>
          </w:tcPr>
          <w:p w:rsidR="004B542E" w:rsidRPr="004B542E" w:rsidRDefault="004B542E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-592,8</w:t>
            </w:r>
          </w:p>
        </w:tc>
        <w:tc>
          <w:tcPr>
            <w:tcW w:w="1417" w:type="dxa"/>
          </w:tcPr>
          <w:p w:rsidR="004B542E" w:rsidRPr="004B542E" w:rsidRDefault="004B542E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4B542E" w:rsidRPr="004B542E" w:rsidTr="00BA4821">
        <w:tc>
          <w:tcPr>
            <w:tcW w:w="1809" w:type="dxa"/>
          </w:tcPr>
          <w:p w:rsidR="004B542E" w:rsidRPr="004B542E" w:rsidRDefault="004B542E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4B542E" w:rsidRPr="004B542E" w:rsidRDefault="004B542E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4B542E" w:rsidRPr="004B542E" w:rsidRDefault="004B542E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162,9</w:t>
            </w:r>
          </w:p>
        </w:tc>
        <w:tc>
          <w:tcPr>
            <w:tcW w:w="1134" w:type="dxa"/>
          </w:tcPr>
          <w:p w:rsidR="004B542E" w:rsidRPr="004B542E" w:rsidRDefault="004B542E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:rsidR="004B542E" w:rsidRPr="004B542E" w:rsidRDefault="004B542E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</w:tcPr>
          <w:p w:rsidR="004B542E" w:rsidRPr="004B542E" w:rsidRDefault="004B542E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4B542E" w:rsidRPr="004B542E" w:rsidRDefault="004B542E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</w:tcPr>
          <w:p w:rsidR="004B542E" w:rsidRPr="004B542E" w:rsidRDefault="004B542E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54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3401FB" w:rsidRPr="003401F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proofErr w:type="gramStart"/>
      <w:r w:rsidRPr="000A51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1 полугодием 201</w:t>
      </w:r>
      <w:r w:rsidR="004B542E" w:rsidRPr="000A51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A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у</w:t>
      </w:r>
      <w:r w:rsidR="004B542E" w:rsidRPr="000A51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0A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4B542E" w:rsidRPr="000A514D">
        <w:rPr>
          <w:rFonts w:ascii="Times New Roman" w:eastAsia="Times New Roman" w:hAnsi="Times New Roman" w:cs="Times New Roman"/>
          <w:sz w:val="28"/>
          <w:szCs w:val="28"/>
          <w:lang w:eastAsia="ru-RU"/>
        </w:rPr>
        <w:t>605,7</w:t>
      </w:r>
      <w:r w:rsidRPr="000A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B542E" w:rsidRPr="000A514D">
        <w:rPr>
          <w:rFonts w:ascii="Times New Roman" w:eastAsia="Times New Roman" w:hAnsi="Times New Roman" w:cs="Times New Roman"/>
          <w:sz w:val="28"/>
          <w:szCs w:val="28"/>
          <w:lang w:eastAsia="ru-RU"/>
        </w:rPr>
        <w:t>20,2</w:t>
      </w:r>
      <w:r w:rsidRPr="000A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расходы также </w:t>
      </w:r>
      <w:r w:rsidR="004B542E" w:rsidRPr="000A514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снизились</w:t>
      </w:r>
      <w:r w:rsidRPr="000A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B542E" w:rsidRPr="000A514D">
        <w:rPr>
          <w:rFonts w:ascii="Times New Roman" w:eastAsia="Times New Roman" w:hAnsi="Times New Roman" w:cs="Times New Roman"/>
          <w:sz w:val="28"/>
          <w:szCs w:val="28"/>
          <w:lang w:eastAsia="ru-RU"/>
        </w:rPr>
        <w:t>592,8</w:t>
      </w:r>
      <w:r w:rsidRPr="000A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0A514D" w:rsidRPr="000A514D">
        <w:rPr>
          <w:rFonts w:ascii="Times New Roman" w:eastAsia="Times New Roman" w:hAnsi="Times New Roman" w:cs="Times New Roman"/>
          <w:sz w:val="28"/>
          <w:szCs w:val="28"/>
          <w:lang w:eastAsia="ru-RU"/>
        </w:rPr>
        <w:t>20,9</w:t>
      </w:r>
      <w:r w:rsidRPr="000A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Бюджет поселения за 1 полугодие 20</w:t>
      </w:r>
      <w:r w:rsidR="000A514D" w:rsidRPr="000A51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A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профицитом  в сумме  </w:t>
      </w:r>
      <w:r w:rsidR="000A514D" w:rsidRPr="000A514D">
        <w:rPr>
          <w:rFonts w:ascii="Times New Roman" w:eastAsia="Times New Roman" w:hAnsi="Times New Roman" w:cs="Times New Roman"/>
          <w:sz w:val="28"/>
          <w:szCs w:val="28"/>
          <w:lang w:eastAsia="ru-RU"/>
        </w:rPr>
        <w:t>150,0</w:t>
      </w:r>
      <w:r w:rsidRPr="000A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аналогичный период 201</w:t>
      </w:r>
      <w:r w:rsidR="000A514D" w:rsidRPr="000A51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A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исполнен также с профицитом в сумме </w:t>
      </w:r>
      <w:r w:rsidR="000A514D" w:rsidRPr="000A514D">
        <w:rPr>
          <w:rFonts w:ascii="Times New Roman" w:eastAsia="Times New Roman" w:hAnsi="Times New Roman" w:cs="Times New Roman"/>
          <w:sz w:val="28"/>
          <w:szCs w:val="28"/>
          <w:lang w:eastAsia="ru-RU"/>
        </w:rPr>
        <w:t>162,9</w:t>
      </w:r>
      <w:r w:rsidRPr="000A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3401FB" w:rsidRPr="003401F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3401FB" w:rsidRPr="000A514D" w:rsidRDefault="003401FB" w:rsidP="003401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1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Доходы бюджета поселения</w:t>
      </w:r>
    </w:p>
    <w:p w:rsidR="003401FB" w:rsidRPr="003401F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01FB" w:rsidRPr="0076204A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0A51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поселения по доходам за 1 полугодие 20</w:t>
      </w:r>
      <w:r w:rsidR="000A514D" w:rsidRPr="000A51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A5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7620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 в следующей таблице.</w:t>
      </w:r>
      <w:r w:rsidRPr="00762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2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2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2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2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20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01FB" w:rsidRPr="0076204A" w:rsidRDefault="003401FB" w:rsidP="003401F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204A">
        <w:rPr>
          <w:rFonts w:ascii="Times New Roman" w:eastAsia="Times New Roman" w:hAnsi="Times New Roman" w:cs="Times New Roman"/>
          <w:lang w:eastAsia="ru-RU"/>
        </w:rPr>
        <w:t>Таблица № 2</w:t>
      </w:r>
      <w:r w:rsidRPr="0076204A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992"/>
        <w:gridCol w:w="851"/>
        <w:gridCol w:w="708"/>
        <w:gridCol w:w="236"/>
      </w:tblGrid>
      <w:tr w:rsidR="003401FB" w:rsidRPr="0076204A" w:rsidTr="00BA4821">
        <w:trPr>
          <w:gridAfter w:val="1"/>
          <w:wAfter w:w="236" w:type="dxa"/>
          <w:trHeight w:val="3152"/>
        </w:trPr>
        <w:tc>
          <w:tcPr>
            <w:tcW w:w="2802" w:type="dxa"/>
          </w:tcPr>
          <w:p w:rsidR="003401FB" w:rsidRPr="0076204A" w:rsidRDefault="003401FB" w:rsidP="00340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3401FB" w:rsidRPr="0076204A" w:rsidRDefault="003401FB" w:rsidP="00F976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F976FB" w:rsidRPr="00762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62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3401FB" w:rsidRPr="0076204A" w:rsidRDefault="003401FB" w:rsidP="00F976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за 1 полугодие 201</w:t>
            </w:r>
            <w:r w:rsidR="00F976FB" w:rsidRPr="00762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62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</w:tcPr>
          <w:p w:rsidR="003401FB" w:rsidRPr="0076204A" w:rsidRDefault="003401FB" w:rsidP="00340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3401FB" w:rsidRPr="0076204A" w:rsidRDefault="003401FB" w:rsidP="00340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3401FB" w:rsidRPr="0076204A" w:rsidRDefault="003401FB" w:rsidP="00F976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</w:t>
            </w:r>
            <w:r w:rsidR="00F976FB" w:rsidRPr="00762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762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3401FB" w:rsidRPr="0076204A" w:rsidRDefault="003401FB" w:rsidP="00340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3401FB" w:rsidRPr="0076204A" w:rsidRDefault="003401FB" w:rsidP="00F976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полугодие 20</w:t>
            </w:r>
            <w:r w:rsidR="00F976FB" w:rsidRPr="00762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762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92" w:type="dxa"/>
          </w:tcPr>
          <w:p w:rsidR="003401FB" w:rsidRPr="0076204A" w:rsidRDefault="003401FB" w:rsidP="00340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3401FB" w:rsidRPr="0076204A" w:rsidRDefault="003401FB" w:rsidP="003401FB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401FB" w:rsidRPr="0076204A" w:rsidRDefault="003401FB" w:rsidP="003401FB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20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3401FB" w:rsidRPr="0076204A" w:rsidRDefault="003401FB" w:rsidP="003401FB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20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3401FB" w:rsidRPr="0076204A" w:rsidRDefault="003401FB" w:rsidP="003401FB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20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полугодия</w:t>
            </w:r>
          </w:p>
          <w:p w:rsidR="003401FB" w:rsidRPr="0076204A" w:rsidRDefault="003401FB" w:rsidP="003401FB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20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F976FB" w:rsidRPr="007620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7620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7620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3401FB" w:rsidRPr="0076204A" w:rsidRDefault="003401FB" w:rsidP="003401FB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20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полугодия </w:t>
            </w:r>
          </w:p>
          <w:p w:rsidR="003401FB" w:rsidRPr="0076204A" w:rsidRDefault="003401FB" w:rsidP="00F976FB">
            <w:pPr>
              <w:spacing w:after="0" w:line="240" w:lineRule="auto"/>
              <w:ind w:left="-108" w:righ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0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F976FB" w:rsidRPr="007620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  <w:r w:rsidRPr="007620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8" w:type="dxa"/>
          </w:tcPr>
          <w:p w:rsidR="003401FB" w:rsidRPr="0076204A" w:rsidRDefault="003401FB" w:rsidP="003401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20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3401FB" w:rsidRPr="0076204A" w:rsidRDefault="003401FB" w:rsidP="003401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620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 уровню 1 полугодия </w:t>
            </w:r>
          </w:p>
          <w:p w:rsidR="003401FB" w:rsidRPr="0076204A" w:rsidRDefault="003401FB" w:rsidP="00340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0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F976FB" w:rsidRPr="007620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76204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3401FB" w:rsidRPr="0076204A" w:rsidRDefault="003401FB" w:rsidP="003401FB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0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F976FB" w:rsidRPr="006044B0" w:rsidTr="00BA4821">
        <w:trPr>
          <w:gridAfter w:val="1"/>
          <w:wAfter w:w="236" w:type="dxa"/>
        </w:trPr>
        <w:tc>
          <w:tcPr>
            <w:tcW w:w="2802" w:type="dxa"/>
          </w:tcPr>
          <w:p w:rsidR="00F976FB" w:rsidRPr="006044B0" w:rsidRDefault="00F976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F976FB" w:rsidRPr="006044B0" w:rsidRDefault="00F976FB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378,0</w:t>
            </w:r>
          </w:p>
        </w:tc>
        <w:tc>
          <w:tcPr>
            <w:tcW w:w="992" w:type="dxa"/>
          </w:tcPr>
          <w:p w:rsidR="00F976FB" w:rsidRPr="006044B0" w:rsidRDefault="00F976FB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152,8</w:t>
            </w:r>
          </w:p>
        </w:tc>
        <w:tc>
          <w:tcPr>
            <w:tcW w:w="709" w:type="dxa"/>
          </w:tcPr>
          <w:p w:rsidR="00F976FB" w:rsidRPr="006044B0" w:rsidRDefault="00F976FB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40,4</w:t>
            </w:r>
          </w:p>
        </w:tc>
        <w:tc>
          <w:tcPr>
            <w:tcW w:w="850" w:type="dxa"/>
          </w:tcPr>
          <w:p w:rsidR="00F976FB" w:rsidRPr="006044B0" w:rsidRDefault="002F76B7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463,0</w:t>
            </w:r>
          </w:p>
        </w:tc>
        <w:tc>
          <w:tcPr>
            <w:tcW w:w="851" w:type="dxa"/>
          </w:tcPr>
          <w:p w:rsidR="00F976FB" w:rsidRPr="006044B0" w:rsidRDefault="002F76B7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114,2</w:t>
            </w:r>
          </w:p>
        </w:tc>
        <w:tc>
          <w:tcPr>
            <w:tcW w:w="992" w:type="dxa"/>
          </w:tcPr>
          <w:p w:rsidR="00F976FB" w:rsidRPr="006044B0" w:rsidRDefault="002F76B7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24,7</w:t>
            </w:r>
          </w:p>
        </w:tc>
        <w:tc>
          <w:tcPr>
            <w:tcW w:w="851" w:type="dxa"/>
          </w:tcPr>
          <w:p w:rsidR="00F976FB" w:rsidRPr="006044B0" w:rsidRDefault="00B87C92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-38,6</w:t>
            </w:r>
          </w:p>
        </w:tc>
        <w:tc>
          <w:tcPr>
            <w:tcW w:w="708" w:type="dxa"/>
          </w:tcPr>
          <w:p w:rsidR="00F976FB" w:rsidRPr="006044B0" w:rsidRDefault="00B87C92" w:rsidP="003401F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74,7</w:t>
            </w:r>
          </w:p>
        </w:tc>
      </w:tr>
      <w:tr w:rsidR="00F976FB" w:rsidRPr="006044B0" w:rsidTr="00BA4821">
        <w:trPr>
          <w:gridAfter w:val="1"/>
          <w:wAfter w:w="236" w:type="dxa"/>
        </w:trPr>
        <w:tc>
          <w:tcPr>
            <w:tcW w:w="2802" w:type="dxa"/>
          </w:tcPr>
          <w:p w:rsidR="00F976FB" w:rsidRPr="006044B0" w:rsidRDefault="00F976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F976FB" w:rsidRPr="006044B0" w:rsidRDefault="00F976FB" w:rsidP="00905204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190,0</w:t>
            </w:r>
          </w:p>
        </w:tc>
        <w:tc>
          <w:tcPr>
            <w:tcW w:w="992" w:type="dxa"/>
          </w:tcPr>
          <w:p w:rsidR="00F976FB" w:rsidRPr="006044B0" w:rsidRDefault="00F976FB" w:rsidP="00905204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98,7</w:t>
            </w:r>
          </w:p>
        </w:tc>
        <w:tc>
          <w:tcPr>
            <w:tcW w:w="709" w:type="dxa"/>
          </w:tcPr>
          <w:p w:rsidR="00F976FB" w:rsidRPr="006044B0" w:rsidRDefault="00F976FB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51,9</w:t>
            </w:r>
          </w:p>
        </w:tc>
        <w:tc>
          <w:tcPr>
            <w:tcW w:w="850" w:type="dxa"/>
          </w:tcPr>
          <w:p w:rsidR="00F976FB" w:rsidRPr="006044B0" w:rsidRDefault="002F76B7" w:rsidP="003401FB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208,0</w:t>
            </w:r>
          </w:p>
        </w:tc>
        <w:tc>
          <w:tcPr>
            <w:tcW w:w="851" w:type="dxa"/>
          </w:tcPr>
          <w:p w:rsidR="00F976FB" w:rsidRPr="006044B0" w:rsidRDefault="002F76B7" w:rsidP="003401FB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77,6</w:t>
            </w:r>
          </w:p>
        </w:tc>
        <w:tc>
          <w:tcPr>
            <w:tcW w:w="992" w:type="dxa"/>
          </w:tcPr>
          <w:p w:rsidR="00F976FB" w:rsidRPr="006044B0" w:rsidRDefault="002F76B7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37,3</w:t>
            </w:r>
          </w:p>
        </w:tc>
        <w:tc>
          <w:tcPr>
            <w:tcW w:w="851" w:type="dxa"/>
          </w:tcPr>
          <w:p w:rsidR="00F976FB" w:rsidRPr="006044B0" w:rsidRDefault="00B87C92" w:rsidP="003401FB">
            <w:pPr>
              <w:spacing w:after="0" w:line="240" w:lineRule="auto"/>
              <w:ind w:left="-108" w:hanging="142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-21,1</w:t>
            </w:r>
          </w:p>
        </w:tc>
        <w:tc>
          <w:tcPr>
            <w:tcW w:w="708" w:type="dxa"/>
          </w:tcPr>
          <w:p w:rsidR="00F976FB" w:rsidRPr="006044B0" w:rsidRDefault="00B87C92" w:rsidP="00B87C9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78,6</w:t>
            </w:r>
          </w:p>
        </w:tc>
      </w:tr>
      <w:tr w:rsidR="00F976FB" w:rsidRPr="006044B0" w:rsidTr="00BA4821">
        <w:trPr>
          <w:gridAfter w:val="1"/>
          <w:wAfter w:w="236" w:type="dxa"/>
        </w:trPr>
        <w:tc>
          <w:tcPr>
            <w:tcW w:w="2802" w:type="dxa"/>
          </w:tcPr>
          <w:p w:rsidR="00F976FB" w:rsidRPr="006044B0" w:rsidRDefault="00F976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физических лиц</w:t>
            </w:r>
          </w:p>
        </w:tc>
        <w:tc>
          <w:tcPr>
            <w:tcW w:w="992" w:type="dxa"/>
          </w:tcPr>
          <w:p w:rsidR="00F976FB" w:rsidRPr="006044B0" w:rsidRDefault="00F976FB" w:rsidP="00905204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91,0</w:t>
            </w:r>
          </w:p>
        </w:tc>
        <w:tc>
          <w:tcPr>
            <w:tcW w:w="992" w:type="dxa"/>
          </w:tcPr>
          <w:p w:rsidR="00F976FB" w:rsidRPr="006044B0" w:rsidRDefault="00F976FB" w:rsidP="00905204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709" w:type="dxa"/>
          </w:tcPr>
          <w:p w:rsidR="00F976FB" w:rsidRPr="006044B0" w:rsidRDefault="00F976FB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850" w:type="dxa"/>
          </w:tcPr>
          <w:p w:rsidR="00F976FB" w:rsidRPr="006044B0" w:rsidRDefault="002F76B7" w:rsidP="002F76B7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148,0</w:t>
            </w:r>
          </w:p>
        </w:tc>
        <w:tc>
          <w:tcPr>
            <w:tcW w:w="851" w:type="dxa"/>
          </w:tcPr>
          <w:p w:rsidR="00F976FB" w:rsidRPr="006044B0" w:rsidRDefault="002F76B7" w:rsidP="003401FB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992" w:type="dxa"/>
          </w:tcPr>
          <w:p w:rsidR="00F976FB" w:rsidRPr="006044B0" w:rsidRDefault="002F76B7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851" w:type="dxa"/>
          </w:tcPr>
          <w:p w:rsidR="00F976FB" w:rsidRPr="006044B0" w:rsidRDefault="00B87C92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-6,5</w:t>
            </w:r>
          </w:p>
        </w:tc>
        <w:tc>
          <w:tcPr>
            <w:tcW w:w="708" w:type="dxa"/>
          </w:tcPr>
          <w:p w:rsidR="00F976FB" w:rsidRPr="006044B0" w:rsidRDefault="00B87C92" w:rsidP="003401FB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27,8</w:t>
            </w:r>
          </w:p>
        </w:tc>
      </w:tr>
      <w:tr w:rsidR="00F976FB" w:rsidRPr="006044B0" w:rsidTr="00BA4821">
        <w:trPr>
          <w:gridAfter w:val="1"/>
          <w:wAfter w:w="236" w:type="dxa"/>
        </w:trPr>
        <w:tc>
          <w:tcPr>
            <w:tcW w:w="2802" w:type="dxa"/>
          </w:tcPr>
          <w:p w:rsidR="00F976FB" w:rsidRPr="006044B0" w:rsidRDefault="00F976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F976FB" w:rsidRPr="006044B0" w:rsidRDefault="00F976FB" w:rsidP="00905204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992" w:type="dxa"/>
          </w:tcPr>
          <w:p w:rsidR="00F976FB" w:rsidRPr="006044B0" w:rsidRDefault="00F976FB" w:rsidP="00905204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37,7</w:t>
            </w:r>
          </w:p>
        </w:tc>
        <w:tc>
          <w:tcPr>
            <w:tcW w:w="709" w:type="dxa"/>
          </w:tcPr>
          <w:p w:rsidR="00F976FB" w:rsidRPr="006044B0" w:rsidRDefault="00F976FB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43,3</w:t>
            </w:r>
          </w:p>
        </w:tc>
        <w:tc>
          <w:tcPr>
            <w:tcW w:w="850" w:type="dxa"/>
          </w:tcPr>
          <w:p w:rsidR="00F976FB" w:rsidRPr="006044B0" w:rsidRDefault="002F76B7" w:rsidP="003401FB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101,0</w:t>
            </w:r>
          </w:p>
        </w:tc>
        <w:tc>
          <w:tcPr>
            <w:tcW w:w="851" w:type="dxa"/>
          </w:tcPr>
          <w:p w:rsidR="00F976FB" w:rsidRPr="006044B0" w:rsidRDefault="002F76B7" w:rsidP="003401FB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  <w:tc>
          <w:tcPr>
            <w:tcW w:w="992" w:type="dxa"/>
          </w:tcPr>
          <w:p w:rsidR="00F976FB" w:rsidRPr="006044B0" w:rsidRDefault="002F76B7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32,2</w:t>
            </w:r>
          </w:p>
        </w:tc>
        <w:tc>
          <w:tcPr>
            <w:tcW w:w="851" w:type="dxa"/>
          </w:tcPr>
          <w:p w:rsidR="00F976FB" w:rsidRPr="006044B0" w:rsidRDefault="00B87C92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-5,2</w:t>
            </w:r>
          </w:p>
        </w:tc>
        <w:tc>
          <w:tcPr>
            <w:tcW w:w="708" w:type="dxa"/>
          </w:tcPr>
          <w:p w:rsidR="00F976FB" w:rsidRPr="006044B0" w:rsidRDefault="00B87C92" w:rsidP="003401FB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86,2</w:t>
            </w:r>
          </w:p>
        </w:tc>
      </w:tr>
      <w:tr w:rsidR="00F976FB" w:rsidRPr="006044B0" w:rsidTr="00BA4821">
        <w:trPr>
          <w:gridAfter w:val="1"/>
          <w:wAfter w:w="236" w:type="dxa"/>
        </w:trPr>
        <w:tc>
          <w:tcPr>
            <w:tcW w:w="2802" w:type="dxa"/>
          </w:tcPr>
          <w:p w:rsidR="00F976FB" w:rsidRPr="006044B0" w:rsidRDefault="00F976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- государственная пошлина</w:t>
            </w:r>
          </w:p>
        </w:tc>
        <w:tc>
          <w:tcPr>
            <w:tcW w:w="992" w:type="dxa"/>
          </w:tcPr>
          <w:p w:rsidR="00F976FB" w:rsidRPr="006044B0" w:rsidRDefault="00F976FB" w:rsidP="00905204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</w:tcPr>
          <w:p w:rsidR="00F976FB" w:rsidRPr="006044B0" w:rsidRDefault="00F976FB" w:rsidP="00905204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709" w:type="dxa"/>
          </w:tcPr>
          <w:p w:rsidR="00F976FB" w:rsidRPr="006044B0" w:rsidRDefault="00F976FB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74,0</w:t>
            </w:r>
          </w:p>
        </w:tc>
        <w:tc>
          <w:tcPr>
            <w:tcW w:w="850" w:type="dxa"/>
          </w:tcPr>
          <w:p w:rsidR="00F976FB" w:rsidRPr="006044B0" w:rsidRDefault="002F76B7" w:rsidP="003401FB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851" w:type="dxa"/>
          </w:tcPr>
          <w:p w:rsidR="00F976FB" w:rsidRPr="006044B0" w:rsidRDefault="002F76B7" w:rsidP="003401FB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992" w:type="dxa"/>
          </w:tcPr>
          <w:p w:rsidR="00F976FB" w:rsidRPr="006044B0" w:rsidRDefault="002F76B7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22,9</w:t>
            </w:r>
          </w:p>
        </w:tc>
        <w:tc>
          <w:tcPr>
            <w:tcW w:w="851" w:type="dxa"/>
          </w:tcPr>
          <w:p w:rsidR="00F976FB" w:rsidRPr="006044B0" w:rsidRDefault="00B87C92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-5,8</w:t>
            </w:r>
          </w:p>
        </w:tc>
        <w:tc>
          <w:tcPr>
            <w:tcW w:w="708" w:type="dxa"/>
          </w:tcPr>
          <w:p w:rsidR="00F976FB" w:rsidRPr="006044B0" w:rsidRDefault="00B87C92" w:rsidP="003401FB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21,6</w:t>
            </w:r>
          </w:p>
        </w:tc>
      </w:tr>
      <w:tr w:rsidR="00F976FB" w:rsidRPr="006044B0" w:rsidTr="00BA4821">
        <w:trPr>
          <w:gridAfter w:val="1"/>
          <w:wAfter w:w="236" w:type="dxa"/>
        </w:trPr>
        <w:tc>
          <w:tcPr>
            <w:tcW w:w="2802" w:type="dxa"/>
          </w:tcPr>
          <w:p w:rsidR="00F976FB" w:rsidRPr="006044B0" w:rsidRDefault="00F976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F976FB" w:rsidRPr="006044B0" w:rsidRDefault="00F976FB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</w:tcPr>
          <w:p w:rsidR="00F976FB" w:rsidRPr="006044B0" w:rsidRDefault="00F976FB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709" w:type="dxa"/>
          </w:tcPr>
          <w:p w:rsidR="00F976FB" w:rsidRPr="006044B0" w:rsidRDefault="00F976FB" w:rsidP="00905204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</w:tcPr>
          <w:p w:rsidR="00F976FB" w:rsidRPr="006044B0" w:rsidRDefault="002F76B7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44,6</w:t>
            </w:r>
          </w:p>
        </w:tc>
        <w:tc>
          <w:tcPr>
            <w:tcW w:w="851" w:type="dxa"/>
          </w:tcPr>
          <w:p w:rsidR="00F976FB" w:rsidRPr="006044B0" w:rsidRDefault="002F76B7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44,6</w:t>
            </w:r>
          </w:p>
        </w:tc>
        <w:tc>
          <w:tcPr>
            <w:tcW w:w="992" w:type="dxa"/>
          </w:tcPr>
          <w:p w:rsidR="00F976FB" w:rsidRPr="006044B0" w:rsidRDefault="002F76B7" w:rsidP="003401FB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851" w:type="dxa"/>
          </w:tcPr>
          <w:p w:rsidR="00F976FB" w:rsidRPr="006044B0" w:rsidRDefault="00B87C92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44,6</w:t>
            </w:r>
          </w:p>
        </w:tc>
        <w:tc>
          <w:tcPr>
            <w:tcW w:w="708" w:type="dxa"/>
          </w:tcPr>
          <w:p w:rsidR="00F976FB" w:rsidRPr="006044B0" w:rsidRDefault="00B87C92" w:rsidP="003401FB">
            <w:pPr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F976FB" w:rsidRPr="006044B0" w:rsidTr="00BA4821">
        <w:trPr>
          <w:gridAfter w:val="1"/>
          <w:wAfter w:w="236" w:type="dxa"/>
        </w:trPr>
        <w:tc>
          <w:tcPr>
            <w:tcW w:w="2802" w:type="dxa"/>
          </w:tcPr>
          <w:p w:rsidR="00F976FB" w:rsidRPr="006044B0" w:rsidRDefault="00F976FB" w:rsidP="002F76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2F76B7" w:rsidRPr="006044B0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поселения</w:t>
            </w:r>
          </w:p>
        </w:tc>
        <w:tc>
          <w:tcPr>
            <w:tcW w:w="992" w:type="dxa"/>
          </w:tcPr>
          <w:p w:rsidR="00F976FB" w:rsidRPr="006044B0" w:rsidRDefault="00F976FB" w:rsidP="0090520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F976FB" w:rsidRPr="006044B0" w:rsidRDefault="00F976FB" w:rsidP="0090520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F976FB" w:rsidRPr="006044B0" w:rsidRDefault="00F976FB" w:rsidP="0090520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F976FB" w:rsidRPr="006044B0" w:rsidRDefault="002F76B7" w:rsidP="003401F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44,6</w:t>
            </w:r>
          </w:p>
        </w:tc>
        <w:tc>
          <w:tcPr>
            <w:tcW w:w="851" w:type="dxa"/>
          </w:tcPr>
          <w:p w:rsidR="00F976FB" w:rsidRPr="006044B0" w:rsidRDefault="002F76B7" w:rsidP="003401FB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44,6</w:t>
            </w:r>
          </w:p>
        </w:tc>
        <w:tc>
          <w:tcPr>
            <w:tcW w:w="992" w:type="dxa"/>
          </w:tcPr>
          <w:p w:rsidR="00F976FB" w:rsidRPr="006044B0" w:rsidRDefault="002F76B7" w:rsidP="002F76B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 xml:space="preserve">    100,0</w:t>
            </w:r>
          </w:p>
        </w:tc>
        <w:tc>
          <w:tcPr>
            <w:tcW w:w="851" w:type="dxa"/>
          </w:tcPr>
          <w:p w:rsidR="00F976FB" w:rsidRPr="006044B0" w:rsidRDefault="00B87C92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44,6</w:t>
            </w:r>
          </w:p>
        </w:tc>
        <w:tc>
          <w:tcPr>
            <w:tcW w:w="708" w:type="dxa"/>
          </w:tcPr>
          <w:p w:rsidR="00F976FB" w:rsidRPr="006044B0" w:rsidRDefault="00B87C92" w:rsidP="00B87C92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976FB" w:rsidRPr="006044B0" w:rsidTr="00BA4821">
        <w:trPr>
          <w:gridAfter w:val="1"/>
          <w:wAfter w:w="236" w:type="dxa"/>
        </w:trPr>
        <w:tc>
          <w:tcPr>
            <w:tcW w:w="2802" w:type="dxa"/>
          </w:tcPr>
          <w:p w:rsidR="00F976FB" w:rsidRPr="006044B0" w:rsidRDefault="00F976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F976FB" w:rsidRPr="006044B0" w:rsidRDefault="00F976FB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378,0</w:t>
            </w:r>
          </w:p>
        </w:tc>
        <w:tc>
          <w:tcPr>
            <w:tcW w:w="992" w:type="dxa"/>
          </w:tcPr>
          <w:p w:rsidR="00F976FB" w:rsidRPr="006044B0" w:rsidRDefault="00F976FB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152,8</w:t>
            </w:r>
          </w:p>
        </w:tc>
        <w:tc>
          <w:tcPr>
            <w:tcW w:w="709" w:type="dxa"/>
          </w:tcPr>
          <w:p w:rsidR="00F976FB" w:rsidRPr="006044B0" w:rsidRDefault="00F976FB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40,4</w:t>
            </w:r>
          </w:p>
        </w:tc>
        <w:tc>
          <w:tcPr>
            <w:tcW w:w="850" w:type="dxa"/>
          </w:tcPr>
          <w:p w:rsidR="00F976FB" w:rsidRPr="006044B0" w:rsidRDefault="002F76B7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508,6</w:t>
            </w:r>
          </w:p>
        </w:tc>
        <w:tc>
          <w:tcPr>
            <w:tcW w:w="851" w:type="dxa"/>
          </w:tcPr>
          <w:p w:rsidR="00F976FB" w:rsidRPr="006044B0" w:rsidRDefault="002F76B7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158,8</w:t>
            </w:r>
          </w:p>
        </w:tc>
        <w:tc>
          <w:tcPr>
            <w:tcW w:w="992" w:type="dxa"/>
          </w:tcPr>
          <w:p w:rsidR="00F976FB" w:rsidRPr="006044B0" w:rsidRDefault="002F76B7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31,2</w:t>
            </w:r>
          </w:p>
        </w:tc>
        <w:tc>
          <w:tcPr>
            <w:tcW w:w="851" w:type="dxa"/>
          </w:tcPr>
          <w:p w:rsidR="00F976FB" w:rsidRPr="006044B0" w:rsidRDefault="00B87C92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6,0</w:t>
            </w:r>
          </w:p>
        </w:tc>
        <w:tc>
          <w:tcPr>
            <w:tcW w:w="708" w:type="dxa"/>
          </w:tcPr>
          <w:p w:rsidR="00F976FB" w:rsidRPr="006044B0" w:rsidRDefault="00B87C92" w:rsidP="00B87C92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103,9</w:t>
            </w:r>
          </w:p>
        </w:tc>
      </w:tr>
      <w:tr w:rsidR="00F976FB" w:rsidRPr="006044B0" w:rsidTr="00BA4821">
        <w:trPr>
          <w:gridAfter w:val="1"/>
          <w:wAfter w:w="236" w:type="dxa"/>
        </w:trPr>
        <w:tc>
          <w:tcPr>
            <w:tcW w:w="2802" w:type="dxa"/>
          </w:tcPr>
          <w:p w:rsidR="00F976FB" w:rsidRPr="006044B0" w:rsidRDefault="00F976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F976FB" w:rsidRPr="006044B0" w:rsidRDefault="00F976FB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4810,3</w:t>
            </w:r>
          </w:p>
        </w:tc>
        <w:tc>
          <w:tcPr>
            <w:tcW w:w="992" w:type="dxa"/>
          </w:tcPr>
          <w:p w:rsidR="00F976FB" w:rsidRPr="006044B0" w:rsidRDefault="00F976FB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2849,0</w:t>
            </w:r>
          </w:p>
        </w:tc>
        <w:tc>
          <w:tcPr>
            <w:tcW w:w="709" w:type="dxa"/>
          </w:tcPr>
          <w:p w:rsidR="00F976FB" w:rsidRPr="006044B0" w:rsidRDefault="00F976FB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59,2</w:t>
            </w:r>
          </w:p>
        </w:tc>
        <w:tc>
          <w:tcPr>
            <w:tcW w:w="850" w:type="dxa"/>
          </w:tcPr>
          <w:p w:rsidR="00F976FB" w:rsidRPr="006044B0" w:rsidRDefault="002F76B7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5001,7</w:t>
            </w:r>
          </w:p>
        </w:tc>
        <w:tc>
          <w:tcPr>
            <w:tcW w:w="851" w:type="dxa"/>
          </w:tcPr>
          <w:p w:rsidR="00F976FB" w:rsidRPr="006044B0" w:rsidRDefault="002F76B7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2237,3</w:t>
            </w:r>
          </w:p>
        </w:tc>
        <w:tc>
          <w:tcPr>
            <w:tcW w:w="992" w:type="dxa"/>
          </w:tcPr>
          <w:p w:rsidR="00F976FB" w:rsidRPr="006044B0" w:rsidRDefault="002F76B7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44,7</w:t>
            </w:r>
          </w:p>
        </w:tc>
        <w:tc>
          <w:tcPr>
            <w:tcW w:w="851" w:type="dxa"/>
          </w:tcPr>
          <w:p w:rsidR="00F976FB" w:rsidRPr="006044B0" w:rsidRDefault="00B87C92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-611,7</w:t>
            </w:r>
          </w:p>
        </w:tc>
        <w:tc>
          <w:tcPr>
            <w:tcW w:w="708" w:type="dxa"/>
          </w:tcPr>
          <w:p w:rsidR="00F976FB" w:rsidRPr="006044B0" w:rsidRDefault="00B87C92" w:rsidP="003401FB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78,5</w:t>
            </w:r>
          </w:p>
        </w:tc>
      </w:tr>
      <w:tr w:rsidR="00F976FB" w:rsidRPr="006044B0" w:rsidTr="00BA4821">
        <w:trPr>
          <w:gridAfter w:val="1"/>
          <w:wAfter w:w="236" w:type="dxa"/>
        </w:trPr>
        <w:tc>
          <w:tcPr>
            <w:tcW w:w="2802" w:type="dxa"/>
          </w:tcPr>
          <w:p w:rsidR="00F976FB" w:rsidRPr="006044B0" w:rsidRDefault="00F976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F976FB" w:rsidRPr="006044B0" w:rsidRDefault="00F976FB" w:rsidP="009052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2665,7</w:t>
            </w:r>
          </w:p>
        </w:tc>
        <w:tc>
          <w:tcPr>
            <w:tcW w:w="992" w:type="dxa"/>
          </w:tcPr>
          <w:p w:rsidR="00F976FB" w:rsidRPr="006044B0" w:rsidRDefault="00F976FB" w:rsidP="009052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1527,2</w:t>
            </w:r>
          </w:p>
        </w:tc>
        <w:tc>
          <w:tcPr>
            <w:tcW w:w="709" w:type="dxa"/>
          </w:tcPr>
          <w:p w:rsidR="00F976FB" w:rsidRPr="006044B0" w:rsidRDefault="00F976FB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57,3</w:t>
            </w:r>
          </w:p>
        </w:tc>
        <w:tc>
          <w:tcPr>
            <w:tcW w:w="850" w:type="dxa"/>
          </w:tcPr>
          <w:p w:rsidR="00F976FB" w:rsidRPr="006044B0" w:rsidRDefault="002F76B7" w:rsidP="00340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2697,3</w:t>
            </w:r>
          </w:p>
        </w:tc>
        <w:tc>
          <w:tcPr>
            <w:tcW w:w="851" w:type="dxa"/>
          </w:tcPr>
          <w:p w:rsidR="00F976FB" w:rsidRPr="006044B0" w:rsidRDefault="002F76B7" w:rsidP="003401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1267,9</w:t>
            </w:r>
          </w:p>
        </w:tc>
        <w:tc>
          <w:tcPr>
            <w:tcW w:w="992" w:type="dxa"/>
          </w:tcPr>
          <w:p w:rsidR="00F976FB" w:rsidRPr="006044B0" w:rsidRDefault="002F76B7" w:rsidP="002F76B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47,0</w:t>
            </w:r>
          </w:p>
        </w:tc>
        <w:tc>
          <w:tcPr>
            <w:tcW w:w="851" w:type="dxa"/>
          </w:tcPr>
          <w:p w:rsidR="00F976FB" w:rsidRPr="006044B0" w:rsidRDefault="00B87C92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-259,3</w:t>
            </w:r>
          </w:p>
        </w:tc>
        <w:tc>
          <w:tcPr>
            <w:tcW w:w="708" w:type="dxa"/>
          </w:tcPr>
          <w:p w:rsidR="00F976FB" w:rsidRPr="006044B0" w:rsidRDefault="00B87C92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83,0</w:t>
            </w:r>
          </w:p>
        </w:tc>
      </w:tr>
      <w:tr w:rsidR="00F976FB" w:rsidRPr="006044B0" w:rsidTr="00BA4821">
        <w:trPr>
          <w:gridAfter w:val="1"/>
          <w:wAfter w:w="236" w:type="dxa"/>
        </w:trPr>
        <w:tc>
          <w:tcPr>
            <w:tcW w:w="2802" w:type="dxa"/>
          </w:tcPr>
          <w:p w:rsidR="00F976FB" w:rsidRPr="006044B0" w:rsidRDefault="00F976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F976FB" w:rsidRPr="006044B0" w:rsidRDefault="00F976FB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992" w:type="dxa"/>
          </w:tcPr>
          <w:p w:rsidR="00F976FB" w:rsidRPr="006044B0" w:rsidRDefault="00F976FB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46,5</w:t>
            </w:r>
          </w:p>
        </w:tc>
        <w:tc>
          <w:tcPr>
            <w:tcW w:w="709" w:type="dxa"/>
          </w:tcPr>
          <w:p w:rsidR="00F976FB" w:rsidRPr="006044B0" w:rsidRDefault="00F976FB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50,3</w:t>
            </w:r>
          </w:p>
        </w:tc>
        <w:tc>
          <w:tcPr>
            <w:tcW w:w="850" w:type="dxa"/>
          </w:tcPr>
          <w:p w:rsidR="00F976FB" w:rsidRPr="006044B0" w:rsidRDefault="002F76B7" w:rsidP="002F76B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  <w:tc>
          <w:tcPr>
            <w:tcW w:w="851" w:type="dxa"/>
          </w:tcPr>
          <w:p w:rsidR="00F976FB" w:rsidRPr="006044B0" w:rsidRDefault="002F76B7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  <w:tc>
          <w:tcPr>
            <w:tcW w:w="992" w:type="dxa"/>
          </w:tcPr>
          <w:p w:rsidR="00F976FB" w:rsidRPr="006044B0" w:rsidRDefault="002F76B7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49,0</w:t>
            </w:r>
          </w:p>
        </w:tc>
        <w:tc>
          <w:tcPr>
            <w:tcW w:w="851" w:type="dxa"/>
          </w:tcPr>
          <w:p w:rsidR="00F976FB" w:rsidRPr="006044B0" w:rsidRDefault="00A506CE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08" w:type="dxa"/>
          </w:tcPr>
          <w:p w:rsidR="00F976FB" w:rsidRPr="006044B0" w:rsidRDefault="00B87C92" w:rsidP="003401FB">
            <w:pPr>
              <w:tabs>
                <w:tab w:val="left" w:pos="196"/>
              </w:tabs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100,6</w:t>
            </w:r>
          </w:p>
        </w:tc>
      </w:tr>
      <w:tr w:rsidR="00F976FB" w:rsidRPr="006044B0" w:rsidTr="00BA4821">
        <w:trPr>
          <w:gridAfter w:val="1"/>
          <w:wAfter w:w="236" w:type="dxa"/>
        </w:trPr>
        <w:tc>
          <w:tcPr>
            <w:tcW w:w="2802" w:type="dxa"/>
          </w:tcPr>
          <w:p w:rsidR="00F976FB" w:rsidRPr="006044B0" w:rsidRDefault="00F976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F976FB" w:rsidRPr="006044B0" w:rsidRDefault="00F976FB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1501,5</w:t>
            </w:r>
          </w:p>
        </w:tc>
        <w:tc>
          <w:tcPr>
            <w:tcW w:w="992" w:type="dxa"/>
          </w:tcPr>
          <w:p w:rsidR="00F976FB" w:rsidRPr="006044B0" w:rsidRDefault="00F976FB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982,4</w:t>
            </w:r>
          </w:p>
        </w:tc>
        <w:tc>
          <w:tcPr>
            <w:tcW w:w="709" w:type="dxa"/>
          </w:tcPr>
          <w:p w:rsidR="00F976FB" w:rsidRPr="006044B0" w:rsidRDefault="00F976FB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65,4</w:t>
            </w:r>
          </w:p>
        </w:tc>
        <w:tc>
          <w:tcPr>
            <w:tcW w:w="850" w:type="dxa"/>
          </w:tcPr>
          <w:p w:rsidR="00F976FB" w:rsidRPr="006044B0" w:rsidRDefault="002F76B7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1481,9</w:t>
            </w:r>
          </w:p>
        </w:tc>
        <w:tc>
          <w:tcPr>
            <w:tcW w:w="851" w:type="dxa"/>
          </w:tcPr>
          <w:p w:rsidR="00F976FB" w:rsidRPr="006044B0" w:rsidRDefault="002F76B7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657,1</w:t>
            </w:r>
          </w:p>
        </w:tc>
        <w:tc>
          <w:tcPr>
            <w:tcW w:w="992" w:type="dxa"/>
          </w:tcPr>
          <w:p w:rsidR="00F976FB" w:rsidRPr="006044B0" w:rsidRDefault="002F76B7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44,3</w:t>
            </w:r>
          </w:p>
        </w:tc>
        <w:tc>
          <w:tcPr>
            <w:tcW w:w="851" w:type="dxa"/>
          </w:tcPr>
          <w:p w:rsidR="00F976FB" w:rsidRPr="006044B0" w:rsidRDefault="00B87C92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-325,3</w:t>
            </w:r>
          </w:p>
        </w:tc>
        <w:tc>
          <w:tcPr>
            <w:tcW w:w="708" w:type="dxa"/>
          </w:tcPr>
          <w:p w:rsidR="00F976FB" w:rsidRPr="006044B0" w:rsidRDefault="006044B0" w:rsidP="003401FB">
            <w:pPr>
              <w:tabs>
                <w:tab w:val="left" w:pos="480"/>
              </w:tabs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</w:tr>
      <w:tr w:rsidR="00F976FB" w:rsidRPr="006044B0" w:rsidTr="00BA4821">
        <w:trPr>
          <w:gridAfter w:val="1"/>
          <w:wAfter w:w="236" w:type="dxa"/>
        </w:trPr>
        <w:tc>
          <w:tcPr>
            <w:tcW w:w="2802" w:type="dxa"/>
          </w:tcPr>
          <w:p w:rsidR="00F976FB" w:rsidRPr="006044B0" w:rsidRDefault="00F976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- прочие субсидии бюджетам сельских поселений</w:t>
            </w:r>
          </w:p>
        </w:tc>
        <w:tc>
          <w:tcPr>
            <w:tcW w:w="992" w:type="dxa"/>
          </w:tcPr>
          <w:p w:rsidR="00F976FB" w:rsidRPr="006044B0" w:rsidRDefault="00F976FB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550,6</w:t>
            </w:r>
          </w:p>
        </w:tc>
        <w:tc>
          <w:tcPr>
            <w:tcW w:w="992" w:type="dxa"/>
          </w:tcPr>
          <w:p w:rsidR="00F976FB" w:rsidRPr="006044B0" w:rsidRDefault="00F976FB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336,4</w:t>
            </w:r>
          </w:p>
        </w:tc>
        <w:tc>
          <w:tcPr>
            <w:tcW w:w="709" w:type="dxa"/>
          </w:tcPr>
          <w:p w:rsidR="00F976FB" w:rsidRPr="006044B0" w:rsidRDefault="00F976FB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61,1</w:t>
            </w:r>
          </w:p>
        </w:tc>
        <w:tc>
          <w:tcPr>
            <w:tcW w:w="850" w:type="dxa"/>
          </w:tcPr>
          <w:p w:rsidR="00F976FB" w:rsidRPr="006044B0" w:rsidRDefault="002F76B7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695,8</w:t>
            </w:r>
          </w:p>
        </w:tc>
        <w:tc>
          <w:tcPr>
            <w:tcW w:w="851" w:type="dxa"/>
          </w:tcPr>
          <w:p w:rsidR="00F976FB" w:rsidRPr="006044B0" w:rsidRDefault="002F76B7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265,5</w:t>
            </w:r>
          </w:p>
        </w:tc>
        <w:tc>
          <w:tcPr>
            <w:tcW w:w="992" w:type="dxa"/>
          </w:tcPr>
          <w:p w:rsidR="00F976FB" w:rsidRPr="006044B0" w:rsidRDefault="002F76B7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38,2</w:t>
            </w:r>
          </w:p>
        </w:tc>
        <w:tc>
          <w:tcPr>
            <w:tcW w:w="851" w:type="dxa"/>
          </w:tcPr>
          <w:p w:rsidR="00F976FB" w:rsidRPr="006044B0" w:rsidRDefault="00A506CE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87C92" w:rsidRPr="006044B0">
              <w:rPr>
                <w:rFonts w:ascii="Times New Roman" w:eastAsia="Times New Roman" w:hAnsi="Times New Roman" w:cs="Times New Roman"/>
                <w:lang w:eastAsia="ru-RU"/>
              </w:rPr>
              <w:t>70,9</w:t>
            </w:r>
          </w:p>
        </w:tc>
        <w:tc>
          <w:tcPr>
            <w:tcW w:w="708" w:type="dxa"/>
          </w:tcPr>
          <w:p w:rsidR="00F976FB" w:rsidRPr="006044B0" w:rsidRDefault="006044B0" w:rsidP="003401FB">
            <w:pPr>
              <w:tabs>
                <w:tab w:val="left" w:pos="480"/>
              </w:tabs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78,9</w:t>
            </w:r>
          </w:p>
        </w:tc>
      </w:tr>
      <w:tr w:rsidR="00B87C92" w:rsidRPr="006044B0" w:rsidTr="00BA4821">
        <w:trPr>
          <w:gridAfter w:val="1"/>
          <w:wAfter w:w="236" w:type="dxa"/>
        </w:trPr>
        <w:tc>
          <w:tcPr>
            <w:tcW w:w="2802" w:type="dxa"/>
          </w:tcPr>
          <w:p w:rsidR="00B87C92" w:rsidRPr="006044B0" w:rsidRDefault="00B87C92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 xml:space="preserve">- поступление от денежных пожертвований, предоставляемых юр. И  </w:t>
            </w:r>
            <w:proofErr w:type="spellStart"/>
            <w:proofErr w:type="gramStart"/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физ</w:t>
            </w:r>
            <w:proofErr w:type="spellEnd"/>
            <w:proofErr w:type="gramEnd"/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, лицами</w:t>
            </w:r>
          </w:p>
        </w:tc>
        <w:tc>
          <w:tcPr>
            <w:tcW w:w="992" w:type="dxa"/>
          </w:tcPr>
          <w:p w:rsidR="00B87C92" w:rsidRPr="006044B0" w:rsidRDefault="00B87C92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B87C92" w:rsidRPr="006044B0" w:rsidRDefault="00B87C92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B87C92" w:rsidRPr="006044B0" w:rsidRDefault="00B87C92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B87C92" w:rsidRPr="006044B0" w:rsidRDefault="00B87C92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31,2</w:t>
            </w:r>
          </w:p>
        </w:tc>
        <w:tc>
          <w:tcPr>
            <w:tcW w:w="851" w:type="dxa"/>
          </w:tcPr>
          <w:p w:rsidR="00B87C92" w:rsidRPr="006044B0" w:rsidRDefault="00B87C92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B87C92" w:rsidRPr="006044B0" w:rsidRDefault="00B87C92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B87C92" w:rsidRPr="006044B0" w:rsidRDefault="00B87C92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:rsidR="00B87C92" w:rsidRPr="006044B0" w:rsidRDefault="00B87C92" w:rsidP="003401FB">
            <w:pPr>
              <w:tabs>
                <w:tab w:val="left" w:pos="480"/>
              </w:tabs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976FB" w:rsidRPr="006044B0" w:rsidTr="00BA4821">
        <w:trPr>
          <w:gridAfter w:val="1"/>
          <w:wAfter w:w="236" w:type="dxa"/>
        </w:trPr>
        <w:tc>
          <w:tcPr>
            <w:tcW w:w="2802" w:type="dxa"/>
          </w:tcPr>
          <w:p w:rsidR="00F976FB" w:rsidRPr="006044B0" w:rsidRDefault="00F976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- доходы  от возврата остатков субсидий, субвенций и иных межбюджетных трансфертов</w:t>
            </w:r>
          </w:p>
        </w:tc>
        <w:tc>
          <w:tcPr>
            <w:tcW w:w="992" w:type="dxa"/>
          </w:tcPr>
          <w:p w:rsidR="00F976FB" w:rsidRPr="006044B0" w:rsidRDefault="00F976FB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F976FB" w:rsidRPr="006044B0" w:rsidRDefault="00F976FB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-43,5</w:t>
            </w:r>
          </w:p>
        </w:tc>
        <w:tc>
          <w:tcPr>
            <w:tcW w:w="709" w:type="dxa"/>
          </w:tcPr>
          <w:p w:rsidR="00F976FB" w:rsidRPr="006044B0" w:rsidRDefault="00F976FB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F976FB" w:rsidRPr="006044B0" w:rsidRDefault="00B87C92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F976FB" w:rsidRPr="006044B0" w:rsidRDefault="00B87C92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F976FB" w:rsidRPr="006044B0" w:rsidRDefault="00B87C92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F976FB" w:rsidRPr="006044B0" w:rsidRDefault="00B87C92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-43,5</w:t>
            </w:r>
          </w:p>
        </w:tc>
        <w:tc>
          <w:tcPr>
            <w:tcW w:w="708" w:type="dxa"/>
          </w:tcPr>
          <w:p w:rsidR="00F976FB" w:rsidRPr="006044B0" w:rsidRDefault="00B87C92" w:rsidP="003401FB">
            <w:pPr>
              <w:tabs>
                <w:tab w:val="left" w:pos="480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044B0" w:rsidRPr="006044B0" w:rsidTr="00BA4821">
        <w:trPr>
          <w:trHeight w:val="309"/>
        </w:trPr>
        <w:tc>
          <w:tcPr>
            <w:tcW w:w="2802" w:type="dxa"/>
          </w:tcPr>
          <w:p w:rsidR="00F976FB" w:rsidRPr="006044B0" w:rsidRDefault="00F976FB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F976FB" w:rsidRPr="006044B0" w:rsidRDefault="00F976FB" w:rsidP="00905204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5188,3</w:t>
            </w:r>
          </w:p>
        </w:tc>
        <w:tc>
          <w:tcPr>
            <w:tcW w:w="992" w:type="dxa"/>
          </w:tcPr>
          <w:p w:rsidR="00F976FB" w:rsidRPr="006044B0" w:rsidRDefault="00F976FB" w:rsidP="00905204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3001,8</w:t>
            </w:r>
          </w:p>
        </w:tc>
        <w:tc>
          <w:tcPr>
            <w:tcW w:w="709" w:type="dxa"/>
          </w:tcPr>
          <w:p w:rsidR="00F976FB" w:rsidRPr="006044B0" w:rsidRDefault="00F976FB" w:rsidP="0090520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57,9</w:t>
            </w:r>
          </w:p>
        </w:tc>
        <w:tc>
          <w:tcPr>
            <w:tcW w:w="850" w:type="dxa"/>
          </w:tcPr>
          <w:p w:rsidR="00F976FB" w:rsidRPr="006044B0" w:rsidRDefault="00B87C92" w:rsidP="003401FB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5510,3</w:t>
            </w:r>
          </w:p>
          <w:p w:rsidR="00B87C92" w:rsidRPr="006044B0" w:rsidRDefault="00B87C92" w:rsidP="003401FB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F976FB" w:rsidRPr="006044B0" w:rsidRDefault="00B87C92" w:rsidP="003401FB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2396,1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F976FB" w:rsidRPr="006044B0" w:rsidRDefault="00B87C92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43,5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F976FB" w:rsidRPr="006044B0" w:rsidRDefault="00B87C92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-605,7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F976FB" w:rsidRPr="006044B0" w:rsidRDefault="00B87C92" w:rsidP="003401FB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4B0">
              <w:rPr>
                <w:rFonts w:ascii="Times New Roman" w:eastAsia="Times New Roman" w:hAnsi="Times New Roman" w:cs="Times New Roman"/>
                <w:b/>
                <w:lang w:eastAsia="ru-RU"/>
              </w:rPr>
              <w:t>79,8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976FB" w:rsidRPr="006044B0" w:rsidRDefault="00F976FB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3401FB" w:rsidRPr="006044B0" w:rsidRDefault="003401FB" w:rsidP="003401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01FB" w:rsidRPr="006044B0" w:rsidRDefault="003401FB" w:rsidP="003401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40D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Налоговые и неналоговые доходы бюджета поселения</w:t>
      </w:r>
    </w:p>
    <w:p w:rsidR="003401FB" w:rsidRPr="003401FB" w:rsidRDefault="003401FB" w:rsidP="003401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140D7B" w:rsidRDefault="003401FB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140D7B" w:rsidRPr="00140D7B">
        <w:rPr>
          <w:rFonts w:ascii="Times New Roman" w:eastAsia="Times New Roman" w:hAnsi="Times New Roman" w:cs="Times New Roman"/>
          <w:sz w:val="28"/>
          <w:szCs w:val="28"/>
          <w:lang w:eastAsia="ru-RU"/>
        </w:rPr>
        <w:t>158,8</w:t>
      </w:r>
      <w:r w:rsidRPr="0014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140D7B" w:rsidRPr="00140D7B">
        <w:rPr>
          <w:rFonts w:ascii="Times New Roman" w:eastAsia="Times New Roman" w:hAnsi="Times New Roman" w:cs="Times New Roman"/>
          <w:sz w:val="28"/>
          <w:szCs w:val="28"/>
          <w:lang w:eastAsia="ru-RU"/>
        </w:rPr>
        <w:t>31,2</w:t>
      </w:r>
      <w:r w:rsidRPr="0014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140D7B" w:rsidRPr="00140D7B">
        <w:rPr>
          <w:rFonts w:ascii="Times New Roman" w:eastAsia="Times New Roman" w:hAnsi="Times New Roman" w:cs="Times New Roman"/>
          <w:sz w:val="28"/>
          <w:szCs w:val="28"/>
          <w:lang w:eastAsia="ru-RU"/>
        </w:rPr>
        <w:t>508,6</w:t>
      </w:r>
      <w:r w:rsidRPr="0014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201</w:t>
      </w:r>
      <w:r w:rsidR="00140D7B" w:rsidRPr="00140D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4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40D7B" w:rsidRPr="0014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незначительно </w:t>
      </w:r>
      <w:r w:rsidRPr="0014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D7B" w:rsidRPr="0014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увеличились на </w:t>
      </w:r>
      <w:r w:rsidRPr="0014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D7B" w:rsidRPr="00140D7B">
        <w:rPr>
          <w:rFonts w:ascii="Times New Roman" w:eastAsia="Times New Roman" w:hAnsi="Times New Roman" w:cs="Times New Roman"/>
          <w:sz w:val="28"/>
          <w:szCs w:val="28"/>
          <w:lang w:eastAsia="ru-RU"/>
        </w:rPr>
        <w:t>6,0</w:t>
      </w:r>
      <w:r w:rsidRPr="0014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40D7B" w:rsidRPr="00140D7B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Pr="0014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Имеется снижение по </w:t>
      </w:r>
      <w:r w:rsidR="00140D7B" w:rsidRPr="0014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налоговым доход</w:t>
      </w:r>
      <w:r w:rsidR="008445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140D7B" w:rsidRPr="0014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только наблюдается рост по доходам от реализации иного имущества, находящегося в собственности поселения.</w:t>
      </w:r>
    </w:p>
    <w:p w:rsidR="00140D7B" w:rsidRPr="00140D7B" w:rsidRDefault="00140D7B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1FB" w:rsidRPr="00140D7B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1F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Pr="00140D7B">
        <w:rPr>
          <w:rFonts w:ascii="Times New Roman" w:eastAsia="Calibri" w:hAnsi="Times New Roman" w:cs="Times New Roman"/>
          <w:sz w:val="28"/>
          <w:szCs w:val="28"/>
        </w:rPr>
        <w:t>Структура налоговых  и неналоговых доходов бюджета района в сравнении с 1  полугодием  201</w:t>
      </w:r>
      <w:r w:rsidR="00140D7B" w:rsidRPr="00140D7B">
        <w:rPr>
          <w:rFonts w:ascii="Times New Roman" w:eastAsia="Calibri" w:hAnsi="Times New Roman" w:cs="Times New Roman"/>
          <w:sz w:val="28"/>
          <w:szCs w:val="28"/>
        </w:rPr>
        <w:t>9</w:t>
      </w:r>
      <w:r w:rsidRPr="00140D7B">
        <w:rPr>
          <w:rFonts w:ascii="Times New Roman" w:eastAsia="Calibri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3401FB" w:rsidRPr="00140D7B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01FB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D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тыс. руб.</w:t>
      </w:r>
    </w:p>
    <w:p w:rsidR="00EF10C8" w:rsidRPr="00140D7B" w:rsidRDefault="00EF10C8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F919FE" wp14:editId="323FA7CB">
            <wp:extent cx="6153150" cy="41910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401FB" w:rsidRPr="003401FB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401FB" w:rsidRPr="003401FB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401FB" w:rsidRPr="00EF10C8" w:rsidRDefault="003401FB" w:rsidP="003401FB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EF10C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EF10C8">
        <w:rPr>
          <w:rFonts w:ascii="Times New Roman" w:eastAsia="Calibri" w:hAnsi="Times New Roman" w:cs="Times New Roman"/>
          <w:i/>
          <w:sz w:val="28"/>
          <w:szCs w:val="28"/>
        </w:rPr>
        <w:t>Налоговые доходы.</w:t>
      </w:r>
    </w:p>
    <w:p w:rsidR="003401FB" w:rsidRPr="00EF10C8" w:rsidRDefault="003401FB" w:rsidP="003401FB">
      <w:pPr>
        <w:spacing w:after="0" w:line="240" w:lineRule="auto"/>
        <w:ind w:firstLine="705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3401FB" w:rsidRPr="00EF10C8" w:rsidRDefault="003401FB" w:rsidP="003401FB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C8">
        <w:rPr>
          <w:rFonts w:ascii="Times New Roman" w:eastAsia="Calibri" w:hAnsi="Times New Roman" w:cs="Times New Roman"/>
          <w:sz w:val="28"/>
          <w:szCs w:val="28"/>
        </w:rPr>
        <w:t xml:space="preserve">Налоговые доходы  исполнены в сумме </w:t>
      </w:r>
      <w:r w:rsidR="00EF10C8" w:rsidRPr="00EF10C8">
        <w:rPr>
          <w:rFonts w:ascii="Times New Roman" w:eastAsia="Calibri" w:hAnsi="Times New Roman" w:cs="Times New Roman"/>
          <w:sz w:val="28"/>
          <w:szCs w:val="28"/>
        </w:rPr>
        <w:t xml:space="preserve">114,2 </w:t>
      </w:r>
      <w:r w:rsidRPr="00EF10C8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EF10C8" w:rsidRPr="00EF10C8">
        <w:rPr>
          <w:rFonts w:ascii="Times New Roman" w:eastAsia="Calibri" w:hAnsi="Times New Roman" w:cs="Times New Roman"/>
          <w:sz w:val="28"/>
          <w:szCs w:val="28"/>
        </w:rPr>
        <w:t>24,7</w:t>
      </w:r>
      <w:r w:rsidRPr="00EF10C8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показателям бюджета  в сумме </w:t>
      </w:r>
      <w:r w:rsidR="00EF10C8" w:rsidRPr="00EF10C8">
        <w:rPr>
          <w:rFonts w:ascii="Times New Roman" w:eastAsia="Calibri" w:hAnsi="Times New Roman" w:cs="Times New Roman"/>
          <w:sz w:val="28"/>
          <w:szCs w:val="28"/>
        </w:rPr>
        <w:t>463,0</w:t>
      </w:r>
      <w:r w:rsidRPr="00EF10C8">
        <w:rPr>
          <w:rFonts w:ascii="Times New Roman" w:eastAsia="Calibri" w:hAnsi="Times New Roman" w:cs="Times New Roman"/>
          <w:sz w:val="28"/>
          <w:szCs w:val="28"/>
        </w:rPr>
        <w:t xml:space="preserve"> тыс. рублей. Доля налоговых доходов в структуре доходов бюджета  поселения составила </w:t>
      </w:r>
      <w:r w:rsidR="00EF10C8" w:rsidRPr="00EF10C8">
        <w:rPr>
          <w:rFonts w:ascii="Times New Roman" w:eastAsia="Calibri" w:hAnsi="Times New Roman" w:cs="Times New Roman"/>
          <w:sz w:val="28"/>
          <w:szCs w:val="28"/>
        </w:rPr>
        <w:t>4,8</w:t>
      </w:r>
      <w:r w:rsidRPr="00EF10C8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3401FB" w:rsidRPr="00EF10C8" w:rsidRDefault="003401FB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C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поступления налога на доходы  физических лиц в  1 полугодии 20</w:t>
      </w:r>
      <w:r w:rsidR="00EF10C8" w:rsidRPr="00EF10C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F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представлен в следующей таблице.</w:t>
      </w:r>
    </w:p>
    <w:p w:rsidR="003401FB" w:rsidRPr="003401FB" w:rsidRDefault="003401FB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01FB" w:rsidRPr="00EF10C8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F10C8">
        <w:rPr>
          <w:rFonts w:ascii="Times New Roman" w:eastAsia="Times New Roman" w:hAnsi="Times New Roman" w:cs="Times New Roman"/>
          <w:lang w:eastAsia="ru-RU"/>
        </w:rPr>
        <w:t>Таблица № 3</w:t>
      </w:r>
      <w:r w:rsidRPr="00EF10C8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            тыс. руб.</w:t>
      </w:r>
    </w:p>
    <w:tbl>
      <w:tblPr>
        <w:tblStyle w:val="a3"/>
        <w:tblW w:w="9639" w:type="dxa"/>
        <w:tblInd w:w="108" w:type="dxa"/>
        <w:tblLook w:val="01E0" w:firstRow="1" w:lastRow="1" w:firstColumn="1" w:lastColumn="1" w:noHBand="0" w:noVBand="0"/>
      </w:tblPr>
      <w:tblGrid>
        <w:gridCol w:w="1862"/>
        <w:gridCol w:w="1824"/>
        <w:gridCol w:w="2117"/>
        <w:gridCol w:w="1852"/>
        <w:gridCol w:w="1984"/>
      </w:tblGrid>
      <w:tr w:rsidR="00EF10C8" w:rsidRPr="00EF10C8" w:rsidTr="00BA4821">
        <w:tc>
          <w:tcPr>
            <w:tcW w:w="1862" w:type="dxa"/>
          </w:tcPr>
          <w:p w:rsidR="003401FB" w:rsidRPr="00EF10C8" w:rsidRDefault="003401FB" w:rsidP="00EF10C8">
            <w:pPr>
              <w:contextualSpacing/>
              <w:jc w:val="both"/>
              <w:rPr>
                <w:sz w:val="28"/>
                <w:szCs w:val="28"/>
              </w:rPr>
            </w:pPr>
            <w:r w:rsidRPr="00EF10C8">
              <w:rPr>
                <w:sz w:val="28"/>
                <w:szCs w:val="28"/>
              </w:rPr>
              <w:t>Фактическое исполнение за 1 полугодие 201</w:t>
            </w:r>
            <w:r w:rsidR="00EF10C8" w:rsidRPr="00EF10C8">
              <w:rPr>
                <w:sz w:val="28"/>
                <w:szCs w:val="28"/>
              </w:rPr>
              <w:t>9</w:t>
            </w:r>
            <w:r w:rsidRPr="00EF10C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24" w:type="dxa"/>
          </w:tcPr>
          <w:p w:rsidR="003401FB" w:rsidRPr="00EF10C8" w:rsidRDefault="003401FB" w:rsidP="00EF10C8">
            <w:pPr>
              <w:contextualSpacing/>
              <w:jc w:val="both"/>
              <w:rPr>
                <w:sz w:val="28"/>
                <w:szCs w:val="28"/>
              </w:rPr>
            </w:pPr>
            <w:r w:rsidRPr="00EF10C8">
              <w:rPr>
                <w:sz w:val="28"/>
                <w:szCs w:val="28"/>
              </w:rPr>
              <w:t>% исполнения от плановых назначений на 201</w:t>
            </w:r>
            <w:r w:rsidR="00EF10C8" w:rsidRPr="00EF10C8">
              <w:rPr>
                <w:sz w:val="28"/>
                <w:szCs w:val="28"/>
              </w:rPr>
              <w:t>9</w:t>
            </w:r>
            <w:r w:rsidRPr="00EF10C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17" w:type="dxa"/>
          </w:tcPr>
          <w:p w:rsidR="003401FB" w:rsidRPr="00EF10C8" w:rsidRDefault="003401FB" w:rsidP="00EF10C8">
            <w:pPr>
              <w:contextualSpacing/>
              <w:jc w:val="both"/>
              <w:rPr>
                <w:sz w:val="28"/>
                <w:szCs w:val="28"/>
              </w:rPr>
            </w:pPr>
            <w:r w:rsidRPr="00EF10C8">
              <w:rPr>
                <w:sz w:val="28"/>
                <w:szCs w:val="28"/>
              </w:rPr>
              <w:t>Фактическое исполнение за 1 полугодие 20</w:t>
            </w:r>
            <w:r w:rsidR="00EF10C8" w:rsidRPr="00EF10C8">
              <w:rPr>
                <w:sz w:val="28"/>
                <w:szCs w:val="28"/>
              </w:rPr>
              <w:t>20</w:t>
            </w:r>
            <w:r w:rsidRPr="00EF10C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52" w:type="dxa"/>
          </w:tcPr>
          <w:p w:rsidR="003401FB" w:rsidRPr="00EF10C8" w:rsidRDefault="003401FB" w:rsidP="00EF10C8">
            <w:pPr>
              <w:contextualSpacing/>
              <w:jc w:val="both"/>
              <w:rPr>
                <w:sz w:val="28"/>
                <w:szCs w:val="28"/>
              </w:rPr>
            </w:pPr>
            <w:r w:rsidRPr="00EF10C8">
              <w:rPr>
                <w:sz w:val="28"/>
                <w:szCs w:val="28"/>
              </w:rPr>
              <w:t>% исполнения от плановых назначений на 20</w:t>
            </w:r>
            <w:r w:rsidR="00EF10C8" w:rsidRPr="00EF10C8">
              <w:rPr>
                <w:sz w:val="28"/>
                <w:szCs w:val="28"/>
              </w:rPr>
              <w:t>20</w:t>
            </w:r>
            <w:r w:rsidRPr="00EF10C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</w:tcPr>
          <w:p w:rsidR="003401FB" w:rsidRPr="00EF10C8" w:rsidRDefault="003401FB" w:rsidP="00EF10C8">
            <w:pPr>
              <w:contextualSpacing/>
              <w:jc w:val="both"/>
              <w:rPr>
                <w:sz w:val="28"/>
                <w:szCs w:val="28"/>
              </w:rPr>
            </w:pPr>
            <w:r w:rsidRPr="00EF10C8">
              <w:rPr>
                <w:sz w:val="28"/>
                <w:szCs w:val="28"/>
              </w:rPr>
              <w:t>Отклонение 1 полугодия 20</w:t>
            </w:r>
            <w:r w:rsidR="00EF10C8" w:rsidRPr="00EF10C8">
              <w:rPr>
                <w:sz w:val="28"/>
                <w:szCs w:val="28"/>
              </w:rPr>
              <w:t>20</w:t>
            </w:r>
            <w:r w:rsidRPr="00EF10C8">
              <w:rPr>
                <w:sz w:val="28"/>
                <w:szCs w:val="28"/>
              </w:rPr>
              <w:t xml:space="preserve"> года от 1 полугодия 201</w:t>
            </w:r>
            <w:r w:rsidR="00EF10C8" w:rsidRPr="00EF10C8">
              <w:rPr>
                <w:sz w:val="28"/>
                <w:szCs w:val="28"/>
              </w:rPr>
              <w:t>9</w:t>
            </w:r>
            <w:r w:rsidRPr="00EF10C8">
              <w:rPr>
                <w:sz w:val="28"/>
                <w:szCs w:val="28"/>
              </w:rPr>
              <w:t xml:space="preserve"> года</w:t>
            </w:r>
          </w:p>
        </w:tc>
      </w:tr>
      <w:tr w:rsidR="00EF10C8" w:rsidRPr="00EF10C8" w:rsidTr="00BA4821">
        <w:tc>
          <w:tcPr>
            <w:tcW w:w="1862" w:type="dxa"/>
          </w:tcPr>
          <w:p w:rsidR="00EF10C8" w:rsidRPr="00EF10C8" w:rsidRDefault="00EF10C8" w:rsidP="00905204">
            <w:pPr>
              <w:contextualSpacing/>
              <w:jc w:val="center"/>
              <w:rPr>
                <w:sz w:val="28"/>
                <w:szCs w:val="28"/>
              </w:rPr>
            </w:pPr>
            <w:r w:rsidRPr="00EF10C8">
              <w:rPr>
                <w:sz w:val="28"/>
                <w:szCs w:val="28"/>
              </w:rPr>
              <w:t>98,7</w:t>
            </w:r>
          </w:p>
        </w:tc>
        <w:tc>
          <w:tcPr>
            <w:tcW w:w="1824" w:type="dxa"/>
          </w:tcPr>
          <w:p w:rsidR="00EF10C8" w:rsidRPr="00EF10C8" w:rsidRDefault="00EF10C8" w:rsidP="00905204">
            <w:pPr>
              <w:contextualSpacing/>
              <w:jc w:val="right"/>
              <w:rPr>
                <w:sz w:val="28"/>
                <w:szCs w:val="28"/>
              </w:rPr>
            </w:pPr>
            <w:r w:rsidRPr="00EF10C8">
              <w:rPr>
                <w:sz w:val="28"/>
                <w:szCs w:val="28"/>
              </w:rPr>
              <w:t>51,9</w:t>
            </w:r>
          </w:p>
        </w:tc>
        <w:tc>
          <w:tcPr>
            <w:tcW w:w="2117" w:type="dxa"/>
          </w:tcPr>
          <w:p w:rsidR="00EF10C8" w:rsidRPr="00EF10C8" w:rsidRDefault="00EF10C8" w:rsidP="003401FB">
            <w:pPr>
              <w:contextualSpacing/>
              <w:jc w:val="center"/>
              <w:rPr>
                <w:sz w:val="28"/>
                <w:szCs w:val="28"/>
              </w:rPr>
            </w:pPr>
            <w:r w:rsidRPr="00EF10C8">
              <w:rPr>
                <w:sz w:val="28"/>
                <w:szCs w:val="28"/>
              </w:rPr>
              <w:t>77,6</w:t>
            </w:r>
          </w:p>
        </w:tc>
        <w:tc>
          <w:tcPr>
            <w:tcW w:w="1852" w:type="dxa"/>
          </w:tcPr>
          <w:p w:rsidR="00EF10C8" w:rsidRPr="00EF10C8" w:rsidRDefault="00EF10C8" w:rsidP="003401FB">
            <w:pPr>
              <w:contextualSpacing/>
              <w:jc w:val="right"/>
              <w:rPr>
                <w:sz w:val="28"/>
                <w:szCs w:val="28"/>
              </w:rPr>
            </w:pPr>
            <w:r w:rsidRPr="00EF10C8">
              <w:rPr>
                <w:sz w:val="28"/>
                <w:szCs w:val="28"/>
              </w:rPr>
              <w:t>37,3</w:t>
            </w:r>
          </w:p>
        </w:tc>
        <w:tc>
          <w:tcPr>
            <w:tcW w:w="1984" w:type="dxa"/>
          </w:tcPr>
          <w:p w:rsidR="00EF10C8" w:rsidRPr="00EF10C8" w:rsidRDefault="00EF10C8" w:rsidP="003401FB">
            <w:pPr>
              <w:contextualSpacing/>
              <w:jc w:val="right"/>
              <w:rPr>
                <w:sz w:val="28"/>
                <w:szCs w:val="28"/>
              </w:rPr>
            </w:pPr>
            <w:r w:rsidRPr="00EF10C8">
              <w:rPr>
                <w:sz w:val="28"/>
                <w:szCs w:val="28"/>
              </w:rPr>
              <w:t>-21,1</w:t>
            </w:r>
          </w:p>
        </w:tc>
      </w:tr>
    </w:tbl>
    <w:p w:rsidR="003401FB" w:rsidRPr="003401FB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401F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</w:t>
      </w:r>
      <w:r w:rsidRPr="008F4299">
        <w:rPr>
          <w:rFonts w:ascii="Times New Roman" w:eastAsia="Calibri" w:hAnsi="Times New Roman" w:cs="Times New Roman"/>
          <w:sz w:val="28"/>
          <w:szCs w:val="28"/>
        </w:rPr>
        <w:t xml:space="preserve">Т. о., первое место по объему налоговых доходов занимает налог на доходы физических лиц (далее - НДФЛ). Объем поступлений указанного налога составил </w:t>
      </w:r>
      <w:r w:rsidR="008F4299" w:rsidRPr="008F4299">
        <w:rPr>
          <w:rFonts w:ascii="Times New Roman" w:eastAsia="Calibri" w:hAnsi="Times New Roman" w:cs="Times New Roman"/>
          <w:sz w:val="28"/>
          <w:szCs w:val="28"/>
        </w:rPr>
        <w:t>77,6</w:t>
      </w:r>
      <w:r w:rsidRPr="008F4299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8F4299" w:rsidRPr="008F4299">
        <w:rPr>
          <w:rFonts w:ascii="Times New Roman" w:eastAsia="Calibri" w:hAnsi="Times New Roman" w:cs="Times New Roman"/>
          <w:sz w:val="28"/>
          <w:szCs w:val="28"/>
        </w:rPr>
        <w:t xml:space="preserve">37,3 </w:t>
      </w:r>
      <w:r w:rsidRPr="008F4299">
        <w:rPr>
          <w:rFonts w:ascii="Times New Roman" w:eastAsia="Calibri" w:hAnsi="Times New Roman" w:cs="Times New Roman"/>
          <w:sz w:val="28"/>
          <w:szCs w:val="28"/>
        </w:rPr>
        <w:t xml:space="preserve">% к плановым назначениям в размере </w:t>
      </w:r>
      <w:r w:rsidR="008F4299" w:rsidRPr="008F4299">
        <w:rPr>
          <w:rFonts w:ascii="Times New Roman" w:eastAsia="Calibri" w:hAnsi="Times New Roman" w:cs="Times New Roman"/>
          <w:sz w:val="28"/>
          <w:szCs w:val="28"/>
        </w:rPr>
        <w:t>208,0</w:t>
      </w:r>
      <w:r w:rsidRPr="008F4299"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 w:rsidR="008F4299" w:rsidRPr="008F4299">
        <w:rPr>
          <w:rFonts w:ascii="Times New Roman" w:eastAsia="Calibri" w:hAnsi="Times New Roman" w:cs="Times New Roman"/>
          <w:sz w:val="28"/>
          <w:szCs w:val="28"/>
        </w:rPr>
        <w:t>ниже</w:t>
      </w:r>
      <w:r w:rsidRPr="008F4299">
        <w:rPr>
          <w:rFonts w:ascii="Times New Roman" w:eastAsia="Calibri" w:hAnsi="Times New Roman" w:cs="Times New Roman"/>
          <w:sz w:val="28"/>
          <w:szCs w:val="28"/>
        </w:rPr>
        <w:t xml:space="preserve"> уровня 1 полугодия  20</w:t>
      </w:r>
      <w:r w:rsidR="008F4299" w:rsidRPr="008F4299">
        <w:rPr>
          <w:rFonts w:ascii="Times New Roman" w:eastAsia="Calibri" w:hAnsi="Times New Roman" w:cs="Times New Roman"/>
          <w:sz w:val="28"/>
          <w:szCs w:val="28"/>
        </w:rPr>
        <w:t>20</w:t>
      </w:r>
      <w:r w:rsidRPr="008F4299">
        <w:rPr>
          <w:rFonts w:ascii="Times New Roman" w:eastAsia="Calibri" w:hAnsi="Times New Roman" w:cs="Times New Roman"/>
          <w:sz w:val="28"/>
          <w:szCs w:val="28"/>
        </w:rPr>
        <w:t xml:space="preserve"> года на </w:t>
      </w:r>
      <w:r w:rsidR="008F4299" w:rsidRPr="008F4299">
        <w:rPr>
          <w:rFonts w:ascii="Times New Roman" w:eastAsia="Calibri" w:hAnsi="Times New Roman" w:cs="Times New Roman"/>
          <w:sz w:val="28"/>
          <w:szCs w:val="28"/>
        </w:rPr>
        <w:t>21,1</w:t>
      </w:r>
      <w:r w:rsidRPr="008F4299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8F4299" w:rsidRPr="008F4299">
        <w:rPr>
          <w:rFonts w:ascii="Times New Roman" w:eastAsia="Calibri" w:hAnsi="Times New Roman" w:cs="Times New Roman"/>
          <w:sz w:val="28"/>
          <w:szCs w:val="28"/>
        </w:rPr>
        <w:t>21,4</w:t>
      </w:r>
      <w:r w:rsidRPr="008F4299">
        <w:rPr>
          <w:rFonts w:ascii="Times New Roman" w:eastAsia="Calibri" w:hAnsi="Times New Roman" w:cs="Times New Roman"/>
          <w:sz w:val="28"/>
          <w:szCs w:val="28"/>
        </w:rPr>
        <w:t xml:space="preserve"> %. Однако, доля НДФЛ в налоговых доходах бюджета </w:t>
      </w:r>
      <w:r w:rsidR="008F4299" w:rsidRPr="008F4299">
        <w:rPr>
          <w:rFonts w:ascii="Times New Roman" w:eastAsia="Calibri" w:hAnsi="Times New Roman" w:cs="Times New Roman"/>
          <w:sz w:val="28"/>
          <w:szCs w:val="28"/>
        </w:rPr>
        <w:t>увеличилась</w:t>
      </w:r>
      <w:r w:rsidRPr="008F4299">
        <w:rPr>
          <w:rFonts w:ascii="Times New Roman" w:eastAsia="Calibri" w:hAnsi="Times New Roman" w:cs="Times New Roman"/>
          <w:sz w:val="28"/>
          <w:szCs w:val="28"/>
        </w:rPr>
        <w:t xml:space="preserve">   с </w:t>
      </w:r>
      <w:r w:rsidR="008F4299" w:rsidRPr="008F4299">
        <w:rPr>
          <w:rFonts w:ascii="Times New Roman" w:eastAsia="Calibri" w:hAnsi="Times New Roman" w:cs="Times New Roman"/>
          <w:sz w:val="28"/>
          <w:szCs w:val="28"/>
        </w:rPr>
        <w:t>64,6</w:t>
      </w:r>
      <w:r w:rsidRPr="008F4299">
        <w:rPr>
          <w:rFonts w:ascii="Times New Roman" w:eastAsia="Calibri" w:hAnsi="Times New Roman" w:cs="Times New Roman"/>
          <w:sz w:val="28"/>
          <w:szCs w:val="28"/>
        </w:rPr>
        <w:t xml:space="preserve"> % до  </w:t>
      </w:r>
      <w:r w:rsidR="008F4299" w:rsidRPr="008F4299">
        <w:rPr>
          <w:rFonts w:ascii="Times New Roman" w:eastAsia="Calibri" w:hAnsi="Times New Roman" w:cs="Times New Roman"/>
          <w:sz w:val="28"/>
          <w:szCs w:val="28"/>
        </w:rPr>
        <w:t>67,9</w:t>
      </w:r>
      <w:r w:rsidRPr="008F4299">
        <w:rPr>
          <w:rFonts w:ascii="Times New Roman" w:eastAsia="Calibri" w:hAnsi="Times New Roman" w:cs="Times New Roman"/>
          <w:sz w:val="28"/>
          <w:szCs w:val="28"/>
        </w:rPr>
        <w:t xml:space="preserve">  процента.</w:t>
      </w:r>
    </w:p>
    <w:p w:rsidR="003401FB" w:rsidRPr="003401FB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401F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Pr="002009DD">
        <w:rPr>
          <w:rFonts w:ascii="Times New Roman" w:eastAsia="Calibri" w:hAnsi="Times New Roman" w:cs="Times New Roman"/>
          <w:sz w:val="28"/>
          <w:szCs w:val="28"/>
        </w:rPr>
        <w:t xml:space="preserve">Второе  место по величине поступлений в бюджет поселения занимает налоговый доходный источник – земельный налог. Поступление указанного налога составило </w:t>
      </w:r>
      <w:r w:rsidR="002009DD" w:rsidRPr="002009DD">
        <w:rPr>
          <w:rFonts w:ascii="Times New Roman" w:eastAsia="Calibri" w:hAnsi="Times New Roman" w:cs="Times New Roman"/>
          <w:sz w:val="28"/>
          <w:szCs w:val="28"/>
        </w:rPr>
        <w:t>32,5</w:t>
      </w:r>
      <w:r w:rsidRPr="002009DD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2009DD" w:rsidRPr="002009DD">
        <w:rPr>
          <w:rFonts w:ascii="Times New Roman" w:eastAsia="Calibri" w:hAnsi="Times New Roman" w:cs="Times New Roman"/>
          <w:sz w:val="28"/>
          <w:szCs w:val="28"/>
        </w:rPr>
        <w:t>32,2</w:t>
      </w:r>
      <w:r w:rsidRPr="002009DD">
        <w:rPr>
          <w:rFonts w:ascii="Times New Roman" w:eastAsia="Calibri" w:hAnsi="Times New Roman" w:cs="Times New Roman"/>
          <w:sz w:val="28"/>
          <w:szCs w:val="28"/>
        </w:rPr>
        <w:t xml:space="preserve">% к плановым назначениям в размере </w:t>
      </w:r>
      <w:r w:rsidR="002009DD" w:rsidRPr="002009DD">
        <w:rPr>
          <w:rFonts w:ascii="Times New Roman" w:eastAsia="Calibri" w:hAnsi="Times New Roman" w:cs="Times New Roman"/>
          <w:sz w:val="28"/>
          <w:szCs w:val="28"/>
        </w:rPr>
        <w:t>101,0</w:t>
      </w:r>
      <w:r w:rsidRPr="002009DD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1 полугодием  201</w:t>
      </w:r>
      <w:r w:rsidR="002009DD" w:rsidRPr="002009DD">
        <w:rPr>
          <w:rFonts w:ascii="Times New Roman" w:eastAsia="Calibri" w:hAnsi="Times New Roman" w:cs="Times New Roman"/>
          <w:sz w:val="28"/>
          <w:szCs w:val="28"/>
        </w:rPr>
        <w:t>9</w:t>
      </w:r>
      <w:r w:rsidRPr="002009DD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земельного налога </w:t>
      </w:r>
      <w:r w:rsidR="002009DD" w:rsidRPr="002009DD">
        <w:rPr>
          <w:rFonts w:ascii="Times New Roman" w:eastAsia="Calibri" w:hAnsi="Times New Roman" w:cs="Times New Roman"/>
          <w:sz w:val="28"/>
          <w:szCs w:val="28"/>
        </w:rPr>
        <w:t>снизилось</w:t>
      </w:r>
      <w:r w:rsidRPr="002009D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2009DD" w:rsidRPr="002009DD">
        <w:rPr>
          <w:rFonts w:ascii="Times New Roman" w:eastAsia="Calibri" w:hAnsi="Times New Roman" w:cs="Times New Roman"/>
          <w:sz w:val="28"/>
          <w:szCs w:val="28"/>
        </w:rPr>
        <w:t>5,2</w:t>
      </w:r>
      <w:r w:rsidRPr="002009DD">
        <w:rPr>
          <w:rFonts w:ascii="Times New Roman" w:eastAsia="Calibri" w:hAnsi="Times New Roman" w:cs="Times New Roman"/>
          <w:sz w:val="28"/>
          <w:szCs w:val="28"/>
        </w:rPr>
        <w:t xml:space="preserve">  тыс. рублей, или на </w:t>
      </w:r>
      <w:r w:rsidR="002009DD" w:rsidRPr="002009DD">
        <w:rPr>
          <w:rFonts w:ascii="Times New Roman" w:eastAsia="Calibri" w:hAnsi="Times New Roman" w:cs="Times New Roman"/>
          <w:sz w:val="28"/>
          <w:szCs w:val="28"/>
        </w:rPr>
        <w:t>13,8</w:t>
      </w:r>
      <w:r w:rsidRPr="002009DD">
        <w:rPr>
          <w:rFonts w:ascii="Times New Roman" w:eastAsia="Calibri" w:hAnsi="Times New Roman" w:cs="Times New Roman"/>
          <w:sz w:val="28"/>
          <w:szCs w:val="28"/>
        </w:rPr>
        <w:t xml:space="preserve"> %. Доля земельного налога в налоговых доходах бюджета поселения увеличилась на </w:t>
      </w:r>
      <w:r w:rsidR="002009DD" w:rsidRPr="002009DD">
        <w:rPr>
          <w:rFonts w:ascii="Times New Roman" w:eastAsia="Calibri" w:hAnsi="Times New Roman" w:cs="Times New Roman"/>
          <w:sz w:val="28"/>
          <w:szCs w:val="28"/>
        </w:rPr>
        <w:t xml:space="preserve">3,8 </w:t>
      </w:r>
      <w:r w:rsidRPr="002009DD">
        <w:rPr>
          <w:rFonts w:ascii="Times New Roman" w:eastAsia="Calibri" w:hAnsi="Times New Roman" w:cs="Times New Roman"/>
          <w:sz w:val="28"/>
          <w:szCs w:val="28"/>
        </w:rPr>
        <w:t xml:space="preserve">% и составила </w:t>
      </w:r>
      <w:r w:rsidR="002009DD" w:rsidRPr="002009DD">
        <w:rPr>
          <w:rFonts w:ascii="Times New Roman" w:eastAsia="Calibri" w:hAnsi="Times New Roman" w:cs="Times New Roman"/>
          <w:sz w:val="28"/>
          <w:szCs w:val="28"/>
        </w:rPr>
        <w:t>28,5</w:t>
      </w:r>
      <w:r w:rsidRPr="002009DD">
        <w:rPr>
          <w:rFonts w:ascii="Times New Roman" w:eastAsia="Calibri" w:hAnsi="Times New Roman" w:cs="Times New Roman"/>
          <w:sz w:val="28"/>
          <w:szCs w:val="28"/>
        </w:rPr>
        <w:t xml:space="preserve">  процента.</w:t>
      </w:r>
    </w:p>
    <w:p w:rsidR="003401FB" w:rsidRPr="00176B57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B57">
        <w:rPr>
          <w:rFonts w:ascii="Times New Roman" w:eastAsia="Calibri" w:hAnsi="Times New Roman" w:cs="Times New Roman"/>
          <w:sz w:val="28"/>
          <w:szCs w:val="28"/>
        </w:rPr>
        <w:t xml:space="preserve">          Третий   по  величине налоговый доходный источник -  налог на имущество физических лиц. Поступление указанного налога составило </w:t>
      </w:r>
      <w:r w:rsidR="00176B57" w:rsidRPr="00176B57">
        <w:rPr>
          <w:rFonts w:ascii="Times New Roman" w:eastAsia="Calibri" w:hAnsi="Times New Roman" w:cs="Times New Roman"/>
          <w:sz w:val="28"/>
          <w:szCs w:val="28"/>
        </w:rPr>
        <w:t>2,5</w:t>
      </w:r>
      <w:r w:rsidRPr="00176B57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176B57" w:rsidRPr="00176B57">
        <w:rPr>
          <w:rFonts w:ascii="Times New Roman" w:eastAsia="Calibri" w:hAnsi="Times New Roman" w:cs="Times New Roman"/>
          <w:sz w:val="28"/>
          <w:szCs w:val="28"/>
        </w:rPr>
        <w:t>1,7</w:t>
      </w:r>
      <w:r w:rsidRPr="00176B57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 в размере </w:t>
      </w:r>
      <w:r w:rsidR="00176B57" w:rsidRPr="00176B57">
        <w:rPr>
          <w:rFonts w:ascii="Times New Roman" w:eastAsia="Calibri" w:hAnsi="Times New Roman" w:cs="Times New Roman"/>
          <w:sz w:val="28"/>
          <w:szCs w:val="28"/>
        </w:rPr>
        <w:t>148,0</w:t>
      </w:r>
      <w:r w:rsidRPr="00176B57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1 полугодием 201</w:t>
      </w:r>
      <w:r w:rsidR="00176B57" w:rsidRPr="00176B57">
        <w:rPr>
          <w:rFonts w:ascii="Times New Roman" w:eastAsia="Calibri" w:hAnsi="Times New Roman" w:cs="Times New Roman"/>
          <w:sz w:val="28"/>
          <w:szCs w:val="28"/>
        </w:rPr>
        <w:t>9</w:t>
      </w:r>
      <w:r w:rsidRPr="00176B57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данного налога </w:t>
      </w:r>
      <w:r w:rsidR="00176B57" w:rsidRPr="00176B57">
        <w:rPr>
          <w:rFonts w:ascii="Times New Roman" w:eastAsia="Calibri" w:hAnsi="Times New Roman" w:cs="Times New Roman"/>
          <w:sz w:val="28"/>
          <w:szCs w:val="28"/>
        </w:rPr>
        <w:t>уменьшилось</w:t>
      </w:r>
      <w:r w:rsidRPr="00176B5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176B57" w:rsidRPr="00176B57">
        <w:rPr>
          <w:rFonts w:ascii="Times New Roman" w:eastAsia="Calibri" w:hAnsi="Times New Roman" w:cs="Times New Roman"/>
          <w:sz w:val="28"/>
          <w:szCs w:val="28"/>
        </w:rPr>
        <w:t>6,5</w:t>
      </w:r>
      <w:r w:rsidRPr="00176B57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176B57" w:rsidRPr="00176B57">
        <w:rPr>
          <w:rFonts w:ascii="Times New Roman" w:eastAsia="Calibri" w:hAnsi="Times New Roman" w:cs="Times New Roman"/>
          <w:sz w:val="28"/>
          <w:szCs w:val="28"/>
        </w:rPr>
        <w:t>на 72,2 процента</w:t>
      </w:r>
      <w:r w:rsidRPr="00176B57">
        <w:rPr>
          <w:rFonts w:ascii="Times New Roman" w:eastAsia="Calibri" w:hAnsi="Times New Roman" w:cs="Times New Roman"/>
          <w:sz w:val="28"/>
          <w:szCs w:val="28"/>
        </w:rPr>
        <w:t xml:space="preserve">. Доля налога  на имущество физических лиц в налоговых доходах бюджета поселения </w:t>
      </w:r>
      <w:r w:rsidR="00176B57" w:rsidRPr="00176B57">
        <w:rPr>
          <w:rFonts w:ascii="Times New Roman" w:eastAsia="Calibri" w:hAnsi="Times New Roman" w:cs="Times New Roman"/>
          <w:sz w:val="28"/>
          <w:szCs w:val="28"/>
        </w:rPr>
        <w:t>уменьшилась</w:t>
      </w:r>
      <w:r w:rsidRPr="00176B57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176B57" w:rsidRPr="00176B57">
        <w:rPr>
          <w:rFonts w:ascii="Times New Roman" w:eastAsia="Calibri" w:hAnsi="Times New Roman" w:cs="Times New Roman"/>
          <w:sz w:val="28"/>
          <w:szCs w:val="28"/>
        </w:rPr>
        <w:t>5,8</w:t>
      </w:r>
      <w:r w:rsidRPr="00176B57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176B57" w:rsidRPr="00176B57">
        <w:rPr>
          <w:rFonts w:ascii="Times New Roman" w:eastAsia="Calibri" w:hAnsi="Times New Roman" w:cs="Times New Roman"/>
          <w:sz w:val="28"/>
          <w:szCs w:val="28"/>
        </w:rPr>
        <w:t>2,2</w:t>
      </w:r>
      <w:r w:rsidRPr="00176B57">
        <w:rPr>
          <w:rFonts w:ascii="Times New Roman" w:eastAsia="Calibri" w:hAnsi="Times New Roman" w:cs="Times New Roman"/>
          <w:sz w:val="28"/>
          <w:szCs w:val="28"/>
        </w:rPr>
        <w:t xml:space="preserve">  процента.</w:t>
      </w:r>
    </w:p>
    <w:p w:rsidR="003401FB" w:rsidRPr="003401FB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401F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</w:t>
      </w:r>
      <w:r w:rsidRPr="00176B57">
        <w:rPr>
          <w:rFonts w:ascii="Times New Roman" w:eastAsia="Calibri" w:hAnsi="Times New Roman" w:cs="Times New Roman"/>
          <w:sz w:val="28"/>
          <w:szCs w:val="28"/>
        </w:rPr>
        <w:t xml:space="preserve">Четвертый  и последний  по  величине налоговый доходный источник – государственная пошлина.  Поступление указанного налога составило </w:t>
      </w:r>
      <w:r w:rsidR="00176B57" w:rsidRPr="00176B57">
        <w:rPr>
          <w:rFonts w:ascii="Times New Roman" w:eastAsia="Calibri" w:hAnsi="Times New Roman" w:cs="Times New Roman"/>
          <w:sz w:val="28"/>
          <w:szCs w:val="28"/>
        </w:rPr>
        <w:t>1,6</w:t>
      </w:r>
      <w:r w:rsidRPr="00176B57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176B57" w:rsidRPr="00176B57">
        <w:rPr>
          <w:rFonts w:ascii="Times New Roman" w:eastAsia="Calibri" w:hAnsi="Times New Roman" w:cs="Times New Roman"/>
          <w:sz w:val="28"/>
          <w:szCs w:val="28"/>
        </w:rPr>
        <w:t>22,9</w:t>
      </w:r>
      <w:r w:rsidRPr="00176B57">
        <w:rPr>
          <w:rFonts w:ascii="Times New Roman" w:eastAsia="Calibri" w:hAnsi="Times New Roman" w:cs="Times New Roman"/>
          <w:sz w:val="28"/>
          <w:szCs w:val="28"/>
        </w:rPr>
        <w:t xml:space="preserve">% к плановым назначениям в размере </w:t>
      </w:r>
      <w:r w:rsidR="00176B57" w:rsidRPr="00176B57">
        <w:rPr>
          <w:rFonts w:ascii="Times New Roman" w:eastAsia="Calibri" w:hAnsi="Times New Roman" w:cs="Times New Roman"/>
          <w:sz w:val="28"/>
          <w:szCs w:val="28"/>
        </w:rPr>
        <w:t>7,0</w:t>
      </w:r>
      <w:r w:rsidRPr="00176B57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1 полугодием 201</w:t>
      </w:r>
      <w:r w:rsidR="00176B57" w:rsidRPr="00176B57">
        <w:rPr>
          <w:rFonts w:ascii="Times New Roman" w:eastAsia="Calibri" w:hAnsi="Times New Roman" w:cs="Times New Roman"/>
          <w:sz w:val="28"/>
          <w:szCs w:val="28"/>
        </w:rPr>
        <w:t>9</w:t>
      </w:r>
      <w:r w:rsidRPr="00176B57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данного налога у</w:t>
      </w:r>
      <w:r w:rsidR="00176B57" w:rsidRPr="00176B57">
        <w:rPr>
          <w:rFonts w:ascii="Times New Roman" w:eastAsia="Calibri" w:hAnsi="Times New Roman" w:cs="Times New Roman"/>
          <w:sz w:val="28"/>
          <w:szCs w:val="28"/>
        </w:rPr>
        <w:t>меньшилось на 5,8</w:t>
      </w:r>
      <w:r w:rsidRPr="00176B57">
        <w:rPr>
          <w:rFonts w:ascii="Times New Roman" w:eastAsia="Calibri" w:hAnsi="Times New Roman" w:cs="Times New Roman"/>
          <w:sz w:val="28"/>
          <w:szCs w:val="28"/>
        </w:rPr>
        <w:t xml:space="preserve"> тыс. рублей. Доля государственной пошлины в налоговых доходах бюджета поселения у</w:t>
      </w:r>
      <w:r w:rsidR="00176B57" w:rsidRPr="00176B57">
        <w:rPr>
          <w:rFonts w:ascii="Times New Roman" w:eastAsia="Calibri" w:hAnsi="Times New Roman" w:cs="Times New Roman"/>
          <w:sz w:val="28"/>
          <w:szCs w:val="28"/>
        </w:rPr>
        <w:t>меньшилась</w:t>
      </w:r>
      <w:r w:rsidRPr="00176B57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176B57" w:rsidRPr="00176B57">
        <w:rPr>
          <w:rFonts w:ascii="Times New Roman" w:eastAsia="Calibri" w:hAnsi="Times New Roman" w:cs="Times New Roman"/>
          <w:sz w:val="28"/>
          <w:szCs w:val="28"/>
        </w:rPr>
        <w:t>4,8</w:t>
      </w:r>
      <w:r w:rsidRPr="00176B57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176B57" w:rsidRPr="00176B57">
        <w:rPr>
          <w:rFonts w:ascii="Times New Roman" w:eastAsia="Calibri" w:hAnsi="Times New Roman" w:cs="Times New Roman"/>
          <w:sz w:val="28"/>
          <w:szCs w:val="28"/>
        </w:rPr>
        <w:t>1,4</w:t>
      </w:r>
      <w:r w:rsidRPr="00176B57">
        <w:rPr>
          <w:rFonts w:ascii="Times New Roman" w:eastAsia="Calibri" w:hAnsi="Times New Roman" w:cs="Times New Roman"/>
          <w:sz w:val="28"/>
          <w:szCs w:val="28"/>
        </w:rPr>
        <w:t xml:space="preserve">  процента. </w:t>
      </w:r>
    </w:p>
    <w:p w:rsidR="003401FB" w:rsidRPr="003401FB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401F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proofErr w:type="gramStart"/>
      <w:r w:rsidRPr="00474D23">
        <w:rPr>
          <w:rFonts w:ascii="Times New Roman" w:eastAsia="Calibri" w:hAnsi="Times New Roman" w:cs="Times New Roman"/>
          <w:sz w:val="28"/>
          <w:szCs w:val="28"/>
        </w:rPr>
        <w:t>Невысокий уровень исполнения кассового плана за 1 полугодие 20</w:t>
      </w:r>
      <w:r w:rsidR="00474D23" w:rsidRPr="00474D23">
        <w:rPr>
          <w:rFonts w:ascii="Times New Roman" w:eastAsia="Calibri" w:hAnsi="Times New Roman" w:cs="Times New Roman"/>
          <w:sz w:val="28"/>
          <w:szCs w:val="28"/>
        </w:rPr>
        <w:t>20</w:t>
      </w:r>
      <w:r w:rsidRPr="00474D23">
        <w:rPr>
          <w:rFonts w:ascii="Times New Roman" w:eastAsia="Calibri" w:hAnsi="Times New Roman" w:cs="Times New Roman"/>
          <w:sz w:val="28"/>
          <w:szCs w:val="28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  <w:proofErr w:type="gramEnd"/>
    </w:p>
    <w:p w:rsidR="003401FB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4D23" w:rsidRDefault="00474D23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4D23" w:rsidRDefault="00474D23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4D23" w:rsidRDefault="00474D23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4D23" w:rsidRDefault="00474D23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4D23" w:rsidRPr="003401FB" w:rsidRDefault="00474D23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4D23" w:rsidRPr="00474D23" w:rsidRDefault="003401FB" w:rsidP="00474D2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74D23">
        <w:rPr>
          <w:rFonts w:ascii="Times New Roman" w:eastAsia="Calibri" w:hAnsi="Times New Roman" w:cs="Times New Roman"/>
          <w:i/>
          <w:sz w:val="28"/>
          <w:szCs w:val="28"/>
        </w:rPr>
        <w:t>Неналоговые доходы.</w:t>
      </w:r>
    </w:p>
    <w:p w:rsidR="00474D23" w:rsidRPr="00A97BBD" w:rsidRDefault="003401FB" w:rsidP="00474D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401F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="00474D23" w:rsidRPr="00BB6677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исполнены в сумме </w:t>
      </w:r>
      <w:r w:rsidR="00474D23">
        <w:rPr>
          <w:rFonts w:ascii="Times New Roman" w:eastAsia="Calibri" w:hAnsi="Times New Roman" w:cs="Times New Roman"/>
          <w:sz w:val="28"/>
          <w:szCs w:val="28"/>
        </w:rPr>
        <w:t>44,6</w:t>
      </w:r>
      <w:r w:rsidR="00474D23" w:rsidRPr="00BB6677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474D23">
        <w:rPr>
          <w:rFonts w:ascii="Times New Roman" w:eastAsia="Calibri" w:hAnsi="Times New Roman" w:cs="Times New Roman"/>
          <w:sz w:val="28"/>
          <w:szCs w:val="28"/>
        </w:rPr>
        <w:t>100,0</w:t>
      </w:r>
      <w:r w:rsidR="00474D23" w:rsidRPr="00BB6677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показателям бюджета. Доля неналоговых доходов в структуре собственных  доходов</w:t>
      </w:r>
      <w:r w:rsidR="00474D23" w:rsidRPr="00BB6677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474D23" w:rsidRPr="00BB6677">
        <w:rPr>
          <w:rFonts w:ascii="Times New Roman" w:eastAsia="Calibri" w:hAnsi="Times New Roman" w:cs="Times New Roman"/>
          <w:sz w:val="28"/>
          <w:szCs w:val="28"/>
        </w:rPr>
        <w:t xml:space="preserve">бюджета  поселения составила  </w:t>
      </w:r>
      <w:r w:rsidR="00474D23">
        <w:rPr>
          <w:rFonts w:ascii="Times New Roman" w:eastAsia="Calibri" w:hAnsi="Times New Roman" w:cs="Times New Roman"/>
          <w:sz w:val="28"/>
          <w:szCs w:val="28"/>
        </w:rPr>
        <w:t>41,2</w:t>
      </w:r>
      <w:r w:rsidR="00474D23" w:rsidRPr="00BB667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  <w:r w:rsidR="00474D23" w:rsidRPr="00BB6677">
        <w:rPr>
          <w:rFonts w:ascii="TimesNewRomanPSMT" w:eastAsia="Calibri" w:hAnsi="TimesNewRomanPSMT" w:cs="TimesNewRomanPSMT"/>
          <w:sz w:val="28"/>
          <w:szCs w:val="28"/>
        </w:rPr>
        <w:t xml:space="preserve">      </w:t>
      </w:r>
    </w:p>
    <w:p w:rsidR="00474D23" w:rsidRPr="00BB6677" w:rsidRDefault="00474D23" w:rsidP="00474D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677">
        <w:rPr>
          <w:rFonts w:ascii="Times New Roman" w:eastAsia="Calibri" w:hAnsi="Times New Roman" w:cs="Times New Roman"/>
          <w:sz w:val="28"/>
          <w:szCs w:val="28"/>
        </w:rPr>
        <w:t>Всего в отчетном периоде 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BB6677">
        <w:rPr>
          <w:rFonts w:ascii="Times New Roman" w:eastAsia="Calibri" w:hAnsi="Times New Roman" w:cs="Times New Roman"/>
          <w:sz w:val="28"/>
          <w:szCs w:val="28"/>
        </w:rPr>
        <w:t xml:space="preserve"> года осуществлялось администрирование по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BB6677">
        <w:rPr>
          <w:rFonts w:ascii="Times New Roman" w:eastAsia="Calibri" w:hAnsi="Times New Roman" w:cs="Times New Roman"/>
          <w:sz w:val="28"/>
          <w:szCs w:val="28"/>
        </w:rPr>
        <w:t xml:space="preserve"> подгруппе неналоговых доходов:</w:t>
      </w:r>
    </w:p>
    <w:p w:rsidR="00474D23" w:rsidRPr="00BB6677" w:rsidRDefault="00474D23" w:rsidP="00474D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6677">
        <w:rPr>
          <w:rFonts w:ascii="Times New Roman" w:eastAsia="Calibri" w:hAnsi="Times New Roman" w:cs="Times New Roman"/>
          <w:sz w:val="28"/>
          <w:szCs w:val="28"/>
        </w:rPr>
        <w:t xml:space="preserve">              - доходы  от </w:t>
      </w:r>
      <w:r>
        <w:rPr>
          <w:rFonts w:ascii="Times New Roman" w:eastAsia="Calibri" w:hAnsi="Times New Roman" w:cs="Times New Roman"/>
          <w:sz w:val="28"/>
          <w:szCs w:val="28"/>
        </w:rPr>
        <w:t>реализации иного имущества, находящегося в собственности поселения (за исключением имущества муниципальных  бюджетных и автономных учреждений, а 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BB6677">
        <w:rPr>
          <w:rFonts w:ascii="Times New Roman" w:eastAsia="Calibri" w:hAnsi="Times New Roman" w:cs="Times New Roman"/>
          <w:sz w:val="28"/>
          <w:szCs w:val="28"/>
        </w:rPr>
        <w:t xml:space="preserve"> в сумме – </w:t>
      </w:r>
      <w:r>
        <w:rPr>
          <w:rFonts w:ascii="Times New Roman" w:eastAsia="Calibri" w:hAnsi="Times New Roman" w:cs="Times New Roman"/>
          <w:sz w:val="28"/>
          <w:szCs w:val="28"/>
        </w:rPr>
        <w:t>44,6 тыс. рублей.</w:t>
      </w:r>
    </w:p>
    <w:p w:rsidR="00474D23" w:rsidRDefault="00474D23" w:rsidP="00474D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BB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Pr="00A97BB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DB04EE">
        <w:rPr>
          <w:rFonts w:ascii="Times New Roman" w:eastAsia="Calibri" w:hAnsi="Times New Roman" w:cs="Times New Roman"/>
          <w:sz w:val="28"/>
          <w:szCs w:val="28"/>
        </w:rPr>
        <w:t xml:space="preserve">В сравнении с 1 </w:t>
      </w:r>
      <w:r>
        <w:rPr>
          <w:rFonts w:ascii="Times New Roman" w:eastAsia="Calibri" w:hAnsi="Times New Roman" w:cs="Times New Roman"/>
          <w:sz w:val="28"/>
          <w:szCs w:val="28"/>
        </w:rPr>
        <w:t>полугодием</w:t>
      </w:r>
      <w:r w:rsidRPr="00DB04EE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Pr="00474D23">
        <w:rPr>
          <w:rFonts w:ascii="Times New Roman" w:eastAsia="Calibri" w:hAnsi="Times New Roman" w:cs="Times New Roman"/>
          <w:sz w:val="28"/>
          <w:szCs w:val="28"/>
        </w:rPr>
        <w:t>19</w:t>
      </w:r>
      <w:r w:rsidRPr="00DB04EE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неналоговых доходов значительно увеличилось  </w:t>
      </w:r>
      <w:r>
        <w:rPr>
          <w:rFonts w:ascii="Times New Roman" w:eastAsia="Calibri" w:hAnsi="Times New Roman" w:cs="Times New Roman"/>
          <w:sz w:val="28"/>
          <w:szCs w:val="28"/>
        </w:rPr>
        <w:t>на 100,0%</w:t>
      </w:r>
      <w:r w:rsidRPr="00DB04EE">
        <w:rPr>
          <w:rFonts w:ascii="Times New Roman" w:eastAsia="Calibri" w:hAnsi="Times New Roman" w:cs="Times New Roman"/>
          <w:sz w:val="28"/>
          <w:szCs w:val="28"/>
        </w:rPr>
        <w:t xml:space="preserve">, или на </w:t>
      </w:r>
      <w:r>
        <w:rPr>
          <w:rFonts w:ascii="Times New Roman" w:eastAsia="Calibri" w:hAnsi="Times New Roman" w:cs="Times New Roman"/>
          <w:sz w:val="28"/>
          <w:szCs w:val="28"/>
        </w:rPr>
        <w:t>44,6</w:t>
      </w:r>
      <w:r w:rsidRPr="00DB04EE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3401FB" w:rsidRPr="003401FB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3401FB" w:rsidRPr="00474D23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74D23">
        <w:rPr>
          <w:rFonts w:ascii="Times New Roman" w:eastAsia="Calibri" w:hAnsi="Times New Roman" w:cs="Times New Roman"/>
          <w:i/>
          <w:iCs/>
          <w:sz w:val="28"/>
          <w:szCs w:val="28"/>
        </w:rPr>
        <w:t>Безвозмездные поступления.</w:t>
      </w:r>
    </w:p>
    <w:p w:rsidR="003401FB" w:rsidRPr="00474D23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3401FB" w:rsidRPr="00474D23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D23">
        <w:rPr>
          <w:rFonts w:ascii="Times New Roman" w:eastAsia="Calibri" w:hAnsi="Times New Roman" w:cs="Times New Roman"/>
          <w:sz w:val="28"/>
          <w:szCs w:val="28"/>
        </w:rPr>
        <w:t xml:space="preserve">          Безвозмездные поступления в бюджет поселения составили </w:t>
      </w:r>
      <w:r w:rsidR="00474D23" w:rsidRPr="00474D23">
        <w:rPr>
          <w:rFonts w:ascii="Times New Roman" w:eastAsia="Calibri" w:hAnsi="Times New Roman" w:cs="Times New Roman"/>
          <w:sz w:val="28"/>
          <w:szCs w:val="28"/>
        </w:rPr>
        <w:t>2237,3</w:t>
      </w:r>
      <w:r w:rsidRPr="00474D23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474D23" w:rsidRPr="00474D23">
        <w:rPr>
          <w:rFonts w:ascii="Times New Roman" w:eastAsia="Calibri" w:hAnsi="Times New Roman" w:cs="Times New Roman"/>
          <w:sz w:val="28"/>
          <w:szCs w:val="28"/>
        </w:rPr>
        <w:t>44,7</w:t>
      </w:r>
      <w:r w:rsidRPr="00474D23">
        <w:rPr>
          <w:rFonts w:ascii="Times New Roman" w:eastAsia="Calibri" w:hAnsi="Times New Roman" w:cs="Times New Roman"/>
          <w:sz w:val="28"/>
          <w:szCs w:val="28"/>
        </w:rPr>
        <w:t xml:space="preserve">% к утвержденным назначениям в сумме </w:t>
      </w:r>
      <w:r w:rsidR="00474D23" w:rsidRPr="00474D23">
        <w:rPr>
          <w:rFonts w:ascii="Times New Roman" w:eastAsia="Calibri" w:hAnsi="Times New Roman" w:cs="Times New Roman"/>
          <w:sz w:val="28"/>
          <w:szCs w:val="28"/>
        </w:rPr>
        <w:t>5001,7</w:t>
      </w:r>
      <w:r w:rsidRPr="00474D23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1 полугодием 201</w:t>
      </w:r>
      <w:r w:rsidR="00474D23" w:rsidRPr="00474D23">
        <w:rPr>
          <w:rFonts w:ascii="Times New Roman" w:eastAsia="Calibri" w:hAnsi="Times New Roman" w:cs="Times New Roman"/>
          <w:sz w:val="28"/>
          <w:szCs w:val="28"/>
        </w:rPr>
        <w:t>9</w:t>
      </w:r>
      <w:r w:rsidRPr="00474D23">
        <w:rPr>
          <w:rFonts w:ascii="Times New Roman" w:eastAsia="Calibri" w:hAnsi="Times New Roman" w:cs="Times New Roman"/>
          <w:sz w:val="28"/>
          <w:szCs w:val="28"/>
        </w:rPr>
        <w:t xml:space="preserve"> года безвозмездные поступления </w:t>
      </w:r>
      <w:r w:rsidR="00474D23" w:rsidRPr="00474D23">
        <w:rPr>
          <w:rFonts w:ascii="Times New Roman" w:eastAsia="Calibri" w:hAnsi="Times New Roman" w:cs="Times New Roman"/>
          <w:sz w:val="28"/>
          <w:szCs w:val="28"/>
        </w:rPr>
        <w:t>уменьшились</w:t>
      </w:r>
      <w:r w:rsidRPr="00474D2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474D23" w:rsidRPr="00474D23">
        <w:rPr>
          <w:rFonts w:ascii="Times New Roman" w:eastAsia="Calibri" w:hAnsi="Times New Roman" w:cs="Times New Roman"/>
          <w:sz w:val="28"/>
          <w:szCs w:val="28"/>
        </w:rPr>
        <w:t>611,7</w:t>
      </w:r>
      <w:r w:rsidRPr="00474D23">
        <w:rPr>
          <w:rFonts w:ascii="Times New Roman" w:eastAsia="Calibri" w:hAnsi="Times New Roman" w:cs="Times New Roman"/>
          <w:sz w:val="28"/>
          <w:szCs w:val="28"/>
        </w:rPr>
        <w:t xml:space="preserve"> тыс. рублей, их доля в общих доходах бюджета поселения составила </w:t>
      </w:r>
      <w:r w:rsidR="00474D23" w:rsidRPr="00474D23">
        <w:rPr>
          <w:rFonts w:ascii="Times New Roman" w:eastAsia="Calibri" w:hAnsi="Times New Roman" w:cs="Times New Roman"/>
          <w:sz w:val="28"/>
          <w:szCs w:val="28"/>
        </w:rPr>
        <w:t>93,4</w:t>
      </w:r>
      <w:r w:rsidRPr="00474D23">
        <w:rPr>
          <w:rFonts w:ascii="Times New Roman" w:eastAsia="Calibri" w:hAnsi="Times New Roman" w:cs="Times New Roman"/>
          <w:sz w:val="28"/>
          <w:szCs w:val="28"/>
        </w:rPr>
        <w:t xml:space="preserve">  процентов.</w:t>
      </w:r>
    </w:p>
    <w:p w:rsidR="003401FB" w:rsidRPr="00474D23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D23">
        <w:rPr>
          <w:rFonts w:ascii="Times New Roman" w:eastAsia="Calibri" w:hAnsi="Times New Roman" w:cs="Times New Roman"/>
          <w:sz w:val="28"/>
          <w:szCs w:val="28"/>
        </w:rPr>
        <w:t xml:space="preserve">        Структура безвозмездных поступлений в сравнении с 1 полугодием 201</w:t>
      </w:r>
      <w:r w:rsidR="00474D23" w:rsidRPr="00474D23">
        <w:rPr>
          <w:rFonts w:ascii="Times New Roman" w:eastAsia="Calibri" w:hAnsi="Times New Roman" w:cs="Times New Roman"/>
          <w:sz w:val="28"/>
          <w:szCs w:val="28"/>
        </w:rPr>
        <w:t>9</w:t>
      </w:r>
      <w:r w:rsidRPr="00474D23">
        <w:rPr>
          <w:rFonts w:ascii="Times New Roman" w:eastAsia="Calibri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3401FB" w:rsidRPr="003401FB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lang w:eastAsia="ru-RU"/>
        </w:rPr>
      </w:pPr>
    </w:p>
    <w:p w:rsidR="003401FB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lang w:eastAsia="ru-RU"/>
        </w:rPr>
      </w:pPr>
      <w:r w:rsidRPr="003401FB">
        <w:rPr>
          <w:rFonts w:ascii="Times New Roman" w:eastAsia="Times New Roman" w:hAnsi="Times New Roman" w:cs="Times New Roman"/>
          <w:noProof/>
          <w:color w:val="FF0000"/>
          <w:lang w:eastAsia="ru-RU"/>
        </w:rPr>
        <w:t xml:space="preserve">                                                                                                                                                          тыс. руб.</w:t>
      </w:r>
    </w:p>
    <w:p w:rsidR="00905204" w:rsidRPr="003401FB" w:rsidRDefault="00905204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E8DBCB" wp14:editId="66DF1B3A">
            <wp:extent cx="6143625" cy="40195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401FB" w:rsidRPr="003401FB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lang w:eastAsia="ru-RU"/>
        </w:rPr>
      </w:pPr>
    </w:p>
    <w:p w:rsidR="003401FB" w:rsidRPr="003401FB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lang w:eastAsia="ru-RU"/>
        </w:rPr>
      </w:pPr>
    </w:p>
    <w:p w:rsidR="003401FB" w:rsidRPr="003401FB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lang w:eastAsia="ru-RU"/>
        </w:rPr>
      </w:pPr>
    </w:p>
    <w:p w:rsidR="003401FB" w:rsidRPr="003401FB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401F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Pr="00905204"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дотации из районного бюджета бюджетам субъектов Российской Федерации и муниципальным образованиям поступили в сумме </w:t>
      </w:r>
      <w:r w:rsidR="00905204" w:rsidRPr="00905204">
        <w:rPr>
          <w:rFonts w:ascii="Times New Roman" w:eastAsia="Calibri" w:hAnsi="Times New Roman" w:cs="Times New Roman"/>
          <w:sz w:val="28"/>
          <w:szCs w:val="28"/>
        </w:rPr>
        <w:t>1267,9</w:t>
      </w:r>
      <w:r w:rsidRPr="00905204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905204" w:rsidRPr="00905204">
        <w:rPr>
          <w:rFonts w:ascii="Times New Roman" w:eastAsia="Calibri" w:hAnsi="Times New Roman" w:cs="Times New Roman"/>
          <w:sz w:val="28"/>
          <w:szCs w:val="28"/>
        </w:rPr>
        <w:t>47,0</w:t>
      </w:r>
      <w:r w:rsidRPr="00905204">
        <w:rPr>
          <w:rFonts w:ascii="Times New Roman" w:eastAsia="Calibri" w:hAnsi="Times New Roman" w:cs="Times New Roman"/>
          <w:sz w:val="28"/>
          <w:szCs w:val="28"/>
        </w:rPr>
        <w:t xml:space="preserve">% к утвержденным назначениям в сумме </w:t>
      </w:r>
      <w:r w:rsidR="00905204" w:rsidRPr="00905204">
        <w:rPr>
          <w:rFonts w:ascii="Times New Roman" w:eastAsia="Calibri" w:hAnsi="Times New Roman" w:cs="Times New Roman"/>
          <w:sz w:val="28"/>
          <w:szCs w:val="28"/>
        </w:rPr>
        <w:t>2697,3</w:t>
      </w:r>
      <w:r w:rsidRPr="00905204">
        <w:rPr>
          <w:rFonts w:ascii="Times New Roman" w:eastAsia="Calibri" w:hAnsi="Times New Roman" w:cs="Times New Roman"/>
          <w:sz w:val="28"/>
          <w:szCs w:val="28"/>
        </w:rPr>
        <w:t xml:space="preserve"> тыс. рублей. В сравнении с аналогичным периодом 201</w:t>
      </w:r>
      <w:r w:rsidR="00905204" w:rsidRPr="00905204">
        <w:rPr>
          <w:rFonts w:ascii="Times New Roman" w:eastAsia="Calibri" w:hAnsi="Times New Roman" w:cs="Times New Roman"/>
          <w:sz w:val="28"/>
          <w:szCs w:val="28"/>
        </w:rPr>
        <w:t>9</w:t>
      </w:r>
      <w:r w:rsidRPr="00905204">
        <w:rPr>
          <w:rFonts w:ascii="Times New Roman" w:eastAsia="Calibri" w:hAnsi="Times New Roman" w:cs="Times New Roman"/>
          <w:sz w:val="28"/>
          <w:szCs w:val="28"/>
        </w:rPr>
        <w:t xml:space="preserve"> года дотации уменьшились на </w:t>
      </w:r>
      <w:r w:rsidR="00905204" w:rsidRPr="00905204">
        <w:rPr>
          <w:rFonts w:ascii="Times New Roman" w:eastAsia="Calibri" w:hAnsi="Times New Roman" w:cs="Times New Roman"/>
          <w:sz w:val="28"/>
          <w:szCs w:val="28"/>
        </w:rPr>
        <w:t>259,3</w:t>
      </w:r>
      <w:r w:rsidRPr="00905204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905204" w:rsidRPr="00905204">
        <w:rPr>
          <w:rFonts w:ascii="Times New Roman" w:eastAsia="Calibri" w:hAnsi="Times New Roman" w:cs="Times New Roman"/>
          <w:sz w:val="28"/>
          <w:szCs w:val="28"/>
        </w:rPr>
        <w:t>17,0</w:t>
      </w:r>
      <w:r w:rsidRPr="00905204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3401FB" w:rsidRPr="003401FB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401F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</w:t>
      </w:r>
      <w:r w:rsidRPr="00905204">
        <w:rPr>
          <w:rFonts w:ascii="Times New Roman" w:eastAsia="Calibri" w:hAnsi="Times New Roman" w:cs="Times New Roman"/>
          <w:sz w:val="28"/>
          <w:szCs w:val="28"/>
        </w:rPr>
        <w:t xml:space="preserve">Доля дотаций в общем объеме безвозмездных поступлений составила </w:t>
      </w:r>
      <w:r w:rsidR="00905204" w:rsidRPr="00905204">
        <w:rPr>
          <w:rFonts w:ascii="Times New Roman" w:eastAsia="Calibri" w:hAnsi="Times New Roman" w:cs="Times New Roman"/>
          <w:sz w:val="28"/>
          <w:szCs w:val="28"/>
        </w:rPr>
        <w:t>56,7</w:t>
      </w:r>
      <w:r w:rsidRPr="00905204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3401FB" w:rsidRPr="00FA0B84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01F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FA0B84">
        <w:rPr>
          <w:rFonts w:ascii="Times New Roman" w:eastAsia="Calibri" w:hAnsi="Times New Roman" w:cs="Times New Roman"/>
          <w:sz w:val="28"/>
          <w:szCs w:val="28"/>
        </w:rPr>
        <w:t xml:space="preserve">    Субвенции бюджетам субъектов Российской Федерации и муниципальных образований поступили в сумме 46,5 тыс. рублей, или </w:t>
      </w:r>
      <w:r w:rsidR="00905204" w:rsidRPr="00FA0B84">
        <w:rPr>
          <w:rFonts w:ascii="Times New Roman" w:eastAsia="Calibri" w:hAnsi="Times New Roman" w:cs="Times New Roman"/>
          <w:sz w:val="28"/>
          <w:szCs w:val="28"/>
        </w:rPr>
        <w:t>49,0</w:t>
      </w:r>
      <w:r w:rsidRPr="00FA0B84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назначениям в сумме </w:t>
      </w:r>
      <w:r w:rsidR="00905204" w:rsidRPr="00FA0B84">
        <w:rPr>
          <w:rFonts w:ascii="Times New Roman" w:eastAsia="Calibri" w:hAnsi="Times New Roman" w:cs="Times New Roman"/>
          <w:sz w:val="28"/>
          <w:szCs w:val="28"/>
        </w:rPr>
        <w:t>95,5</w:t>
      </w:r>
      <w:r w:rsidRPr="00FA0B84">
        <w:rPr>
          <w:rFonts w:ascii="Times New Roman" w:eastAsia="Calibri" w:hAnsi="Times New Roman" w:cs="Times New Roman"/>
          <w:sz w:val="28"/>
          <w:szCs w:val="28"/>
        </w:rPr>
        <w:t xml:space="preserve"> тыс. рублей.  В течение 1 полугодия  текущего года поступила субвенция на осуществление первичного воинского учета в сумме 46,</w:t>
      </w:r>
      <w:r w:rsidR="00FA0B84" w:rsidRPr="00FA0B84">
        <w:rPr>
          <w:rFonts w:ascii="Times New Roman" w:eastAsia="Calibri" w:hAnsi="Times New Roman" w:cs="Times New Roman"/>
          <w:sz w:val="28"/>
          <w:szCs w:val="28"/>
        </w:rPr>
        <w:t>5</w:t>
      </w:r>
      <w:r w:rsidR="008445E7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Pr="00FA0B84">
        <w:rPr>
          <w:rFonts w:ascii="Times New Roman" w:eastAsia="Calibri" w:hAnsi="Times New Roman" w:cs="Times New Roman"/>
          <w:sz w:val="28"/>
          <w:szCs w:val="28"/>
        </w:rPr>
        <w:t xml:space="preserve">на осуществление полномочий в сфере административных отношений </w:t>
      </w:r>
      <w:r w:rsidR="00FA0B84" w:rsidRPr="00FA0B84">
        <w:rPr>
          <w:rFonts w:ascii="Times New Roman" w:eastAsia="Calibri" w:hAnsi="Times New Roman" w:cs="Times New Roman"/>
          <w:sz w:val="28"/>
          <w:szCs w:val="28"/>
        </w:rPr>
        <w:t>субвенция не поступала</w:t>
      </w:r>
      <w:r w:rsidRPr="00FA0B84">
        <w:rPr>
          <w:rFonts w:ascii="Times New Roman" w:eastAsia="Calibri" w:hAnsi="Times New Roman" w:cs="Times New Roman"/>
          <w:sz w:val="28"/>
          <w:szCs w:val="28"/>
        </w:rPr>
        <w:t>.  По сравнению с 1 полугодием 201</w:t>
      </w:r>
      <w:r w:rsidR="00FA0B84" w:rsidRPr="00FA0B84">
        <w:rPr>
          <w:rFonts w:ascii="Times New Roman" w:eastAsia="Calibri" w:hAnsi="Times New Roman" w:cs="Times New Roman"/>
          <w:sz w:val="28"/>
          <w:szCs w:val="28"/>
        </w:rPr>
        <w:t>9</w:t>
      </w:r>
      <w:r w:rsidRPr="00FA0B84">
        <w:rPr>
          <w:rFonts w:ascii="Times New Roman" w:eastAsia="Calibri" w:hAnsi="Times New Roman" w:cs="Times New Roman"/>
          <w:sz w:val="28"/>
          <w:szCs w:val="28"/>
        </w:rPr>
        <w:t xml:space="preserve"> года субвенция увеличилась на </w:t>
      </w:r>
      <w:r w:rsidR="00FA0B84" w:rsidRPr="00FA0B84">
        <w:rPr>
          <w:rFonts w:ascii="Times New Roman" w:eastAsia="Calibri" w:hAnsi="Times New Roman" w:cs="Times New Roman"/>
          <w:sz w:val="28"/>
          <w:szCs w:val="28"/>
        </w:rPr>
        <w:t>0,3</w:t>
      </w:r>
      <w:r w:rsidRPr="00FA0B84">
        <w:rPr>
          <w:rFonts w:ascii="Times New Roman" w:eastAsia="Calibri" w:hAnsi="Times New Roman" w:cs="Times New Roman"/>
          <w:sz w:val="28"/>
          <w:szCs w:val="28"/>
        </w:rPr>
        <w:t xml:space="preserve">  тыс. рублей, или на </w:t>
      </w:r>
      <w:r w:rsidR="00FA0B84" w:rsidRPr="00FA0B84">
        <w:rPr>
          <w:rFonts w:ascii="Times New Roman" w:eastAsia="Calibri" w:hAnsi="Times New Roman" w:cs="Times New Roman"/>
          <w:sz w:val="28"/>
          <w:szCs w:val="28"/>
        </w:rPr>
        <w:t>0,6</w:t>
      </w:r>
      <w:r w:rsidRPr="00FA0B84">
        <w:rPr>
          <w:rFonts w:ascii="Times New Roman" w:eastAsia="Calibri" w:hAnsi="Times New Roman" w:cs="Times New Roman"/>
          <w:sz w:val="28"/>
          <w:szCs w:val="28"/>
        </w:rPr>
        <w:t xml:space="preserve"> процента. Доля субвенций в общем объеме безвозмездных поступлений составила </w:t>
      </w:r>
      <w:r w:rsidR="00FA0B84" w:rsidRPr="00FA0B84">
        <w:rPr>
          <w:rFonts w:ascii="Times New Roman" w:eastAsia="Calibri" w:hAnsi="Times New Roman" w:cs="Times New Roman"/>
          <w:sz w:val="28"/>
          <w:szCs w:val="28"/>
        </w:rPr>
        <w:t>2,1</w:t>
      </w:r>
      <w:r w:rsidRPr="00FA0B84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993149" w:rsidRPr="00993149" w:rsidRDefault="003401FB" w:rsidP="00FA0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F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r w:rsidRPr="00FA0B84">
        <w:rPr>
          <w:rFonts w:ascii="Times New Roman" w:eastAsia="Calibri" w:hAnsi="Times New Roman" w:cs="Times New Roman"/>
          <w:sz w:val="28"/>
          <w:szCs w:val="28"/>
        </w:rPr>
        <w:t xml:space="preserve">Прочие субсидии бюджетам субъектов Российской Федерации и муниципальных образований поступили в сумме </w:t>
      </w:r>
      <w:r w:rsidR="00FA0B84" w:rsidRPr="00FA0B84">
        <w:rPr>
          <w:rFonts w:ascii="Times New Roman" w:eastAsia="Calibri" w:hAnsi="Times New Roman" w:cs="Times New Roman"/>
          <w:sz w:val="28"/>
          <w:szCs w:val="28"/>
        </w:rPr>
        <w:t>265,5</w:t>
      </w:r>
      <w:r w:rsidRPr="00FA0B84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FA0B84" w:rsidRPr="00FA0B84">
        <w:rPr>
          <w:rFonts w:ascii="Times New Roman" w:eastAsia="Calibri" w:hAnsi="Times New Roman" w:cs="Times New Roman"/>
          <w:sz w:val="28"/>
          <w:szCs w:val="28"/>
        </w:rPr>
        <w:t>38,2</w:t>
      </w:r>
      <w:r w:rsidRPr="00FA0B84">
        <w:rPr>
          <w:rFonts w:ascii="Times New Roman" w:eastAsia="Calibri" w:hAnsi="Times New Roman" w:cs="Times New Roman"/>
          <w:sz w:val="28"/>
          <w:szCs w:val="28"/>
        </w:rPr>
        <w:t xml:space="preserve"> % к утвержденным </w:t>
      </w:r>
      <w:r w:rsidRPr="00993149">
        <w:rPr>
          <w:rFonts w:ascii="Times New Roman" w:eastAsia="Calibri" w:hAnsi="Times New Roman" w:cs="Times New Roman"/>
          <w:sz w:val="28"/>
          <w:szCs w:val="28"/>
        </w:rPr>
        <w:t xml:space="preserve">назначениям в сумме </w:t>
      </w:r>
      <w:r w:rsidR="00FA0B84" w:rsidRPr="00993149">
        <w:rPr>
          <w:rFonts w:ascii="Times New Roman" w:eastAsia="Calibri" w:hAnsi="Times New Roman" w:cs="Times New Roman"/>
          <w:sz w:val="28"/>
          <w:szCs w:val="28"/>
        </w:rPr>
        <w:t>695,8</w:t>
      </w:r>
      <w:r w:rsidRPr="00993149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  <w:r w:rsidR="00993149" w:rsidRPr="00993149">
        <w:rPr>
          <w:rFonts w:ascii="Times New Roman" w:eastAsia="Calibri" w:hAnsi="Times New Roman" w:cs="Times New Roman"/>
          <w:sz w:val="28"/>
          <w:szCs w:val="28"/>
        </w:rPr>
        <w:t>Проведено финансировани</w:t>
      </w:r>
      <w:r w:rsidR="008445E7">
        <w:rPr>
          <w:rFonts w:ascii="Times New Roman" w:eastAsia="Calibri" w:hAnsi="Times New Roman" w:cs="Times New Roman"/>
          <w:sz w:val="28"/>
          <w:szCs w:val="28"/>
        </w:rPr>
        <w:t>е</w:t>
      </w:r>
      <w:r w:rsidR="00993149" w:rsidRPr="00993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0B84" w:rsidRPr="00993149">
        <w:rPr>
          <w:rFonts w:ascii="Times New Roman" w:hAnsi="Times New Roman" w:cs="Times New Roman"/>
          <w:sz w:val="28"/>
          <w:szCs w:val="28"/>
        </w:rPr>
        <w:t xml:space="preserve"> на организацию уличного освещения</w:t>
      </w:r>
      <w:r w:rsidR="00993149" w:rsidRPr="00993149">
        <w:rPr>
          <w:rFonts w:ascii="Times New Roman" w:hAnsi="Times New Roman" w:cs="Times New Roman"/>
          <w:sz w:val="28"/>
          <w:szCs w:val="28"/>
        </w:rPr>
        <w:t xml:space="preserve"> в сумме 181,5 тыс. рублей и на реализацию мероприяти</w:t>
      </w:r>
      <w:r w:rsidR="008445E7">
        <w:rPr>
          <w:rFonts w:ascii="Times New Roman" w:hAnsi="Times New Roman" w:cs="Times New Roman"/>
          <w:sz w:val="28"/>
          <w:szCs w:val="28"/>
        </w:rPr>
        <w:t>й</w:t>
      </w:r>
      <w:r w:rsidR="00993149" w:rsidRPr="00993149">
        <w:rPr>
          <w:rFonts w:ascii="Times New Roman" w:hAnsi="Times New Roman" w:cs="Times New Roman"/>
          <w:sz w:val="28"/>
          <w:szCs w:val="28"/>
        </w:rPr>
        <w:t xml:space="preserve"> «Народный бюджет» в сумме 84,0 тыс. рублей.</w:t>
      </w:r>
    </w:p>
    <w:p w:rsidR="00FA0B84" w:rsidRPr="00993149" w:rsidRDefault="00993149" w:rsidP="00FA0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3149">
        <w:rPr>
          <w:rFonts w:ascii="Times New Roman" w:hAnsi="Times New Roman" w:cs="Times New Roman"/>
          <w:sz w:val="28"/>
          <w:szCs w:val="28"/>
        </w:rPr>
        <w:t xml:space="preserve"> </w:t>
      </w:r>
      <w:r w:rsidR="00FA0B84" w:rsidRPr="00993149">
        <w:rPr>
          <w:rFonts w:ascii="Times New Roman" w:hAnsi="Times New Roman" w:cs="Times New Roman"/>
          <w:sz w:val="28"/>
          <w:szCs w:val="28"/>
        </w:rPr>
        <w:t xml:space="preserve"> В 2020 году предусматриваются субсидии </w:t>
      </w:r>
      <w:r w:rsidR="00FA0B84" w:rsidRPr="00993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организацию уличного  освещения</w:t>
      </w:r>
      <w:r w:rsidR="00FA0B84" w:rsidRPr="0099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="00FA0B84" w:rsidRPr="00993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обустройство системы уличного освещения</w:t>
      </w:r>
      <w:r w:rsidR="00FA0B84" w:rsidRPr="0099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государственной программы  «Энергоэффективность и развитие газификации на территории  Вологодской области на 2014-2020 годы».</w:t>
      </w:r>
    </w:p>
    <w:p w:rsidR="00FA0B84" w:rsidRPr="009A6DCA" w:rsidRDefault="00FA0B84" w:rsidP="00FA0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F627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</w:p>
    <w:p w:rsidR="00993149" w:rsidRPr="00993149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1F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  <w:proofErr w:type="gramStart"/>
      <w:r w:rsidRPr="006335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Поступление иных межбюджетные трансфертов  в 1 полугодии 20</w:t>
      </w:r>
      <w:r w:rsidR="006335A2" w:rsidRPr="006335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Pr="006335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 </w:t>
      </w:r>
      <w:r w:rsidRPr="00993149">
        <w:rPr>
          <w:rFonts w:ascii="Times New Roman" w:eastAsia="Calibri" w:hAnsi="Times New Roman" w:cs="Times New Roman"/>
          <w:sz w:val="28"/>
          <w:szCs w:val="28"/>
        </w:rPr>
        <w:t xml:space="preserve">составило  </w:t>
      </w:r>
      <w:r w:rsidR="006335A2" w:rsidRPr="00993149">
        <w:rPr>
          <w:rFonts w:ascii="Times New Roman" w:eastAsia="Calibri" w:hAnsi="Times New Roman" w:cs="Times New Roman"/>
          <w:sz w:val="28"/>
          <w:szCs w:val="28"/>
        </w:rPr>
        <w:t>657,1 тыс. рублей</w:t>
      </w:r>
      <w:r w:rsidR="00993149" w:rsidRPr="00993149">
        <w:rPr>
          <w:rFonts w:ascii="Times New Roman" w:eastAsia="Calibri" w:hAnsi="Times New Roman" w:cs="Times New Roman"/>
          <w:sz w:val="28"/>
          <w:szCs w:val="28"/>
        </w:rPr>
        <w:t>,</w:t>
      </w:r>
      <w:r w:rsidR="00993149" w:rsidRPr="00993149">
        <w:rPr>
          <w:rFonts w:ascii="Times New Roman" w:hAnsi="Times New Roman" w:cs="Times New Roman"/>
          <w:sz w:val="28"/>
          <w:szCs w:val="28"/>
        </w:rPr>
        <w:t xml:space="preserve"> </w:t>
      </w:r>
      <w:r w:rsidRPr="00993149">
        <w:rPr>
          <w:rFonts w:ascii="Times New Roman" w:eastAsia="Calibri" w:hAnsi="Times New Roman" w:cs="Times New Roman"/>
          <w:sz w:val="28"/>
          <w:szCs w:val="28"/>
        </w:rPr>
        <w:t xml:space="preserve">в том числе: на осуществление полномочий  по администрированию расходов в сфере дорожной деятельности – </w:t>
      </w:r>
      <w:r w:rsidR="00993149" w:rsidRPr="00993149">
        <w:rPr>
          <w:rFonts w:ascii="Times New Roman" w:eastAsia="Calibri" w:hAnsi="Times New Roman" w:cs="Times New Roman"/>
          <w:sz w:val="28"/>
          <w:szCs w:val="28"/>
        </w:rPr>
        <w:t>1,8</w:t>
      </w:r>
      <w:r w:rsidRPr="00993149">
        <w:rPr>
          <w:rFonts w:ascii="Times New Roman" w:eastAsia="Calibri" w:hAnsi="Times New Roman" w:cs="Times New Roman"/>
          <w:sz w:val="28"/>
          <w:szCs w:val="28"/>
        </w:rPr>
        <w:t xml:space="preserve"> тыс. рублей, на осуществление дорожной деятельности </w:t>
      </w:r>
      <w:r w:rsidRPr="00993149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 между администрацией района и администрацией поселения – </w:t>
      </w:r>
      <w:r w:rsidR="00993149" w:rsidRPr="00993149">
        <w:rPr>
          <w:rFonts w:ascii="Times New Roman" w:hAnsi="Times New Roman" w:cs="Times New Roman"/>
          <w:sz w:val="28"/>
          <w:szCs w:val="28"/>
        </w:rPr>
        <w:t>30,0</w:t>
      </w:r>
      <w:r w:rsidRPr="0099314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93149" w:rsidRPr="00993149">
        <w:rPr>
          <w:rFonts w:ascii="Times New Roman" w:hAnsi="Times New Roman" w:cs="Times New Roman"/>
          <w:sz w:val="28"/>
          <w:szCs w:val="28"/>
        </w:rPr>
        <w:t xml:space="preserve"> и на реализацию расходных обязательств в части заработной платы – 625,3 тыс. рублей.</w:t>
      </w:r>
      <w:proofErr w:type="gramEnd"/>
    </w:p>
    <w:p w:rsidR="003401FB" w:rsidRPr="00993149" w:rsidRDefault="00993149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14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401FB" w:rsidRPr="00993149">
        <w:rPr>
          <w:rFonts w:ascii="Times New Roman" w:eastAsia="Calibri" w:hAnsi="Times New Roman" w:cs="Times New Roman"/>
          <w:sz w:val="28"/>
          <w:szCs w:val="28"/>
        </w:rPr>
        <w:t>По сравнению с 1 полугодием 201</w:t>
      </w:r>
      <w:r w:rsidRPr="00993149">
        <w:rPr>
          <w:rFonts w:ascii="Times New Roman" w:eastAsia="Calibri" w:hAnsi="Times New Roman" w:cs="Times New Roman"/>
          <w:sz w:val="28"/>
          <w:szCs w:val="28"/>
        </w:rPr>
        <w:t>9</w:t>
      </w:r>
      <w:r w:rsidR="003401FB" w:rsidRPr="00993149">
        <w:rPr>
          <w:rFonts w:ascii="Times New Roman" w:eastAsia="Calibri" w:hAnsi="Times New Roman" w:cs="Times New Roman"/>
          <w:sz w:val="28"/>
          <w:szCs w:val="28"/>
        </w:rPr>
        <w:t xml:space="preserve"> года размер иных межбюджетных трансфертов </w:t>
      </w:r>
      <w:r w:rsidRPr="00993149">
        <w:rPr>
          <w:rFonts w:ascii="Times New Roman" w:eastAsia="Calibri" w:hAnsi="Times New Roman" w:cs="Times New Roman"/>
          <w:sz w:val="28"/>
          <w:szCs w:val="28"/>
        </w:rPr>
        <w:t>снизился</w:t>
      </w:r>
      <w:r w:rsidR="003401FB" w:rsidRPr="0099314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993149">
        <w:rPr>
          <w:rFonts w:ascii="Times New Roman" w:eastAsia="Calibri" w:hAnsi="Times New Roman" w:cs="Times New Roman"/>
          <w:sz w:val="28"/>
          <w:szCs w:val="28"/>
        </w:rPr>
        <w:t>325,3</w:t>
      </w:r>
      <w:r w:rsidR="003401FB" w:rsidRPr="00993149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Pr="00993149">
        <w:rPr>
          <w:rFonts w:ascii="Times New Roman" w:eastAsia="Calibri" w:hAnsi="Times New Roman" w:cs="Times New Roman"/>
          <w:sz w:val="28"/>
          <w:szCs w:val="28"/>
        </w:rPr>
        <w:t>на 33,3 процента</w:t>
      </w:r>
      <w:r w:rsidR="003401FB" w:rsidRPr="00993149">
        <w:rPr>
          <w:rFonts w:ascii="Times New Roman" w:eastAsia="Calibri" w:hAnsi="Times New Roman" w:cs="Times New Roman"/>
          <w:sz w:val="28"/>
          <w:szCs w:val="28"/>
        </w:rPr>
        <w:t xml:space="preserve">. Доля иных межбюджетных трансфертов в общем объеме безвозмездных поступлений составила </w:t>
      </w:r>
      <w:r w:rsidRPr="00993149">
        <w:rPr>
          <w:rFonts w:ascii="Times New Roman" w:eastAsia="Calibri" w:hAnsi="Times New Roman" w:cs="Times New Roman"/>
          <w:sz w:val="28"/>
          <w:szCs w:val="28"/>
        </w:rPr>
        <w:t>29,4</w:t>
      </w:r>
      <w:r w:rsidR="003401FB" w:rsidRPr="00993149">
        <w:rPr>
          <w:rFonts w:ascii="Times New Roman" w:eastAsia="Calibri" w:hAnsi="Times New Roman" w:cs="Times New Roman"/>
          <w:sz w:val="28"/>
          <w:szCs w:val="28"/>
        </w:rPr>
        <w:t xml:space="preserve">  процента.</w:t>
      </w:r>
    </w:p>
    <w:p w:rsidR="003401FB" w:rsidRPr="003401FB" w:rsidRDefault="003401FB" w:rsidP="006335A2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01F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</w:p>
    <w:p w:rsidR="003401FB" w:rsidRPr="003401FB" w:rsidRDefault="003401FB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01FB" w:rsidRPr="006335A2" w:rsidRDefault="003401FB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налоговых доходов бюджета поселения проведен анализ объема задолженности плательщиков по налогам по состоянию на 01 января и 01 июля  201</w:t>
      </w:r>
      <w:r w:rsidR="006335A2" w:rsidRPr="006335A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3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на   01 января и  01 июля 20</w:t>
      </w:r>
      <w:r w:rsidR="006335A2" w:rsidRPr="006335A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3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3401FB" w:rsidRPr="006335A2" w:rsidRDefault="003401FB" w:rsidP="003401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401FB" w:rsidRPr="006335A2" w:rsidRDefault="003401FB" w:rsidP="003401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недоимки по налоговым доходам в разрезе источников  образования  представлен в следующей таблице.</w:t>
      </w:r>
    </w:p>
    <w:p w:rsidR="003401FB" w:rsidRPr="003401FB" w:rsidRDefault="003401FB" w:rsidP="003401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01FB" w:rsidRPr="00954285" w:rsidRDefault="003401FB" w:rsidP="003401F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954285">
        <w:rPr>
          <w:rFonts w:ascii="Times New Roman" w:eastAsiaTheme="minorEastAsia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1134"/>
      </w:tblGrid>
      <w:tr w:rsidR="00954285" w:rsidRPr="00954285" w:rsidTr="00BA4821">
        <w:trPr>
          <w:trHeight w:val="1985"/>
        </w:trPr>
        <w:tc>
          <w:tcPr>
            <w:tcW w:w="3227" w:type="dxa"/>
          </w:tcPr>
          <w:p w:rsidR="003401FB" w:rsidRPr="00954285" w:rsidRDefault="003401FB" w:rsidP="003401F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3401FB" w:rsidRPr="00954285" w:rsidRDefault="003401FB" w:rsidP="003401F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</w:t>
            </w:r>
          </w:p>
          <w:p w:rsidR="003401FB" w:rsidRPr="00954285" w:rsidRDefault="003401FB" w:rsidP="003401F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>по состоянию на 01.01.201</w:t>
            </w:r>
            <w:r w:rsidR="006335A2" w:rsidRPr="00954285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  <w:p w:rsidR="003401FB" w:rsidRPr="00954285" w:rsidRDefault="003401FB" w:rsidP="003401F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3401FB" w:rsidRPr="00954285" w:rsidRDefault="003401FB" w:rsidP="006335A2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01.01.20</w:t>
            </w:r>
            <w:r w:rsidR="006335A2" w:rsidRPr="00954285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>года</w:t>
            </w:r>
          </w:p>
        </w:tc>
        <w:tc>
          <w:tcPr>
            <w:tcW w:w="992" w:type="dxa"/>
          </w:tcPr>
          <w:p w:rsidR="003401FB" w:rsidRPr="00954285" w:rsidRDefault="003401FB" w:rsidP="006335A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01.07.201</w:t>
            </w:r>
            <w:r w:rsidR="006335A2" w:rsidRPr="00954285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3401FB" w:rsidRPr="00954285" w:rsidRDefault="003401FB" w:rsidP="006335A2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01.07.20</w:t>
            </w:r>
            <w:r w:rsidR="006335A2" w:rsidRPr="00954285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3401FB" w:rsidRPr="00954285" w:rsidRDefault="003401FB" w:rsidP="006335A2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>Отклонение недоимки   на 01.01.20</w:t>
            </w:r>
            <w:r w:rsidR="006335A2" w:rsidRPr="00954285">
              <w:rPr>
                <w:rFonts w:ascii="Times New Roman" w:eastAsiaTheme="minorEastAsia" w:hAnsi="Times New Roman" w:cs="Times New Roman"/>
                <w:lang w:eastAsia="ru-RU"/>
              </w:rPr>
              <w:t xml:space="preserve">20 </w:t>
            </w:r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>года от 01.01.201</w:t>
            </w:r>
            <w:r w:rsidR="006335A2" w:rsidRPr="00954285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 xml:space="preserve"> года (+увеличение;- уменьшение</w:t>
            </w:r>
            <w:proofErr w:type="gramEnd"/>
          </w:p>
        </w:tc>
        <w:tc>
          <w:tcPr>
            <w:tcW w:w="1134" w:type="dxa"/>
          </w:tcPr>
          <w:p w:rsidR="003401FB" w:rsidRPr="00954285" w:rsidRDefault="003401FB" w:rsidP="006335A2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>Отклонение недоимки на 01.07.20</w:t>
            </w:r>
            <w:r w:rsidR="006335A2" w:rsidRPr="00954285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 xml:space="preserve"> года от 01.07.201</w:t>
            </w:r>
            <w:r w:rsidR="006335A2" w:rsidRPr="00954285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 xml:space="preserve"> года (+-увеличение;- уменьшение)</w:t>
            </w:r>
          </w:p>
        </w:tc>
      </w:tr>
      <w:tr w:rsidR="00954285" w:rsidRPr="00954285" w:rsidTr="00BA4821">
        <w:tc>
          <w:tcPr>
            <w:tcW w:w="3227" w:type="dxa"/>
          </w:tcPr>
          <w:p w:rsidR="003401FB" w:rsidRPr="00954285" w:rsidRDefault="003401FB" w:rsidP="003401F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3401FB" w:rsidRPr="00954285" w:rsidRDefault="003401FB" w:rsidP="003401F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3401FB" w:rsidRPr="00954285" w:rsidRDefault="003401FB" w:rsidP="003401F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3401FB" w:rsidRPr="00954285" w:rsidRDefault="003401FB" w:rsidP="003401FB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3401FB" w:rsidRPr="00954285" w:rsidRDefault="003401FB" w:rsidP="003401FB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3401FB" w:rsidRPr="00954285" w:rsidRDefault="003401FB" w:rsidP="003401F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3401FB" w:rsidRPr="00954285" w:rsidRDefault="003401FB" w:rsidP="003401FB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54285" w:rsidRPr="00954285" w:rsidTr="00BA4821">
        <w:tc>
          <w:tcPr>
            <w:tcW w:w="3227" w:type="dxa"/>
          </w:tcPr>
          <w:p w:rsidR="006335A2" w:rsidRPr="00954285" w:rsidRDefault="006335A2" w:rsidP="003401F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6335A2" w:rsidRPr="00954285" w:rsidRDefault="006335A2" w:rsidP="008D7D1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992" w:type="dxa"/>
          </w:tcPr>
          <w:p w:rsidR="006335A2" w:rsidRPr="00954285" w:rsidRDefault="006335A2" w:rsidP="008D7D1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>0,5</w:t>
            </w:r>
          </w:p>
        </w:tc>
        <w:tc>
          <w:tcPr>
            <w:tcW w:w="992" w:type="dxa"/>
          </w:tcPr>
          <w:p w:rsidR="006335A2" w:rsidRPr="00954285" w:rsidRDefault="006335A2" w:rsidP="008D7D1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>0,8</w:t>
            </w:r>
          </w:p>
        </w:tc>
        <w:tc>
          <w:tcPr>
            <w:tcW w:w="1134" w:type="dxa"/>
          </w:tcPr>
          <w:p w:rsidR="006335A2" w:rsidRPr="00954285" w:rsidRDefault="00823756" w:rsidP="008D7D1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2,1</w:t>
            </w:r>
          </w:p>
        </w:tc>
        <w:tc>
          <w:tcPr>
            <w:tcW w:w="1134" w:type="dxa"/>
          </w:tcPr>
          <w:p w:rsidR="006335A2" w:rsidRPr="00954285" w:rsidRDefault="006335A2" w:rsidP="008D7D1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>0,1</w:t>
            </w:r>
          </w:p>
        </w:tc>
        <w:tc>
          <w:tcPr>
            <w:tcW w:w="1134" w:type="dxa"/>
          </w:tcPr>
          <w:p w:rsidR="006335A2" w:rsidRPr="00954285" w:rsidRDefault="00823756" w:rsidP="003401FB">
            <w:pPr>
              <w:tabs>
                <w:tab w:val="center" w:pos="388"/>
                <w:tab w:val="right" w:pos="777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1,3</w:t>
            </w:r>
          </w:p>
        </w:tc>
      </w:tr>
      <w:tr w:rsidR="00954285" w:rsidRPr="00954285" w:rsidTr="00BA4821">
        <w:tc>
          <w:tcPr>
            <w:tcW w:w="3227" w:type="dxa"/>
          </w:tcPr>
          <w:p w:rsidR="006335A2" w:rsidRPr="00954285" w:rsidRDefault="006335A2" w:rsidP="003401F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6335A2" w:rsidRPr="00954285" w:rsidRDefault="006335A2" w:rsidP="008D7D1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>76,9</w:t>
            </w:r>
          </w:p>
        </w:tc>
        <w:tc>
          <w:tcPr>
            <w:tcW w:w="992" w:type="dxa"/>
          </w:tcPr>
          <w:p w:rsidR="006335A2" w:rsidRPr="00954285" w:rsidRDefault="006335A2" w:rsidP="008D7D1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>11,4</w:t>
            </w:r>
          </w:p>
        </w:tc>
        <w:tc>
          <w:tcPr>
            <w:tcW w:w="992" w:type="dxa"/>
          </w:tcPr>
          <w:p w:rsidR="006335A2" w:rsidRPr="00954285" w:rsidRDefault="006335A2" w:rsidP="008D7D1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>67,0</w:t>
            </w:r>
          </w:p>
        </w:tc>
        <w:tc>
          <w:tcPr>
            <w:tcW w:w="1134" w:type="dxa"/>
          </w:tcPr>
          <w:p w:rsidR="006335A2" w:rsidRPr="00954285" w:rsidRDefault="00823756" w:rsidP="008D7D1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28,7</w:t>
            </w:r>
          </w:p>
        </w:tc>
        <w:tc>
          <w:tcPr>
            <w:tcW w:w="1134" w:type="dxa"/>
          </w:tcPr>
          <w:p w:rsidR="006335A2" w:rsidRPr="00954285" w:rsidRDefault="006335A2" w:rsidP="008D7D1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>-65,5</w:t>
            </w:r>
          </w:p>
        </w:tc>
        <w:tc>
          <w:tcPr>
            <w:tcW w:w="1134" w:type="dxa"/>
          </w:tcPr>
          <w:p w:rsidR="006335A2" w:rsidRPr="00954285" w:rsidRDefault="00823756" w:rsidP="003401F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-38,3</w:t>
            </w:r>
          </w:p>
        </w:tc>
      </w:tr>
      <w:tr w:rsidR="00954285" w:rsidRPr="00954285" w:rsidTr="00BA4821">
        <w:tc>
          <w:tcPr>
            <w:tcW w:w="3227" w:type="dxa"/>
          </w:tcPr>
          <w:p w:rsidR="006335A2" w:rsidRPr="00954285" w:rsidRDefault="006335A2" w:rsidP="003401FB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6335A2" w:rsidRPr="00954285" w:rsidRDefault="006335A2" w:rsidP="008D7D1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>7,3</w:t>
            </w:r>
          </w:p>
        </w:tc>
        <w:tc>
          <w:tcPr>
            <w:tcW w:w="992" w:type="dxa"/>
          </w:tcPr>
          <w:p w:rsidR="006335A2" w:rsidRPr="00954285" w:rsidRDefault="006335A2" w:rsidP="008D7D1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>8,2</w:t>
            </w:r>
          </w:p>
        </w:tc>
        <w:tc>
          <w:tcPr>
            <w:tcW w:w="992" w:type="dxa"/>
          </w:tcPr>
          <w:p w:rsidR="006335A2" w:rsidRPr="00954285" w:rsidRDefault="006335A2" w:rsidP="008D7D1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>8,0</w:t>
            </w:r>
          </w:p>
        </w:tc>
        <w:tc>
          <w:tcPr>
            <w:tcW w:w="1134" w:type="dxa"/>
          </w:tcPr>
          <w:p w:rsidR="006335A2" w:rsidRPr="00954285" w:rsidRDefault="00823756" w:rsidP="008D7D1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13,6</w:t>
            </w:r>
          </w:p>
        </w:tc>
        <w:tc>
          <w:tcPr>
            <w:tcW w:w="1134" w:type="dxa"/>
          </w:tcPr>
          <w:p w:rsidR="006335A2" w:rsidRPr="00954285" w:rsidRDefault="006335A2" w:rsidP="008D7D1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>0,9</w:t>
            </w:r>
          </w:p>
        </w:tc>
        <w:tc>
          <w:tcPr>
            <w:tcW w:w="1134" w:type="dxa"/>
          </w:tcPr>
          <w:p w:rsidR="006335A2" w:rsidRPr="00954285" w:rsidRDefault="00823756" w:rsidP="003401F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5,6</w:t>
            </w:r>
          </w:p>
        </w:tc>
      </w:tr>
      <w:tr w:rsidR="00954285" w:rsidRPr="00954285" w:rsidTr="00BA4821">
        <w:tc>
          <w:tcPr>
            <w:tcW w:w="3227" w:type="dxa"/>
          </w:tcPr>
          <w:p w:rsidR="006335A2" w:rsidRPr="00954285" w:rsidRDefault="006335A2" w:rsidP="003401FB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335A2" w:rsidRPr="00954285" w:rsidRDefault="006335A2" w:rsidP="008D7D1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>84,6</w:t>
            </w:r>
          </w:p>
        </w:tc>
        <w:tc>
          <w:tcPr>
            <w:tcW w:w="992" w:type="dxa"/>
          </w:tcPr>
          <w:p w:rsidR="006335A2" w:rsidRPr="00954285" w:rsidRDefault="006335A2" w:rsidP="008D7D1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>20,1</w:t>
            </w:r>
          </w:p>
        </w:tc>
        <w:tc>
          <w:tcPr>
            <w:tcW w:w="992" w:type="dxa"/>
          </w:tcPr>
          <w:p w:rsidR="006335A2" w:rsidRPr="00954285" w:rsidRDefault="006335A2" w:rsidP="008D7D1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>75,8</w:t>
            </w:r>
          </w:p>
        </w:tc>
        <w:tc>
          <w:tcPr>
            <w:tcW w:w="1134" w:type="dxa"/>
          </w:tcPr>
          <w:p w:rsidR="006335A2" w:rsidRPr="00954285" w:rsidRDefault="00823756" w:rsidP="008D7D1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44,4</w:t>
            </w:r>
          </w:p>
        </w:tc>
        <w:tc>
          <w:tcPr>
            <w:tcW w:w="1134" w:type="dxa"/>
          </w:tcPr>
          <w:p w:rsidR="006335A2" w:rsidRPr="00954285" w:rsidRDefault="006335A2" w:rsidP="008D7D1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4285">
              <w:rPr>
                <w:rFonts w:ascii="Times New Roman" w:eastAsiaTheme="minorEastAsia" w:hAnsi="Times New Roman" w:cs="Times New Roman"/>
                <w:lang w:eastAsia="ru-RU"/>
              </w:rPr>
              <w:t>-64,5</w:t>
            </w:r>
          </w:p>
        </w:tc>
        <w:tc>
          <w:tcPr>
            <w:tcW w:w="1134" w:type="dxa"/>
          </w:tcPr>
          <w:p w:rsidR="006335A2" w:rsidRPr="00954285" w:rsidRDefault="00823756" w:rsidP="003401F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-31,4</w:t>
            </w:r>
          </w:p>
        </w:tc>
      </w:tr>
    </w:tbl>
    <w:p w:rsidR="003401FB" w:rsidRPr="003401F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01F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9931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 рамках вышеприведенного анализа  наблюдается  </w:t>
      </w:r>
      <w:r w:rsidR="00993149" w:rsidRPr="009931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</w:t>
      </w:r>
      <w:r w:rsidRPr="009931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задолженности плательщиков по платежам в бюджет  в сравнении задолженности на 01.01.20</w:t>
      </w:r>
      <w:r w:rsidR="00993149" w:rsidRPr="009931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9931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с аналогичным периодом прошлого года   на </w:t>
      </w:r>
      <w:r w:rsidR="00993149" w:rsidRPr="00993149">
        <w:rPr>
          <w:rFonts w:ascii="Times New Roman" w:eastAsiaTheme="minorEastAsia" w:hAnsi="Times New Roman" w:cs="Times New Roman"/>
          <w:sz w:val="28"/>
          <w:szCs w:val="28"/>
          <w:lang w:eastAsia="ru-RU"/>
        </w:rPr>
        <w:t>64,5</w:t>
      </w:r>
      <w:r w:rsidRPr="009931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93149" w:rsidRPr="00993149">
        <w:rPr>
          <w:rFonts w:ascii="Times New Roman" w:eastAsiaTheme="minorEastAsia" w:hAnsi="Times New Roman" w:cs="Times New Roman"/>
          <w:sz w:val="28"/>
          <w:szCs w:val="28"/>
          <w:lang w:eastAsia="ru-RU"/>
        </w:rPr>
        <w:t>76,2</w:t>
      </w:r>
      <w:r w:rsidRPr="009931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</w:t>
      </w:r>
      <w:r w:rsidRPr="00993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01.07.20</w:t>
      </w:r>
      <w:r w:rsidR="00993149" w:rsidRPr="0099314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9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993149" w:rsidRPr="00993149">
        <w:rPr>
          <w:rFonts w:ascii="Times New Roman" w:eastAsia="Times New Roman" w:hAnsi="Times New Roman" w:cs="Times New Roman"/>
          <w:sz w:val="28"/>
          <w:szCs w:val="28"/>
          <w:lang w:eastAsia="ru-RU"/>
        </w:rPr>
        <w:t>31,4</w:t>
      </w:r>
      <w:r w:rsidRPr="0099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proofErr w:type="gramStart"/>
      <w:r w:rsidRPr="00993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9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149" w:rsidRPr="00993149">
        <w:rPr>
          <w:rFonts w:ascii="Times New Roman" w:eastAsia="Times New Roman" w:hAnsi="Times New Roman" w:cs="Times New Roman"/>
          <w:sz w:val="28"/>
          <w:szCs w:val="28"/>
          <w:lang w:eastAsia="ru-RU"/>
        </w:rPr>
        <w:t>41,4</w:t>
      </w:r>
      <w:r w:rsidRPr="0099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proofErr w:type="gramStart"/>
      <w:r w:rsidRPr="009931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93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в разрезе налоговых источников:</w:t>
      </w:r>
    </w:p>
    <w:p w:rsidR="0031234C" w:rsidRPr="0031234C" w:rsidRDefault="00993149" w:rsidP="003401F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НДФЛ увеличение  на 1,3 тыс. рублей, или в 2,6 раза</w:t>
      </w:r>
      <w:r w:rsidR="0031234C"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01FB" w:rsidRPr="0031234C" w:rsidRDefault="0031234C" w:rsidP="003123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93149"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1FB"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 налогу на имущество физических лиц</w:t>
      </w:r>
      <w:r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</w:t>
      </w:r>
      <w:r w:rsidR="003401FB"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7F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7F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57,2</w:t>
      </w:r>
      <w:r w:rsidR="003401FB"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3401FB" w:rsidRPr="0031234C" w:rsidRDefault="003401FB" w:rsidP="003401F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земельному налогу </w:t>
      </w:r>
      <w:r w:rsidR="0031234C"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 w:rsidR="0031234C"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>5,6</w:t>
      </w:r>
      <w:r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1234C"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>70,0</w:t>
      </w:r>
      <w:r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31234C"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3401FB" w:rsidRPr="0031234C" w:rsidRDefault="003401FB" w:rsidP="00340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Из имеющихся данных на 01.07.20</w:t>
      </w:r>
      <w:r w:rsidR="0031234C"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налог на имущество  физических лиц – </w:t>
      </w:r>
      <w:r w:rsidR="0031234C"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>64,7</w:t>
      </w:r>
      <w:r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общей суммы недоимки, на втором месте  задолженность по земельному налогу – </w:t>
      </w:r>
      <w:r w:rsidR="0031234C"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>30,6</w:t>
      </w:r>
      <w:r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на третьем  и последнем месте – задолженность по НДФЛ -</w:t>
      </w:r>
      <w:r w:rsidR="0031234C"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4,7</w:t>
      </w:r>
      <w:r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</w:t>
      </w:r>
    </w:p>
    <w:p w:rsidR="003401FB" w:rsidRPr="0031234C" w:rsidRDefault="003401FB" w:rsidP="003401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1FB" w:rsidRPr="0031234C" w:rsidRDefault="003401FB" w:rsidP="003401F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123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Расходы бюджета поселения</w:t>
      </w:r>
    </w:p>
    <w:p w:rsidR="003401FB" w:rsidRPr="003401FB" w:rsidRDefault="003401FB" w:rsidP="003401F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3401FB" w:rsidRPr="004C4BB2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B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поселения за 1 полугодие 20</w:t>
      </w:r>
      <w:r w:rsidR="0031234C" w:rsidRPr="004C4BB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C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исполнены в сумме </w:t>
      </w:r>
      <w:r w:rsidR="004C4BB2" w:rsidRPr="004C4BB2">
        <w:rPr>
          <w:rFonts w:ascii="Times New Roman" w:eastAsia="Times New Roman" w:hAnsi="Times New Roman" w:cs="Times New Roman"/>
          <w:sz w:val="28"/>
          <w:szCs w:val="28"/>
          <w:lang w:eastAsia="ru-RU"/>
        </w:rPr>
        <w:t>2246,1</w:t>
      </w:r>
      <w:r w:rsidRPr="004C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C4BB2" w:rsidRPr="004C4BB2">
        <w:rPr>
          <w:rFonts w:ascii="Times New Roman" w:eastAsia="Times New Roman" w:hAnsi="Times New Roman" w:cs="Times New Roman"/>
          <w:sz w:val="28"/>
          <w:szCs w:val="28"/>
          <w:lang w:eastAsia="ru-RU"/>
        </w:rPr>
        <w:t>40,8</w:t>
      </w:r>
      <w:r w:rsidRPr="004C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 сумме </w:t>
      </w:r>
      <w:r w:rsidR="004C4BB2" w:rsidRPr="004C4BB2">
        <w:rPr>
          <w:rFonts w:ascii="Times New Roman" w:eastAsia="Times New Roman" w:hAnsi="Times New Roman" w:cs="Times New Roman"/>
          <w:sz w:val="28"/>
          <w:szCs w:val="28"/>
          <w:lang w:eastAsia="ru-RU"/>
        </w:rPr>
        <w:t>5510,3</w:t>
      </w:r>
      <w:r w:rsidRPr="004C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201</w:t>
      </w:r>
      <w:r w:rsidR="004C4BB2" w:rsidRPr="004C4B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C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расходы у</w:t>
      </w:r>
      <w:r w:rsidR="004C4BB2" w:rsidRPr="004C4B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4C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C4BB2" w:rsidRPr="004C4BB2">
        <w:rPr>
          <w:rFonts w:ascii="Times New Roman" w:eastAsia="Times New Roman" w:hAnsi="Times New Roman" w:cs="Times New Roman"/>
          <w:sz w:val="28"/>
          <w:szCs w:val="28"/>
          <w:lang w:eastAsia="ru-RU"/>
        </w:rPr>
        <w:t>592,8</w:t>
      </w:r>
      <w:r w:rsidRPr="004C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4C4BB2" w:rsidRPr="004C4BB2">
        <w:rPr>
          <w:rFonts w:ascii="Times New Roman" w:eastAsia="Times New Roman" w:hAnsi="Times New Roman" w:cs="Times New Roman"/>
          <w:sz w:val="28"/>
          <w:szCs w:val="28"/>
          <w:lang w:eastAsia="ru-RU"/>
        </w:rPr>
        <w:t>20,9</w:t>
      </w:r>
      <w:r w:rsidRPr="004C4BB2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3401FB" w:rsidRPr="004C4BB2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1FB" w:rsidRPr="004C4BB2" w:rsidRDefault="003401FB" w:rsidP="003401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4BB2">
        <w:rPr>
          <w:rFonts w:ascii="Times New Roman" w:eastAsia="Calibri" w:hAnsi="Times New Roman" w:cs="Times New Roman"/>
          <w:sz w:val="28"/>
          <w:szCs w:val="28"/>
        </w:rPr>
        <w:t xml:space="preserve">         Структура  исполнения бюджета поселения по расходам в сравнении с 1 полугодием 201</w:t>
      </w:r>
      <w:r w:rsidR="004C4BB2" w:rsidRPr="004C4BB2">
        <w:rPr>
          <w:rFonts w:ascii="Times New Roman" w:eastAsia="Calibri" w:hAnsi="Times New Roman" w:cs="Times New Roman"/>
          <w:sz w:val="28"/>
          <w:szCs w:val="28"/>
        </w:rPr>
        <w:t>9</w:t>
      </w:r>
      <w:r w:rsidRPr="004C4BB2">
        <w:rPr>
          <w:rFonts w:ascii="Times New Roman" w:eastAsia="Calibri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3401FB" w:rsidRPr="004C4BB2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4C4BB2">
        <w:rPr>
          <w:rFonts w:ascii="Times New Roman" w:eastAsia="Times New Roman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4C4BB2">
        <w:rPr>
          <w:rFonts w:ascii="Times New Roman" w:eastAsia="Times New Roman" w:hAnsi="Times New Roman" w:cs="Times New Roman"/>
          <w:noProof/>
          <w:lang w:eastAsia="ru-RU"/>
        </w:rPr>
        <w:t>тыс. руб.</w:t>
      </w:r>
    </w:p>
    <w:p w:rsidR="003401FB" w:rsidRPr="003401FB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lang w:eastAsia="ru-RU"/>
        </w:rPr>
      </w:pPr>
    </w:p>
    <w:p w:rsidR="003401FB" w:rsidRPr="003401FB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lang w:eastAsia="ru-RU"/>
        </w:rPr>
      </w:pPr>
    </w:p>
    <w:p w:rsidR="003401FB" w:rsidRPr="003401FB" w:rsidRDefault="004C4BB2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BE00EC2" wp14:editId="1DA2F235">
            <wp:extent cx="6105525" cy="516255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401FB" w:rsidRPr="003401FB" w:rsidRDefault="003401FB" w:rsidP="00340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01FB" w:rsidRPr="00A065F5" w:rsidRDefault="003401FB" w:rsidP="00340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Расходы   бюджета поселения на социальную сферу за последний год снизились. На социальную сферу направлено </w:t>
      </w:r>
      <w:r w:rsidR="004C4BB2" w:rsidRPr="00A065F5">
        <w:rPr>
          <w:rFonts w:ascii="Times New Roman" w:eastAsia="Times New Roman" w:hAnsi="Times New Roman" w:cs="Times New Roman"/>
          <w:sz w:val="28"/>
          <w:szCs w:val="28"/>
          <w:lang w:eastAsia="ru-RU"/>
        </w:rPr>
        <w:t>782,6</w:t>
      </w:r>
      <w:r w:rsidRPr="00A0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C4BB2" w:rsidRPr="00A065F5">
        <w:rPr>
          <w:rFonts w:ascii="Times New Roman" w:eastAsia="Times New Roman" w:hAnsi="Times New Roman" w:cs="Times New Roman"/>
          <w:sz w:val="28"/>
          <w:szCs w:val="28"/>
          <w:lang w:eastAsia="ru-RU"/>
        </w:rPr>
        <w:t>49,3</w:t>
      </w:r>
      <w:r w:rsidRPr="00A065F5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утвержденным годовым назначениям. По сравнению с 1 полугодием 201</w:t>
      </w:r>
      <w:r w:rsidR="004C4BB2" w:rsidRPr="00A065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0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4C4BB2" w:rsidRPr="00A065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снизились</w:t>
      </w:r>
      <w:r w:rsidRPr="00A0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C4BB2" w:rsidRPr="00A065F5">
        <w:rPr>
          <w:rFonts w:ascii="Times New Roman" w:eastAsia="Times New Roman" w:hAnsi="Times New Roman" w:cs="Times New Roman"/>
          <w:sz w:val="28"/>
          <w:szCs w:val="28"/>
          <w:lang w:eastAsia="ru-RU"/>
        </w:rPr>
        <w:t>47,1</w:t>
      </w:r>
      <w:r w:rsidRPr="00A0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4C4BB2" w:rsidRPr="00A065F5">
        <w:rPr>
          <w:rFonts w:ascii="Times New Roman" w:eastAsia="Times New Roman" w:hAnsi="Times New Roman" w:cs="Times New Roman"/>
          <w:sz w:val="28"/>
          <w:szCs w:val="28"/>
          <w:lang w:eastAsia="ru-RU"/>
        </w:rPr>
        <w:t>5,7</w:t>
      </w:r>
      <w:r w:rsidRPr="00A0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  их доля  в расходах бюджета поселения </w:t>
      </w:r>
      <w:r w:rsidR="004C4BB2" w:rsidRPr="00A065F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</w:t>
      </w:r>
      <w:r w:rsidRPr="00A0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4C4BB2" w:rsidRPr="00A065F5">
        <w:rPr>
          <w:rFonts w:ascii="Times New Roman" w:eastAsia="Times New Roman" w:hAnsi="Times New Roman" w:cs="Times New Roman"/>
          <w:sz w:val="28"/>
          <w:szCs w:val="28"/>
          <w:lang w:eastAsia="ru-RU"/>
        </w:rPr>
        <w:t>29,2</w:t>
      </w:r>
      <w:r w:rsidRPr="00A0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4C4BB2" w:rsidRPr="00A065F5">
        <w:rPr>
          <w:rFonts w:ascii="Times New Roman" w:eastAsia="Times New Roman" w:hAnsi="Times New Roman" w:cs="Times New Roman"/>
          <w:sz w:val="28"/>
          <w:szCs w:val="28"/>
          <w:lang w:eastAsia="ru-RU"/>
        </w:rPr>
        <w:t>34,8</w:t>
      </w:r>
      <w:r w:rsidRPr="00A0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процентов. </w:t>
      </w:r>
    </w:p>
    <w:p w:rsidR="003401FB" w:rsidRPr="00A065F5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Наибольший удельный вес в расходах бюджета поселения занимают расходы  по разделам: «Общегосударственные вопросы» -</w:t>
      </w:r>
      <w:r w:rsidR="00A065F5" w:rsidRPr="00A065F5">
        <w:rPr>
          <w:rFonts w:ascii="Times New Roman" w:eastAsia="Times New Roman" w:hAnsi="Times New Roman" w:cs="Times New Roman"/>
          <w:sz w:val="28"/>
          <w:szCs w:val="28"/>
          <w:lang w:eastAsia="ru-RU"/>
        </w:rPr>
        <w:t>52,0</w:t>
      </w:r>
      <w:r w:rsidRPr="00A0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«Физическая культура и спорт» -</w:t>
      </w:r>
      <w:r w:rsidR="00A065F5" w:rsidRPr="00A065F5">
        <w:rPr>
          <w:rFonts w:ascii="Times New Roman" w:eastAsia="Times New Roman" w:hAnsi="Times New Roman" w:cs="Times New Roman"/>
          <w:sz w:val="28"/>
          <w:szCs w:val="28"/>
          <w:lang w:eastAsia="ru-RU"/>
        </w:rPr>
        <w:t>31,9</w:t>
      </w:r>
      <w:r w:rsidRPr="00A0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«Жилищно-коммунальное хозяйство» - </w:t>
      </w:r>
      <w:r w:rsidR="00A065F5" w:rsidRPr="00A065F5">
        <w:rPr>
          <w:rFonts w:ascii="Times New Roman" w:eastAsia="Times New Roman" w:hAnsi="Times New Roman" w:cs="Times New Roman"/>
          <w:sz w:val="28"/>
          <w:szCs w:val="28"/>
          <w:lang w:eastAsia="ru-RU"/>
        </w:rPr>
        <w:t>9,7</w:t>
      </w:r>
      <w:r w:rsidRPr="00A0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«Социальная политика» - </w:t>
      </w:r>
      <w:r w:rsidR="00A065F5" w:rsidRPr="00A065F5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Pr="00A065F5">
        <w:rPr>
          <w:rFonts w:ascii="Times New Roman" w:eastAsia="Times New Roman" w:hAnsi="Times New Roman" w:cs="Times New Roman"/>
          <w:sz w:val="28"/>
          <w:szCs w:val="28"/>
          <w:lang w:eastAsia="ru-RU"/>
        </w:rPr>
        <w:t>%. По остальным разделам:  «Национальная оборона» и «Национальная экономика» - всего 3,</w:t>
      </w:r>
      <w:r w:rsidR="00A065F5" w:rsidRPr="00A065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6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</w:t>
      </w:r>
    </w:p>
    <w:p w:rsidR="003401FB" w:rsidRPr="003401F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D552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 расходов бюджета поселения за 1 полугодие 20</w:t>
      </w:r>
      <w:r w:rsidR="00114D0F" w:rsidRPr="00D5527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55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отражена на диаграмме:</w:t>
      </w:r>
    </w:p>
    <w:p w:rsidR="003401F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5278" w:rsidRDefault="00D55278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5278" w:rsidRDefault="00D55278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5278" w:rsidRDefault="00D55278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5278" w:rsidRDefault="00D55278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5278" w:rsidRPr="003401FB" w:rsidRDefault="00D55278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01FB" w:rsidRPr="003401FB" w:rsidRDefault="00D55278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E2EC57" wp14:editId="1D91B3AD">
            <wp:extent cx="6119495" cy="3980293"/>
            <wp:effectExtent l="0" t="0" r="52705" b="2032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401FB" w:rsidRPr="003401F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5278" w:rsidRPr="0085112E" w:rsidRDefault="00D55278" w:rsidP="00D5527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255D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 </w:t>
      </w:r>
      <w:r w:rsidRPr="008511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отчетного периода не производились расходы, предусмотренные решением о бюджете, по разделам «Национальная безопасность и пра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воохранительная деятельность»  и </w:t>
      </w:r>
      <w:r w:rsidRPr="0085112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«Образование</w:t>
      </w:r>
      <w:r w:rsidR="00DC222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8511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D55278" w:rsidRPr="0085112E" w:rsidRDefault="00D55278" w:rsidP="00D5527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11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данным разделам предусмотрены бюджетные ассигнования на проведение мероприятий по молодежной политике и оздоровлению детей, на проведение мероприятий пожарной безопасности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8511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8511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Туровецкое.</w:t>
      </w:r>
    </w:p>
    <w:p w:rsidR="00D55278" w:rsidRPr="00A751BD" w:rsidRDefault="00D55278" w:rsidP="00D5527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51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всем  разделам классификации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кроме </w:t>
      </w:r>
      <w:r w:rsidRPr="00A751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разделам «Национальная оборона» и «Физическая культура и спорт»</w:t>
      </w:r>
      <w:r w:rsidRPr="00A751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уровень исполнения к годовым назначениям выше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50,0</w:t>
      </w:r>
      <w:r w:rsidRPr="00A751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</w:t>
      </w:r>
    </w:p>
    <w:p w:rsidR="00D55278" w:rsidRDefault="00D55278" w:rsidP="00D5527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51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D55278" w:rsidRDefault="00D55278" w:rsidP="00D5527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D5527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и исполненные показатели бюджета поселения по разделам приведены в таблице 5.</w:t>
      </w:r>
    </w:p>
    <w:p w:rsidR="003401F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234C" w:rsidRDefault="0031234C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234C" w:rsidRPr="003401FB" w:rsidRDefault="0031234C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01FB" w:rsidRPr="0031234C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1234C">
        <w:rPr>
          <w:rFonts w:ascii="Times New Roman" w:eastAsia="Times New Roman" w:hAnsi="Times New Roman" w:cs="Times New Roman"/>
          <w:lang w:eastAsia="ru-RU"/>
        </w:rPr>
        <w:t>Таблица 5</w:t>
      </w:r>
      <w:r w:rsidRPr="0031234C">
        <w:rPr>
          <w:rFonts w:ascii="Times New Roman" w:eastAsia="Times New Roman" w:hAnsi="Times New Roman" w:cs="Times New Roman"/>
          <w:lang w:eastAsia="ru-RU"/>
        </w:rPr>
        <w:tab/>
      </w:r>
      <w:r w:rsidRPr="0031234C">
        <w:rPr>
          <w:rFonts w:ascii="Times New Roman" w:eastAsia="Times New Roman" w:hAnsi="Times New Roman" w:cs="Times New Roman"/>
          <w:lang w:eastAsia="ru-RU"/>
        </w:rPr>
        <w:tab/>
      </w:r>
      <w:r w:rsidRPr="0031234C">
        <w:rPr>
          <w:rFonts w:ascii="Times New Roman" w:eastAsia="Times New Roman" w:hAnsi="Times New Roman" w:cs="Times New Roman"/>
          <w:lang w:eastAsia="ru-RU"/>
        </w:rPr>
        <w:tab/>
      </w:r>
      <w:r w:rsidRPr="0031234C">
        <w:rPr>
          <w:rFonts w:ascii="Times New Roman" w:eastAsia="Times New Roman" w:hAnsi="Times New Roman" w:cs="Times New Roman"/>
          <w:lang w:eastAsia="ru-RU"/>
        </w:rPr>
        <w:tab/>
      </w:r>
      <w:r w:rsidRPr="0031234C">
        <w:rPr>
          <w:rFonts w:ascii="Times New Roman" w:eastAsia="Times New Roman" w:hAnsi="Times New Roman" w:cs="Times New Roman"/>
          <w:lang w:eastAsia="ru-RU"/>
        </w:rPr>
        <w:tab/>
      </w:r>
      <w:r w:rsidRPr="0031234C">
        <w:rPr>
          <w:rFonts w:ascii="Times New Roman" w:eastAsia="Times New Roman" w:hAnsi="Times New Roman" w:cs="Times New Roman"/>
          <w:lang w:eastAsia="ru-RU"/>
        </w:rPr>
        <w:tab/>
      </w:r>
      <w:r w:rsidRPr="0031234C">
        <w:rPr>
          <w:rFonts w:ascii="Times New Roman" w:eastAsia="Times New Roman" w:hAnsi="Times New Roman" w:cs="Times New Roman"/>
          <w:lang w:eastAsia="ru-RU"/>
        </w:rPr>
        <w:tab/>
      </w:r>
      <w:r w:rsidRPr="0031234C">
        <w:rPr>
          <w:rFonts w:ascii="Times New Roman" w:eastAsia="Times New Roman" w:hAnsi="Times New Roman" w:cs="Times New Roman"/>
          <w:lang w:eastAsia="ru-RU"/>
        </w:rPr>
        <w:tab/>
        <w:t xml:space="preserve">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1077"/>
        <w:gridCol w:w="1133"/>
        <w:gridCol w:w="1173"/>
        <w:gridCol w:w="1077"/>
        <w:gridCol w:w="1133"/>
        <w:gridCol w:w="1191"/>
        <w:gridCol w:w="1077"/>
      </w:tblGrid>
      <w:tr w:rsidR="004C4BB2" w:rsidRPr="0031234C" w:rsidTr="00BA4821">
        <w:trPr>
          <w:trHeight w:val="970"/>
        </w:trPr>
        <w:tc>
          <w:tcPr>
            <w:tcW w:w="1992" w:type="dxa"/>
          </w:tcPr>
          <w:p w:rsidR="003401FB" w:rsidRPr="0031234C" w:rsidRDefault="003401FB" w:rsidP="00340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1077" w:type="dxa"/>
          </w:tcPr>
          <w:p w:rsidR="003401FB" w:rsidRPr="0031234C" w:rsidRDefault="003401FB" w:rsidP="003401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1234C">
              <w:rPr>
                <w:rFonts w:ascii="Times New Roman" w:eastAsia="Calibri" w:hAnsi="Times New Roman" w:cs="Times New Roman"/>
                <w:lang w:eastAsia="ru-RU"/>
              </w:rPr>
              <w:t>Исполнено в   1 полугодии</w:t>
            </w:r>
          </w:p>
          <w:p w:rsidR="003401FB" w:rsidRPr="0031234C" w:rsidRDefault="003401FB" w:rsidP="003123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4C">
              <w:rPr>
                <w:rFonts w:ascii="Times New Roman" w:eastAsia="Calibri" w:hAnsi="Times New Roman" w:cs="Times New Roman"/>
                <w:lang w:eastAsia="ru-RU"/>
              </w:rPr>
              <w:t>201</w:t>
            </w:r>
            <w:r w:rsidR="0031234C" w:rsidRPr="0031234C"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Pr="0031234C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3" w:type="dxa"/>
          </w:tcPr>
          <w:p w:rsidR="003401FB" w:rsidRPr="0031234C" w:rsidRDefault="003401FB" w:rsidP="00340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</w:t>
            </w:r>
          </w:p>
          <w:p w:rsidR="003401FB" w:rsidRPr="0031234C" w:rsidRDefault="003401FB" w:rsidP="00340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  <w:tc>
          <w:tcPr>
            <w:tcW w:w="1173" w:type="dxa"/>
          </w:tcPr>
          <w:p w:rsidR="003401FB" w:rsidRPr="0031234C" w:rsidRDefault="003401FB" w:rsidP="003123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lang w:eastAsia="ru-RU"/>
              </w:rPr>
              <w:t>Утверждено в бюджете на 20</w:t>
            </w:r>
            <w:r w:rsidR="0031234C" w:rsidRPr="0031234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31234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77" w:type="dxa"/>
          </w:tcPr>
          <w:p w:rsidR="003401FB" w:rsidRPr="0031234C" w:rsidRDefault="003401FB" w:rsidP="003401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1234C">
              <w:rPr>
                <w:rFonts w:ascii="Times New Roman" w:eastAsia="Calibri" w:hAnsi="Times New Roman" w:cs="Times New Roman"/>
                <w:lang w:eastAsia="ru-RU"/>
              </w:rPr>
              <w:t>Исполнено в 1</w:t>
            </w:r>
          </w:p>
          <w:p w:rsidR="003401FB" w:rsidRPr="0031234C" w:rsidRDefault="003401FB" w:rsidP="003401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31234C">
              <w:rPr>
                <w:rFonts w:ascii="Times New Roman" w:eastAsia="Calibri" w:hAnsi="Times New Roman" w:cs="Times New Roman"/>
                <w:lang w:eastAsia="ru-RU"/>
              </w:rPr>
              <w:t>полугодии</w:t>
            </w:r>
            <w:proofErr w:type="gramEnd"/>
          </w:p>
          <w:p w:rsidR="003401FB" w:rsidRPr="0031234C" w:rsidRDefault="003401FB" w:rsidP="003123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1234C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="0031234C" w:rsidRPr="0031234C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Pr="0031234C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33" w:type="dxa"/>
          </w:tcPr>
          <w:p w:rsidR="003401FB" w:rsidRPr="0031234C" w:rsidRDefault="003401FB" w:rsidP="00340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</w:t>
            </w:r>
          </w:p>
          <w:p w:rsidR="003401FB" w:rsidRPr="0031234C" w:rsidRDefault="003401FB" w:rsidP="00340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  <w:tc>
          <w:tcPr>
            <w:tcW w:w="1191" w:type="dxa"/>
          </w:tcPr>
          <w:p w:rsidR="003401FB" w:rsidRPr="0031234C" w:rsidRDefault="003401FB" w:rsidP="003401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1234C">
              <w:rPr>
                <w:rFonts w:ascii="Times New Roman" w:eastAsia="Calibri" w:hAnsi="Times New Roman" w:cs="Times New Roman"/>
                <w:lang w:eastAsia="ru-RU"/>
              </w:rPr>
              <w:t>Абсолютное</w:t>
            </w:r>
          </w:p>
          <w:p w:rsidR="003401FB" w:rsidRPr="0031234C" w:rsidRDefault="003401FB" w:rsidP="003401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1234C">
              <w:rPr>
                <w:rFonts w:ascii="Times New Roman" w:eastAsia="Calibri" w:hAnsi="Times New Roman" w:cs="Times New Roman"/>
                <w:lang w:eastAsia="ru-RU"/>
              </w:rPr>
              <w:t>отклонение 1</w:t>
            </w:r>
          </w:p>
          <w:p w:rsidR="003401FB" w:rsidRPr="0031234C" w:rsidRDefault="003401FB" w:rsidP="003401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1234C">
              <w:rPr>
                <w:rFonts w:ascii="Times New Roman" w:eastAsia="Calibri" w:hAnsi="Times New Roman" w:cs="Times New Roman"/>
                <w:lang w:eastAsia="ru-RU"/>
              </w:rPr>
              <w:t>полугодия 20</w:t>
            </w:r>
            <w:r w:rsidR="0031234C" w:rsidRPr="0031234C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  <w:p w:rsidR="003401FB" w:rsidRPr="0031234C" w:rsidRDefault="003401FB" w:rsidP="003401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1234C">
              <w:rPr>
                <w:rFonts w:ascii="Times New Roman" w:eastAsia="Calibri" w:hAnsi="Times New Roman" w:cs="Times New Roman"/>
                <w:lang w:eastAsia="ru-RU"/>
              </w:rPr>
              <w:lastRenderedPageBreak/>
              <w:t>года от 1</w:t>
            </w:r>
          </w:p>
          <w:p w:rsidR="003401FB" w:rsidRPr="0031234C" w:rsidRDefault="003401FB" w:rsidP="003401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1234C">
              <w:rPr>
                <w:rFonts w:ascii="Times New Roman" w:eastAsia="Calibri" w:hAnsi="Times New Roman" w:cs="Times New Roman"/>
                <w:lang w:eastAsia="ru-RU"/>
              </w:rPr>
              <w:t>полугодия 201</w:t>
            </w:r>
            <w:r w:rsidR="0031234C" w:rsidRPr="0031234C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  <w:p w:rsidR="003401FB" w:rsidRPr="0031234C" w:rsidRDefault="003401FB" w:rsidP="003401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1234C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  <w:p w:rsidR="003401FB" w:rsidRPr="0031234C" w:rsidRDefault="003401FB" w:rsidP="00340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</w:tcPr>
          <w:p w:rsidR="003401FB" w:rsidRPr="0031234C" w:rsidRDefault="003401FB" w:rsidP="003401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1234C">
              <w:rPr>
                <w:rFonts w:ascii="Times New Roman" w:eastAsia="Calibri" w:hAnsi="Times New Roman" w:cs="Times New Roman"/>
                <w:lang w:eastAsia="ru-RU"/>
              </w:rPr>
              <w:lastRenderedPageBreak/>
              <w:t>Исполнено</w:t>
            </w:r>
          </w:p>
          <w:p w:rsidR="003401FB" w:rsidRPr="0031234C" w:rsidRDefault="003401FB" w:rsidP="003401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1234C">
              <w:rPr>
                <w:rFonts w:ascii="Times New Roman" w:eastAsia="Calibri" w:hAnsi="Times New Roman" w:cs="Times New Roman"/>
                <w:lang w:eastAsia="ru-RU"/>
              </w:rPr>
              <w:t>к уровню 1</w:t>
            </w:r>
          </w:p>
          <w:p w:rsidR="003401FB" w:rsidRPr="0031234C" w:rsidRDefault="003401FB" w:rsidP="003401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1234C">
              <w:rPr>
                <w:rFonts w:ascii="Times New Roman" w:eastAsia="Calibri" w:hAnsi="Times New Roman" w:cs="Times New Roman"/>
                <w:lang w:eastAsia="ru-RU"/>
              </w:rPr>
              <w:t>полугод</w:t>
            </w:r>
            <w:r w:rsidRPr="0031234C">
              <w:rPr>
                <w:rFonts w:ascii="Times New Roman" w:eastAsia="Calibri" w:hAnsi="Times New Roman" w:cs="Times New Roman"/>
                <w:lang w:eastAsia="ru-RU"/>
              </w:rPr>
              <w:lastRenderedPageBreak/>
              <w:t>ия</w:t>
            </w:r>
          </w:p>
          <w:p w:rsidR="003401FB" w:rsidRPr="0031234C" w:rsidRDefault="003401FB" w:rsidP="003123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4C">
              <w:rPr>
                <w:rFonts w:ascii="Times New Roman" w:eastAsia="Calibri" w:hAnsi="Times New Roman" w:cs="Times New Roman"/>
                <w:lang w:eastAsia="ru-RU"/>
              </w:rPr>
              <w:t>201</w:t>
            </w:r>
            <w:r w:rsidR="0031234C" w:rsidRPr="0031234C"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Pr="0031234C">
              <w:rPr>
                <w:rFonts w:ascii="Times New Roman" w:eastAsia="Calibri" w:hAnsi="Times New Roman" w:cs="Times New Roman"/>
                <w:lang w:eastAsia="ru-RU"/>
              </w:rPr>
              <w:t xml:space="preserve"> года,%</w:t>
            </w:r>
          </w:p>
        </w:tc>
      </w:tr>
      <w:tr w:rsidR="004C4BB2" w:rsidRPr="0031234C" w:rsidTr="00BA4821">
        <w:tc>
          <w:tcPr>
            <w:tcW w:w="1992" w:type="dxa"/>
          </w:tcPr>
          <w:p w:rsidR="0031234C" w:rsidRPr="0031234C" w:rsidRDefault="0031234C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077" w:type="dxa"/>
          </w:tcPr>
          <w:p w:rsidR="0031234C" w:rsidRPr="0031234C" w:rsidRDefault="0031234C" w:rsidP="008D7D1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lang w:eastAsia="ru-RU"/>
              </w:rPr>
              <w:t>1587,8</w:t>
            </w:r>
          </w:p>
        </w:tc>
        <w:tc>
          <w:tcPr>
            <w:tcW w:w="1133" w:type="dxa"/>
          </w:tcPr>
          <w:p w:rsidR="0031234C" w:rsidRPr="0031234C" w:rsidRDefault="0031234C" w:rsidP="008D7D1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lang w:eastAsia="ru-RU"/>
              </w:rPr>
              <w:t>60,3</w:t>
            </w:r>
          </w:p>
        </w:tc>
        <w:tc>
          <w:tcPr>
            <w:tcW w:w="1173" w:type="dxa"/>
          </w:tcPr>
          <w:p w:rsidR="0031234C" w:rsidRPr="0031234C" w:rsidRDefault="0031234C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2519,2</w:t>
            </w:r>
          </w:p>
        </w:tc>
        <w:tc>
          <w:tcPr>
            <w:tcW w:w="1077" w:type="dxa"/>
          </w:tcPr>
          <w:p w:rsidR="0031234C" w:rsidRPr="0031234C" w:rsidRDefault="0031234C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1168,4</w:t>
            </w:r>
          </w:p>
        </w:tc>
        <w:tc>
          <w:tcPr>
            <w:tcW w:w="1133" w:type="dxa"/>
          </w:tcPr>
          <w:p w:rsidR="0031234C" w:rsidRPr="0031234C" w:rsidRDefault="0031234C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46,4</w:t>
            </w:r>
          </w:p>
        </w:tc>
        <w:tc>
          <w:tcPr>
            <w:tcW w:w="1191" w:type="dxa"/>
          </w:tcPr>
          <w:p w:rsidR="0031234C" w:rsidRPr="0031234C" w:rsidRDefault="00257C3E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31234C">
              <w:rPr>
                <w:rFonts w:ascii="Times New Roman" w:eastAsia="Times New Roman" w:hAnsi="Times New Roman" w:cs="Times New Roman"/>
                <w:lang w:eastAsia="ru-RU"/>
              </w:rPr>
              <w:t>419,4</w:t>
            </w:r>
          </w:p>
        </w:tc>
        <w:tc>
          <w:tcPr>
            <w:tcW w:w="1077" w:type="dxa"/>
          </w:tcPr>
          <w:p w:rsidR="0031234C" w:rsidRPr="0031234C" w:rsidRDefault="0031234C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73,6</w:t>
            </w:r>
          </w:p>
        </w:tc>
      </w:tr>
      <w:tr w:rsidR="004C4BB2" w:rsidRPr="0031234C" w:rsidTr="00BA4821">
        <w:tc>
          <w:tcPr>
            <w:tcW w:w="1992" w:type="dxa"/>
          </w:tcPr>
          <w:p w:rsidR="0031234C" w:rsidRPr="0031234C" w:rsidRDefault="0031234C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077" w:type="dxa"/>
          </w:tcPr>
          <w:p w:rsidR="0031234C" w:rsidRPr="0031234C" w:rsidRDefault="0031234C" w:rsidP="008D7D1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lang w:eastAsia="ru-RU"/>
              </w:rPr>
              <w:t>46,1</w:t>
            </w:r>
          </w:p>
        </w:tc>
        <w:tc>
          <w:tcPr>
            <w:tcW w:w="1133" w:type="dxa"/>
          </w:tcPr>
          <w:p w:rsidR="0031234C" w:rsidRPr="0031234C" w:rsidRDefault="0031234C" w:rsidP="008D7D1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73" w:type="dxa"/>
          </w:tcPr>
          <w:p w:rsidR="0031234C" w:rsidRPr="0031234C" w:rsidRDefault="0031234C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077" w:type="dxa"/>
          </w:tcPr>
          <w:p w:rsidR="0031234C" w:rsidRPr="0031234C" w:rsidRDefault="0031234C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  <w:tc>
          <w:tcPr>
            <w:tcW w:w="1133" w:type="dxa"/>
          </w:tcPr>
          <w:p w:rsidR="0031234C" w:rsidRPr="0031234C" w:rsidRDefault="0031234C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191" w:type="dxa"/>
          </w:tcPr>
          <w:p w:rsidR="0031234C" w:rsidRPr="0031234C" w:rsidRDefault="0031234C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077" w:type="dxa"/>
          </w:tcPr>
          <w:p w:rsidR="0031234C" w:rsidRPr="0031234C" w:rsidRDefault="0031234C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</w:tr>
      <w:tr w:rsidR="004C4BB2" w:rsidRPr="0031234C" w:rsidTr="00BA4821">
        <w:tc>
          <w:tcPr>
            <w:tcW w:w="1992" w:type="dxa"/>
          </w:tcPr>
          <w:p w:rsidR="0031234C" w:rsidRPr="0031234C" w:rsidRDefault="0031234C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</w:tcPr>
          <w:p w:rsidR="0031234C" w:rsidRPr="0031234C" w:rsidRDefault="0031234C" w:rsidP="008D7D1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3" w:type="dxa"/>
          </w:tcPr>
          <w:p w:rsidR="0031234C" w:rsidRPr="0031234C" w:rsidRDefault="0031234C" w:rsidP="008D7D1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3" w:type="dxa"/>
          </w:tcPr>
          <w:p w:rsidR="0031234C" w:rsidRPr="0031234C" w:rsidRDefault="0031234C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077" w:type="dxa"/>
          </w:tcPr>
          <w:p w:rsidR="0031234C" w:rsidRPr="0031234C" w:rsidRDefault="0031234C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3" w:type="dxa"/>
          </w:tcPr>
          <w:p w:rsidR="0031234C" w:rsidRPr="0031234C" w:rsidRDefault="0031234C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1" w:type="dxa"/>
          </w:tcPr>
          <w:p w:rsidR="0031234C" w:rsidRPr="0031234C" w:rsidRDefault="0031234C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7" w:type="dxa"/>
          </w:tcPr>
          <w:p w:rsidR="0031234C" w:rsidRPr="0031234C" w:rsidRDefault="0031234C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C4BB2" w:rsidRPr="0031234C" w:rsidTr="00BA4821">
        <w:tc>
          <w:tcPr>
            <w:tcW w:w="1992" w:type="dxa"/>
          </w:tcPr>
          <w:p w:rsidR="0031234C" w:rsidRPr="0031234C" w:rsidRDefault="0031234C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077" w:type="dxa"/>
          </w:tcPr>
          <w:p w:rsidR="0031234C" w:rsidRPr="0031234C" w:rsidRDefault="0031234C" w:rsidP="008D7D1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1133" w:type="dxa"/>
          </w:tcPr>
          <w:p w:rsidR="0031234C" w:rsidRPr="0031234C" w:rsidRDefault="0031234C" w:rsidP="008D7D1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1173" w:type="dxa"/>
          </w:tcPr>
          <w:p w:rsidR="0031234C" w:rsidRPr="0031234C" w:rsidRDefault="0031234C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077" w:type="dxa"/>
          </w:tcPr>
          <w:p w:rsidR="0031234C" w:rsidRPr="0031234C" w:rsidRDefault="0031234C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33" w:type="dxa"/>
          </w:tcPr>
          <w:p w:rsidR="0031234C" w:rsidRPr="0031234C" w:rsidRDefault="0031234C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91" w:type="dxa"/>
          </w:tcPr>
          <w:p w:rsidR="0031234C" w:rsidRPr="0031234C" w:rsidRDefault="0031234C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-12,0</w:t>
            </w:r>
          </w:p>
        </w:tc>
        <w:tc>
          <w:tcPr>
            <w:tcW w:w="1077" w:type="dxa"/>
          </w:tcPr>
          <w:p w:rsidR="0031234C" w:rsidRPr="0031234C" w:rsidRDefault="0031234C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</w:tr>
      <w:tr w:rsidR="004C4BB2" w:rsidRPr="0031234C" w:rsidTr="00BA4821">
        <w:tc>
          <w:tcPr>
            <w:tcW w:w="1992" w:type="dxa"/>
          </w:tcPr>
          <w:p w:rsidR="0031234C" w:rsidRPr="0031234C" w:rsidRDefault="0031234C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077" w:type="dxa"/>
          </w:tcPr>
          <w:p w:rsidR="0031234C" w:rsidRPr="0031234C" w:rsidRDefault="0031234C" w:rsidP="008D7D1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lang w:eastAsia="ru-RU"/>
              </w:rPr>
              <w:t>333,3</w:t>
            </w:r>
          </w:p>
        </w:tc>
        <w:tc>
          <w:tcPr>
            <w:tcW w:w="1133" w:type="dxa"/>
          </w:tcPr>
          <w:p w:rsidR="0031234C" w:rsidRPr="0031234C" w:rsidRDefault="0031234C" w:rsidP="008D7D1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</w:tc>
        <w:tc>
          <w:tcPr>
            <w:tcW w:w="1173" w:type="dxa"/>
          </w:tcPr>
          <w:p w:rsidR="0031234C" w:rsidRPr="0031234C" w:rsidRDefault="0031234C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1083,6</w:t>
            </w:r>
          </w:p>
        </w:tc>
        <w:tc>
          <w:tcPr>
            <w:tcW w:w="1077" w:type="dxa"/>
          </w:tcPr>
          <w:p w:rsidR="0031234C" w:rsidRPr="0031234C" w:rsidRDefault="0031234C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218,4</w:t>
            </w:r>
          </w:p>
        </w:tc>
        <w:tc>
          <w:tcPr>
            <w:tcW w:w="1133" w:type="dxa"/>
          </w:tcPr>
          <w:p w:rsidR="0031234C" w:rsidRPr="0031234C" w:rsidRDefault="0031234C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20,2</w:t>
            </w:r>
          </w:p>
        </w:tc>
        <w:tc>
          <w:tcPr>
            <w:tcW w:w="1191" w:type="dxa"/>
          </w:tcPr>
          <w:p w:rsidR="0031234C" w:rsidRPr="0031234C" w:rsidRDefault="0031234C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-114,9</w:t>
            </w:r>
          </w:p>
        </w:tc>
        <w:tc>
          <w:tcPr>
            <w:tcW w:w="1077" w:type="dxa"/>
          </w:tcPr>
          <w:p w:rsidR="0031234C" w:rsidRPr="0031234C" w:rsidRDefault="00C60A9A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65,5</w:t>
            </w:r>
          </w:p>
        </w:tc>
      </w:tr>
      <w:tr w:rsidR="004C4BB2" w:rsidRPr="0031234C" w:rsidTr="00BA4821">
        <w:tc>
          <w:tcPr>
            <w:tcW w:w="1992" w:type="dxa"/>
          </w:tcPr>
          <w:p w:rsidR="00C60A9A" w:rsidRPr="0031234C" w:rsidRDefault="00C60A9A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077" w:type="dxa"/>
          </w:tcPr>
          <w:p w:rsidR="00C60A9A" w:rsidRPr="0031234C" w:rsidRDefault="00C60A9A" w:rsidP="008D7D1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3" w:type="dxa"/>
          </w:tcPr>
          <w:p w:rsidR="00C60A9A" w:rsidRPr="0031234C" w:rsidRDefault="00C60A9A" w:rsidP="008D7D1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73" w:type="dxa"/>
          </w:tcPr>
          <w:p w:rsidR="00C60A9A" w:rsidRPr="0031234C" w:rsidRDefault="00C60A9A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077" w:type="dxa"/>
          </w:tcPr>
          <w:p w:rsidR="00C60A9A" w:rsidRPr="0031234C" w:rsidRDefault="00C60A9A" w:rsidP="008D7D1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3" w:type="dxa"/>
          </w:tcPr>
          <w:p w:rsidR="00C60A9A" w:rsidRPr="0031234C" w:rsidRDefault="00C60A9A" w:rsidP="008D7D1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91" w:type="dxa"/>
          </w:tcPr>
          <w:p w:rsidR="00C60A9A" w:rsidRPr="0031234C" w:rsidRDefault="00C60A9A" w:rsidP="008D7D1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7" w:type="dxa"/>
          </w:tcPr>
          <w:p w:rsidR="00C60A9A" w:rsidRPr="0031234C" w:rsidRDefault="00C60A9A" w:rsidP="008D7D1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C4BB2" w:rsidRPr="0031234C" w:rsidTr="00BA4821">
        <w:tc>
          <w:tcPr>
            <w:tcW w:w="1992" w:type="dxa"/>
          </w:tcPr>
          <w:p w:rsidR="00C60A9A" w:rsidRPr="0031234C" w:rsidRDefault="00C60A9A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077" w:type="dxa"/>
          </w:tcPr>
          <w:p w:rsidR="00C60A9A" w:rsidRPr="0031234C" w:rsidRDefault="00C60A9A" w:rsidP="008D7D1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lang w:eastAsia="ru-RU"/>
              </w:rPr>
              <w:t>79,6</w:t>
            </w:r>
          </w:p>
        </w:tc>
        <w:tc>
          <w:tcPr>
            <w:tcW w:w="1133" w:type="dxa"/>
          </w:tcPr>
          <w:p w:rsidR="00C60A9A" w:rsidRPr="0031234C" w:rsidRDefault="00C60A9A" w:rsidP="008D7D1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lang w:eastAsia="ru-RU"/>
              </w:rPr>
              <w:t>46,3</w:t>
            </w:r>
          </w:p>
        </w:tc>
        <w:tc>
          <w:tcPr>
            <w:tcW w:w="1173" w:type="dxa"/>
          </w:tcPr>
          <w:p w:rsidR="00C60A9A" w:rsidRPr="0031234C" w:rsidRDefault="00C60A9A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159,2</w:t>
            </w:r>
          </w:p>
        </w:tc>
        <w:tc>
          <w:tcPr>
            <w:tcW w:w="1077" w:type="dxa"/>
          </w:tcPr>
          <w:p w:rsidR="00C60A9A" w:rsidRPr="0031234C" w:rsidRDefault="00C60A9A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66,3</w:t>
            </w:r>
          </w:p>
        </w:tc>
        <w:tc>
          <w:tcPr>
            <w:tcW w:w="1133" w:type="dxa"/>
          </w:tcPr>
          <w:p w:rsidR="00C60A9A" w:rsidRPr="0031234C" w:rsidRDefault="00C60A9A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41,6</w:t>
            </w:r>
          </w:p>
        </w:tc>
        <w:tc>
          <w:tcPr>
            <w:tcW w:w="1191" w:type="dxa"/>
          </w:tcPr>
          <w:p w:rsidR="00C60A9A" w:rsidRPr="0031234C" w:rsidRDefault="00C60A9A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-13,3</w:t>
            </w:r>
          </w:p>
        </w:tc>
        <w:tc>
          <w:tcPr>
            <w:tcW w:w="1077" w:type="dxa"/>
          </w:tcPr>
          <w:p w:rsidR="00C60A9A" w:rsidRPr="0031234C" w:rsidRDefault="00C60A9A" w:rsidP="003401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83,3</w:t>
            </w:r>
          </w:p>
        </w:tc>
      </w:tr>
      <w:tr w:rsidR="004C4BB2" w:rsidRPr="0031234C" w:rsidTr="00BA4821">
        <w:trPr>
          <w:trHeight w:val="540"/>
        </w:trPr>
        <w:tc>
          <w:tcPr>
            <w:tcW w:w="1992" w:type="dxa"/>
          </w:tcPr>
          <w:p w:rsidR="00C60A9A" w:rsidRPr="0031234C" w:rsidRDefault="00C60A9A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077" w:type="dxa"/>
          </w:tcPr>
          <w:p w:rsidR="00C60A9A" w:rsidRPr="0031234C" w:rsidRDefault="00C60A9A" w:rsidP="008D7D1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lang w:eastAsia="ru-RU"/>
              </w:rPr>
              <w:t>750,1</w:t>
            </w:r>
          </w:p>
        </w:tc>
        <w:tc>
          <w:tcPr>
            <w:tcW w:w="1133" w:type="dxa"/>
          </w:tcPr>
          <w:p w:rsidR="00C60A9A" w:rsidRPr="0031234C" w:rsidRDefault="00C60A9A" w:rsidP="008D7D1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  <w:tc>
          <w:tcPr>
            <w:tcW w:w="1173" w:type="dxa"/>
          </w:tcPr>
          <w:p w:rsidR="00C60A9A" w:rsidRPr="0031234C" w:rsidRDefault="00C60A9A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1426,3</w:t>
            </w:r>
          </w:p>
        </w:tc>
        <w:tc>
          <w:tcPr>
            <w:tcW w:w="1077" w:type="dxa"/>
          </w:tcPr>
          <w:p w:rsidR="00C60A9A" w:rsidRPr="0031234C" w:rsidRDefault="00C60A9A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716,3</w:t>
            </w:r>
          </w:p>
        </w:tc>
        <w:tc>
          <w:tcPr>
            <w:tcW w:w="1133" w:type="dxa"/>
          </w:tcPr>
          <w:p w:rsidR="00C60A9A" w:rsidRPr="0031234C" w:rsidRDefault="00C60A9A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50,2</w:t>
            </w:r>
          </w:p>
        </w:tc>
        <w:tc>
          <w:tcPr>
            <w:tcW w:w="1191" w:type="dxa"/>
          </w:tcPr>
          <w:p w:rsidR="00C60A9A" w:rsidRPr="0031234C" w:rsidRDefault="00C60A9A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-33,8</w:t>
            </w:r>
          </w:p>
        </w:tc>
        <w:tc>
          <w:tcPr>
            <w:tcW w:w="1077" w:type="dxa"/>
          </w:tcPr>
          <w:p w:rsidR="00C60A9A" w:rsidRPr="0031234C" w:rsidRDefault="00C60A9A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</w:tr>
      <w:tr w:rsidR="004C4BB2" w:rsidRPr="0031234C" w:rsidTr="00BA4821">
        <w:tc>
          <w:tcPr>
            <w:tcW w:w="1992" w:type="dxa"/>
          </w:tcPr>
          <w:p w:rsidR="00C60A9A" w:rsidRPr="0031234C" w:rsidRDefault="00C60A9A" w:rsidP="003401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1077" w:type="dxa"/>
          </w:tcPr>
          <w:p w:rsidR="00C60A9A" w:rsidRPr="0031234C" w:rsidRDefault="00C60A9A" w:rsidP="008D7D1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b/>
                <w:lang w:eastAsia="ru-RU"/>
              </w:rPr>
              <w:t>2838,9</w:t>
            </w:r>
          </w:p>
        </w:tc>
        <w:tc>
          <w:tcPr>
            <w:tcW w:w="1133" w:type="dxa"/>
          </w:tcPr>
          <w:p w:rsidR="00C60A9A" w:rsidRPr="0031234C" w:rsidRDefault="00C60A9A" w:rsidP="008D7D1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234C">
              <w:rPr>
                <w:rFonts w:ascii="Times New Roman" w:eastAsia="Times New Roman" w:hAnsi="Times New Roman" w:cs="Times New Roman"/>
                <w:b/>
                <w:lang w:eastAsia="ru-RU"/>
              </w:rPr>
              <w:t>54,7</w:t>
            </w:r>
          </w:p>
        </w:tc>
        <w:tc>
          <w:tcPr>
            <w:tcW w:w="1173" w:type="dxa"/>
          </w:tcPr>
          <w:p w:rsidR="00C60A9A" w:rsidRPr="0031234C" w:rsidRDefault="00C60A9A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5510,3</w:t>
            </w:r>
          </w:p>
        </w:tc>
        <w:tc>
          <w:tcPr>
            <w:tcW w:w="1077" w:type="dxa"/>
          </w:tcPr>
          <w:p w:rsidR="00C60A9A" w:rsidRPr="0031234C" w:rsidRDefault="00C60A9A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2246,1</w:t>
            </w:r>
          </w:p>
        </w:tc>
        <w:tc>
          <w:tcPr>
            <w:tcW w:w="1133" w:type="dxa"/>
          </w:tcPr>
          <w:p w:rsidR="00C60A9A" w:rsidRPr="0031234C" w:rsidRDefault="00C60A9A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40,8</w:t>
            </w:r>
          </w:p>
        </w:tc>
        <w:tc>
          <w:tcPr>
            <w:tcW w:w="1191" w:type="dxa"/>
          </w:tcPr>
          <w:p w:rsidR="00C60A9A" w:rsidRPr="0031234C" w:rsidRDefault="00C60A9A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-592,8</w:t>
            </w:r>
          </w:p>
        </w:tc>
        <w:tc>
          <w:tcPr>
            <w:tcW w:w="1077" w:type="dxa"/>
          </w:tcPr>
          <w:p w:rsidR="00C60A9A" w:rsidRPr="0031234C" w:rsidRDefault="00C60A9A" w:rsidP="003401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79,1</w:t>
            </w:r>
          </w:p>
        </w:tc>
      </w:tr>
    </w:tbl>
    <w:p w:rsidR="003401FB" w:rsidRPr="003401F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</w:t>
      </w:r>
    </w:p>
    <w:p w:rsidR="00DA636D" w:rsidRPr="00920934" w:rsidRDefault="003401FB" w:rsidP="00DA63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</w:t>
      </w:r>
      <w:r w:rsidR="00DA636D" w:rsidRPr="009209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«Общегосударственные вопросы»</w:t>
      </w:r>
      <w:r w:rsidR="00DA636D" w:rsidRPr="00920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DA6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1168,4</w:t>
      </w:r>
      <w:r w:rsidR="00DA636D" w:rsidRPr="00920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DA6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46,4</w:t>
      </w:r>
      <w:r w:rsidR="00DA636D" w:rsidRPr="00920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назначениям. По сравнению с 1 </w:t>
      </w:r>
      <w:r w:rsidR="00DA6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полугодием</w:t>
      </w:r>
      <w:r w:rsidR="00DA636D" w:rsidRPr="00920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DA6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DA636D" w:rsidRPr="00920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</w:t>
      </w:r>
      <w:r w:rsidR="00DA6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снизилис</w:t>
      </w:r>
      <w:r w:rsidR="00DA636D" w:rsidRPr="00920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 на </w:t>
      </w:r>
      <w:r w:rsidR="00DA6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419,4</w:t>
      </w:r>
      <w:r w:rsidR="00DA636D" w:rsidRPr="00920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DA6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26,4</w:t>
      </w:r>
      <w:r w:rsidR="00DA636D" w:rsidRPr="00920934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 Средства направлены:</w:t>
      </w:r>
    </w:p>
    <w:p w:rsidR="00DA636D" w:rsidRPr="00920934" w:rsidRDefault="00DA636D" w:rsidP="00DA63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функционирование высшего должностного лица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239,3</w:t>
      </w:r>
      <w:r w:rsidRPr="00920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рублей;</w:t>
      </w:r>
    </w:p>
    <w:p w:rsidR="00DA636D" w:rsidRPr="00920934" w:rsidRDefault="00DA636D" w:rsidP="00DA636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20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функционирование администрации -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815,3 тыс. рублей;</w:t>
      </w:r>
    </w:p>
    <w:p w:rsidR="00DA636D" w:rsidRPr="00920934" w:rsidRDefault="00DA636D" w:rsidP="00DA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3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92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межбюджетные трансферты по осуществлению  полномочий по внешнему муниципальному финансовому контролю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24,7</w:t>
      </w:r>
      <w:r w:rsidRPr="0092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A636D" w:rsidRPr="00920934" w:rsidRDefault="00DA636D" w:rsidP="00DA6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34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 осуществление полномочий по  внутреннему финансовому контролю не финансировались;</w:t>
      </w:r>
    </w:p>
    <w:p w:rsidR="003401FB" w:rsidRPr="00DA636D" w:rsidRDefault="00DA636D" w:rsidP="00DA63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и ведение  бухгалтерского учета – 89,1 тыс. рублей.</w:t>
      </w:r>
      <w:r w:rsidRPr="00DA6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401F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Средства резервного фонда в 1 полугодии не расходовались.</w:t>
      </w:r>
    </w:p>
    <w:p w:rsidR="00DA636D" w:rsidRPr="00DA636D" w:rsidRDefault="00DA636D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3401F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A6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DA636D"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>46,8</w:t>
      </w:r>
      <w:r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50,0 % к годовым бюджетным назначениям. По сравнению с 1 полугодием 201</w:t>
      </w:r>
      <w:r w:rsidR="00DA636D"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DA636D"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A636D"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 на осуществление первичного воинского учета в поселении.</w:t>
      </w:r>
    </w:p>
    <w:p w:rsidR="00DA636D" w:rsidRPr="003401FB" w:rsidRDefault="00DA636D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01FB" w:rsidRDefault="003401FB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в 1 полугодии 2019  года не осуществлялись.</w:t>
      </w:r>
    </w:p>
    <w:p w:rsidR="00DA636D" w:rsidRPr="00DA636D" w:rsidRDefault="00DA636D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1FB" w:rsidRPr="00DA636D" w:rsidRDefault="003401FB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«Национальная экономика» -</w:t>
      </w:r>
      <w:r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в 1 полугодии составили </w:t>
      </w:r>
      <w:r w:rsidR="00DA636D"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>30,0</w:t>
      </w:r>
      <w:r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A636D"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назначениям. По сравнению с 1 полугодием 201</w:t>
      </w:r>
      <w:r w:rsidR="00DA636D"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 </w:t>
      </w:r>
      <w:r w:rsidR="00DA636D"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уменьшились</w:t>
      </w:r>
      <w:r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A636D"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2,0 тыс. рублей, или на </w:t>
      </w:r>
      <w:r w:rsidR="00DA636D"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>28,6</w:t>
      </w:r>
      <w:r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>%. Средства направлены на расчистку дорог поселения в зимнее время.</w:t>
      </w:r>
    </w:p>
    <w:p w:rsidR="00DA636D" w:rsidRDefault="003401FB" w:rsidP="003401F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lastRenderedPageBreak/>
        <w:t xml:space="preserve"> </w:t>
      </w:r>
      <w:r w:rsidRPr="00DA6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«Жилищно-коммунальное хозяйство» </w:t>
      </w:r>
      <w:r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составили </w:t>
      </w:r>
      <w:r w:rsidR="00DA636D"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>218,4</w:t>
      </w:r>
      <w:r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A636D"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>20,2</w:t>
      </w:r>
      <w:r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назначениям, в том числе  по подразделу «Благоустройство» - </w:t>
      </w:r>
      <w:r w:rsidR="00DA636D"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>218,4</w:t>
      </w:r>
      <w:r w:rsidR="00DC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DA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36D" w:rsidRPr="00DA6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оплату уличного освещения на территории поселения Туровецкое.</w:t>
      </w:r>
    </w:p>
    <w:p w:rsidR="00DA636D" w:rsidRDefault="00DA636D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3401FB" w:rsidRPr="003A1C47" w:rsidRDefault="00DA636D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3401FB" w:rsidRPr="003A1C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«Образование»</w:t>
      </w:r>
      <w:r w:rsidR="003401FB" w:rsidRPr="003A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в 1 полугодии 20</w:t>
      </w:r>
      <w:r w:rsidRPr="003A1C4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401FB" w:rsidRPr="003A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осуществлялись.</w:t>
      </w:r>
    </w:p>
    <w:p w:rsidR="00DA636D" w:rsidRPr="003A1C47" w:rsidRDefault="00DA636D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C47" w:rsidRPr="003A1C47" w:rsidRDefault="003401FB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«Социальная политика»</w:t>
      </w:r>
      <w:r w:rsidRPr="003A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расходы в 1 полугодии 20</w:t>
      </w:r>
      <w:r w:rsidR="00DA636D" w:rsidRPr="003A1C4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A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составили </w:t>
      </w:r>
      <w:r w:rsidR="00DA636D" w:rsidRPr="003A1C47">
        <w:rPr>
          <w:rFonts w:ascii="Times New Roman" w:eastAsia="Times New Roman" w:hAnsi="Times New Roman" w:cs="Times New Roman"/>
          <w:sz w:val="28"/>
          <w:szCs w:val="28"/>
          <w:lang w:eastAsia="ru-RU"/>
        </w:rPr>
        <w:t>66,3</w:t>
      </w:r>
      <w:r w:rsidRPr="003A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A636D" w:rsidRPr="003A1C47">
        <w:rPr>
          <w:rFonts w:ascii="Times New Roman" w:eastAsia="Times New Roman" w:hAnsi="Times New Roman" w:cs="Times New Roman"/>
          <w:sz w:val="28"/>
          <w:szCs w:val="28"/>
          <w:lang w:eastAsia="ru-RU"/>
        </w:rPr>
        <w:t>41,6</w:t>
      </w:r>
      <w:r w:rsidRPr="003A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Средства направлены на доплаты к пенсии муниципальным служащим  и бывшей  Главе поселения. По  сравнению с аналогичным периодом 201</w:t>
      </w:r>
      <w:r w:rsidR="00DA636D" w:rsidRPr="003A1C4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A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DA636D" w:rsidRPr="003A1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снизились</w:t>
      </w:r>
      <w:r w:rsidRPr="003A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36D" w:rsidRPr="003A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63D4F">
        <w:rPr>
          <w:rFonts w:ascii="Times New Roman" w:eastAsia="Times New Roman" w:hAnsi="Times New Roman" w:cs="Times New Roman"/>
          <w:sz w:val="28"/>
          <w:szCs w:val="28"/>
          <w:lang w:eastAsia="ru-RU"/>
        </w:rPr>
        <w:t>13,3</w:t>
      </w:r>
      <w:r w:rsidR="00DA636D" w:rsidRPr="003A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3A1C47" w:rsidRPr="003A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или на </w:t>
      </w:r>
      <w:r w:rsidR="00463D4F">
        <w:rPr>
          <w:rFonts w:ascii="Times New Roman" w:eastAsia="Times New Roman" w:hAnsi="Times New Roman" w:cs="Times New Roman"/>
          <w:sz w:val="28"/>
          <w:szCs w:val="28"/>
          <w:lang w:eastAsia="ru-RU"/>
        </w:rPr>
        <w:t>16,7</w:t>
      </w:r>
      <w:r w:rsidR="003A1C47" w:rsidRPr="003A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3A1C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C47" w:rsidRDefault="003A1C47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01FB" w:rsidRPr="00463D4F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D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«Физическая культура и спорт»</w:t>
      </w:r>
      <w:r w:rsidRPr="00463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463D4F" w:rsidRPr="00463D4F">
        <w:rPr>
          <w:rFonts w:ascii="Times New Roman" w:eastAsia="Times New Roman" w:hAnsi="Times New Roman" w:cs="Times New Roman"/>
          <w:sz w:val="28"/>
          <w:szCs w:val="28"/>
          <w:lang w:eastAsia="ru-RU"/>
        </w:rPr>
        <w:t>716,3</w:t>
      </w:r>
      <w:r w:rsidRPr="00463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463D4F" w:rsidRPr="00463D4F">
        <w:rPr>
          <w:rFonts w:ascii="Times New Roman" w:eastAsia="Times New Roman" w:hAnsi="Times New Roman" w:cs="Times New Roman"/>
          <w:sz w:val="28"/>
          <w:szCs w:val="28"/>
          <w:lang w:eastAsia="ru-RU"/>
        </w:rPr>
        <w:t>50,2</w:t>
      </w:r>
      <w:r w:rsidRPr="00463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 По сравнению с 1 полугодием 201</w:t>
      </w:r>
      <w:r w:rsidR="00463D4F" w:rsidRPr="00463D4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63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</w:t>
      </w:r>
      <w:r w:rsidR="00463D4F" w:rsidRPr="00463D4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уменьшились</w:t>
      </w:r>
      <w:r w:rsidRPr="00463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63D4F" w:rsidRPr="00463D4F">
        <w:rPr>
          <w:rFonts w:ascii="Times New Roman" w:eastAsia="Times New Roman" w:hAnsi="Times New Roman" w:cs="Times New Roman"/>
          <w:sz w:val="28"/>
          <w:szCs w:val="28"/>
          <w:lang w:eastAsia="ru-RU"/>
        </w:rPr>
        <w:t>33,8</w:t>
      </w:r>
      <w:r w:rsidRPr="00463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463D4F" w:rsidRPr="00463D4F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Pr="00463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 Расходы производились на  финансовое обеспечение выполнения муниципального задания МБУ ФОК «Олимп» в сумме </w:t>
      </w:r>
      <w:r w:rsidR="00463D4F" w:rsidRPr="00463D4F">
        <w:rPr>
          <w:rFonts w:ascii="Times New Roman" w:eastAsia="Times New Roman" w:hAnsi="Times New Roman" w:cs="Times New Roman"/>
          <w:sz w:val="28"/>
          <w:szCs w:val="28"/>
          <w:lang w:eastAsia="ru-RU"/>
        </w:rPr>
        <w:t>716,3</w:t>
      </w:r>
      <w:r w:rsidRPr="00463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Pr="00463D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проведение мероприятий по физической культуре и спорту  средства не выделялись</w:t>
      </w:r>
      <w:r w:rsidRPr="00463D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1FB" w:rsidRPr="003401F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401FB" w:rsidRDefault="003401FB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анализа исполнения бюджета поселения  за 1 полугодие 20</w:t>
      </w:r>
      <w:r w:rsidR="006408EB"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DC2223" w:rsidRPr="006408EB" w:rsidRDefault="00DC2223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1FB" w:rsidRPr="006408EB" w:rsidRDefault="003401FB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предоставлена следующими данными:</w:t>
      </w:r>
    </w:p>
    <w:p w:rsidR="003401FB" w:rsidRPr="006408EB" w:rsidRDefault="003401FB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июля 201</w:t>
      </w:r>
      <w:r w:rsidR="006408EB"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- 3 шт. единиц, на 01 июля 20</w:t>
      </w:r>
      <w:r w:rsidR="006408EB"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3 шт. единиц. Штатная численность служащих аппарата управления остается без изменений.</w:t>
      </w:r>
    </w:p>
    <w:p w:rsidR="003401FB" w:rsidRPr="006408EB" w:rsidRDefault="003401FB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работников органов местного самоуправления составил:</w:t>
      </w:r>
    </w:p>
    <w:p w:rsidR="003401FB" w:rsidRPr="006408EB" w:rsidRDefault="003401FB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08EB"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полугодие  2019 года –  380,1 тыс. рублей</w:t>
      </w:r>
      <w:r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01FB" w:rsidRPr="006408EB" w:rsidRDefault="003401FB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полугодие  20</w:t>
      </w:r>
      <w:r w:rsidR="006408EB"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 </w:t>
      </w:r>
      <w:r w:rsidR="006408EB"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>445,1</w:t>
      </w:r>
      <w:r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401FB" w:rsidRPr="006408EB" w:rsidRDefault="003401FB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аппарата управления в общей сумме расходов бюджета поселения за 1 полугодие  20</w:t>
      </w:r>
      <w:r w:rsidR="006408EB"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составила  </w:t>
      </w:r>
      <w:r w:rsidR="006408EB"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>19,8</w:t>
      </w:r>
      <w:r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общего объема расходов. Наблюдается </w:t>
      </w:r>
      <w:r w:rsidR="006408EB"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расходов на оплату труда работников органа местного самоуправления  за 1 полугодие  20</w:t>
      </w:r>
      <w:r w:rsidR="006408EB"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аналогичным периодом прошлого года на </w:t>
      </w:r>
      <w:r w:rsidR="006408EB"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>65,0</w:t>
      </w:r>
      <w:r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рублей, или на </w:t>
      </w:r>
      <w:r w:rsidR="006408EB"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>17,1</w:t>
      </w:r>
      <w:r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что связано </w:t>
      </w:r>
      <w:r w:rsidR="006408EB"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увеличением заработной платы муниципальным служащим </w:t>
      </w:r>
      <w:r w:rsidR="00B631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08EB"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01.01.2020 года на 20,0 процентов</w:t>
      </w:r>
      <w:r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01FB" w:rsidRPr="006408EB" w:rsidRDefault="003401FB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муниципальных учреждений представлена в следующей форме.</w:t>
      </w:r>
    </w:p>
    <w:p w:rsidR="003401FB" w:rsidRPr="006408EB" w:rsidRDefault="003401FB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бюджетных организаций по состоянию на 01 июля 201</w:t>
      </w:r>
      <w:r w:rsidR="006408EB"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 1 (в т. ч. финансируемых за счет собственных доходов  – 1), на 01 июля  20</w:t>
      </w:r>
      <w:r w:rsidR="006408EB"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1 (в т. ч. финансируемых за счет собственных доходов –1).</w:t>
      </w:r>
    </w:p>
    <w:p w:rsidR="003401FB" w:rsidRPr="006408EB" w:rsidRDefault="003401FB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работников муниципальных учреждений по состоянию на 01 июля 201</w:t>
      </w:r>
      <w:r w:rsidR="006408EB"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7 шт. единиц, на 01 июля 20</w:t>
      </w:r>
      <w:r w:rsidR="006408EB"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6408EB"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>шт. единиц. Штатная численность работников муниципальных учреждений поселения на 01.07.20</w:t>
      </w:r>
      <w:r w:rsidR="006408EB"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01.07.2019 года </w:t>
      </w:r>
      <w:r w:rsidR="006408EB"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снизилась на 1 шт. единицу</w:t>
      </w:r>
      <w:r w:rsidRPr="00640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1FB" w:rsidRPr="005527DB" w:rsidRDefault="003401FB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DB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муниципальных учреждений составил:</w:t>
      </w:r>
    </w:p>
    <w:p w:rsidR="003401FB" w:rsidRPr="005527DB" w:rsidRDefault="003401FB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27DB" w:rsidRPr="005527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полугодие  2019 года –  620,5 тыс. рублей</w:t>
      </w:r>
      <w:r w:rsidRPr="005527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01FB" w:rsidRPr="005527DB" w:rsidRDefault="003401FB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D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полугодие  20</w:t>
      </w:r>
      <w:r w:rsidR="005527DB" w:rsidRPr="005527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 </w:t>
      </w:r>
      <w:r w:rsidR="005527DB" w:rsidRPr="005527DB">
        <w:rPr>
          <w:rFonts w:ascii="Times New Roman" w:eastAsia="Times New Roman" w:hAnsi="Times New Roman" w:cs="Times New Roman"/>
          <w:sz w:val="28"/>
          <w:szCs w:val="28"/>
          <w:lang w:eastAsia="ru-RU"/>
        </w:rPr>
        <w:t>660,5</w:t>
      </w:r>
      <w:r w:rsidRPr="005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401FB" w:rsidRPr="005527DB" w:rsidRDefault="003401FB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муниципальных учреждений  в общей сумме расходов бюджета поселения  за 1 полугодие  20</w:t>
      </w:r>
      <w:r w:rsidR="005527DB" w:rsidRPr="005527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</w:t>
      </w:r>
      <w:r w:rsidR="005527DB" w:rsidRPr="005527DB">
        <w:rPr>
          <w:rFonts w:ascii="Times New Roman" w:eastAsia="Times New Roman" w:hAnsi="Times New Roman" w:cs="Times New Roman"/>
          <w:sz w:val="28"/>
          <w:szCs w:val="28"/>
          <w:lang w:eastAsia="ru-RU"/>
        </w:rPr>
        <w:t>29,4</w:t>
      </w:r>
      <w:r w:rsidRPr="005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3401FB" w:rsidRPr="005527D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Наблюдается увеличение  расходов на оплату труда работников муниципальных учреждений  на </w:t>
      </w:r>
      <w:r w:rsidR="005527DB" w:rsidRPr="005527DB">
        <w:rPr>
          <w:rFonts w:ascii="Times New Roman" w:eastAsia="Times New Roman" w:hAnsi="Times New Roman" w:cs="Times New Roman"/>
          <w:sz w:val="28"/>
          <w:szCs w:val="28"/>
          <w:lang w:eastAsia="ru-RU"/>
        </w:rPr>
        <w:t>40,0</w:t>
      </w:r>
      <w:r w:rsidRPr="005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5527DB" w:rsidRPr="005527DB">
        <w:rPr>
          <w:rFonts w:ascii="Times New Roman" w:eastAsia="Times New Roman" w:hAnsi="Times New Roman" w:cs="Times New Roman"/>
          <w:sz w:val="28"/>
          <w:szCs w:val="28"/>
          <w:lang w:eastAsia="ru-RU"/>
        </w:rPr>
        <w:t>6,4</w:t>
      </w:r>
      <w:r w:rsidRPr="005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процента, что связано с увеличение заработной платы работникам </w:t>
      </w:r>
      <w:proofErr w:type="spellStart"/>
      <w:r w:rsidRPr="005527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ФОКа</w:t>
      </w:r>
      <w:proofErr w:type="spellEnd"/>
      <w:r w:rsidRPr="0055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7DB" w:rsidRPr="005527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увеличения МРОТ</w:t>
      </w:r>
      <w:r w:rsidRPr="00552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1FB" w:rsidRPr="003401FB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3401FB" w:rsidRPr="003401FB" w:rsidRDefault="003401FB" w:rsidP="003401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3401FB" w:rsidRPr="00FD7290" w:rsidRDefault="003401FB" w:rsidP="003401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72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поселения.</w:t>
      </w:r>
    </w:p>
    <w:p w:rsidR="003401FB" w:rsidRPr="003401FB" w:rsidRDefault="003401FB" w:rsidP="003401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3401FB" w:rsidRPr="00AA6548" w:rsidRDefault="003401FB" w:rsidP="00AA6548">
      <w:pPr>
        <w:pStyle w:val="1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3401FB">
        <w:rPr>
          <w:rFonts w:eastAsia="Times New Roman"/>
          <w:color w:val="FF0000"/>
          <w:lang w:eastAsia="ru-RU"/>
        </w:rPr>
        <w:t xml:space="preserve">       </w:t>
      </w:r>
      <w:r w:rsidRPr="00AA6548">
        <w:rPr>
          <w:rFonts w:ascii="Times New Roman" w:eastAsia="Times New Roman" w:hAnsi="Times New Roman" w:cs="Times New Roman"/>
          <w:b w:val="0"/>
          <w:color w:val="auto"/>
          <w:lang w:eastAsia="ru-RU"/>
        </w:rPr>
        <w:t>Первоначальный бюджет поселения на 20</w:t>
      </w:r>
      <w:r w:rsidR="00FD7290" w:rsidRPr="00AA6548">
        <w:rPr>
          <w:rFonts w:ascii="Times New Roman" w:eastAsia="Times New Roman" w:hAnsi="Times New Roman" w:cs="Times New Roman"/>
          <w:b w:val="0"/>
          <w:color w:val="auto"/>
          <w:lang w:eastAsia="ru-RU"/>
        </w:rPr>
        <w:t>20</w:t>
      </w:r>
      <w:r w:rsidRPr="00AA654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год принят без дефицита (профицита). Изменения в решение «О бюджете поселения на 20</w:t>
      </w:r>
      <w:r w:rsidR="00FD7290" w:rsidRPr="00AA6548">
        <w:rPr>
          <w:rFonts w:ascii="Times New Roman" w:eastAsia="Times New Roman" w:hAnsi="Times New Roman" w:cs="Times New Roman"/>
          <w:b w:val="0"/>
          <w:color w:val="auto"/>
          <w:lang w:eastAsia="ru-RU"/>
        </w:rPr>
        <w:t>20</w:t>
      </w:r>
      <w:r w:rsidRPr="00AA654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год и плановый период 202</w:t>
      </w:r>
      <w:r w:rsidR="00FD7290" w:rsidRPr="00AA6548">
        <w:rPr>
          <w:rFonts w:ascii="Times New Roman" w:eastAsia="Times New Roman" w:hAnsi="Times New Roman" w:cs="Times New Roman"/>
          <w:b w:val="0"/>
          <w:color w:val="auto"/>
          <w:lang w:eastAsia="ru-RU"/>
        </w:rPr>
        <w:t>1</w:t>
      </w:r>
      <w:r w:rsidRPr="00AA654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и 202</w:t>
      </w:r>
      <w:r w:rsidR="00FD7290" w:rsidRPr="00AA6548">
        <w:rPr>
          <w:rFonts w:ascii="Times New Roman" w:eastAsia="Times New Roman" w:hAnsi="Times New Roman" w:cs="Times New Roman"/>
          <w:b w:val="0"/>
          <w:color w:val="auto"/>
          <w:lang w:eastAsia="ru-RU"/>
        </w:rPr>
        <w:t>2</w:t>
      </w:r>
      <w:r w:rsidRPr="00AA654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годов» в 1 полугодии 20</w:t>
      </w:r>
      <w:r w:rsidR="00FD7290" w:rsidRPr="00AA6548">
        <w:rPr>
          <w:rFonts w:ascii="Times New Roman" w:eastAsia="Times New Roman" w:hAnsi="Times New Roman" w:cs="Times New Roman"/>
          <w:b w:val="0"/>
          <w:color w:val="auto"/>
          <w:lang w:eastAsia="ru-RU"/>
        </w:rPr>
        <w:t>20</w:t>
      </w:r>
      <w:r w:rsidRPr="00AA654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года вносились 1 раз</w:t>
      </w:r>
      <w:r w:rsidR="00FD7290" w:rsidRPr="00AA654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решением от 23.04.2020 года №61</w:t>
      </w:r>
      <w:r w:rsidRPr="00AA654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. Уточненный бюджет поселения принят также  без дефицита (профицита). </w:t>
      </w:r>
    </w:p>
    <w:p w:rsidR="003401FB" w:rsidRPr="00AA6548" w:rsidRDefault="003401FB" w:rsidP="00AA6548">
      <w:pPr>
        <w:pStyle w:val="1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AA6548">
        <w:rPr>
          <w:rFonts w:ascii="Times New Roman" w:eastAsia="Times New Roman" w:hAnsi="Times New Roman" w:cs="Times New Roman"/>
          <w:b w:val="0"/>
          <w:color w:val="auto"/>
          <w:lang w:eastAsia="ru-RU"/>
        </w:rPr>
        <w:t>Бюджет поселения за 1 полугодие 20</w:t>
      </w:r>
      <w:r w:rsidR="00FD7290" w:rsidRPr="00AA6548">
        <w:rPr>
          <w:rFonts w:ascii="Times New Roman" w:eastAsia="Times New Roman" w:hAnsi="Times New Roman" w:cs="Times New Roman"/>
          <w:b w:val="0"/>
          <w:color w:val="auto"/>
          <w:lang w:eastAsia="ru-RU"/>
        </w:rPr>
        <w:t>20</w:t>
      </w:r>
      <w:r w:rsidRPr="00AA654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года исполнен с профицитом  в сумме </w:t>
      </w:r>
      <w:r w:rsidR="00FD7290" w:rsidRPr="00AA6548">
        <w:rPr>
          <w:rFonts w:ascii="Times New Roman" w:eastAsia="Times New Roman" w:hAnsi="Times New Roman" w:cs="Times New Roman"/>
          <w:b w:val="0"/>
          <w:color w:val="auto"/>
          <w:lang w:eastAsia="ru-RU"/>
        </w:rPr>
        <w:t>150,0</w:t>
      </w:r>
      <w:r w:rsidRPr="00AA654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тыс. рублей. </w:t>
      </w:r>
    </w:p>
    <w:p w:rsidR="003401FB" w:rsidRPr="003401FB" w:rsidRDefault="003401FB" w:rsidP="003401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3401FB" w:rsidRPr="003401FB" w:rsidRDefault="003401FB" w:rsidP="003401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3401FB" w:rsidRPr="00AA6548" w:rsidRDefault="003401FB" w:rsidP="003401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A65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поселения.</w:t>
      </w:r>
    </w:p>
    <w:p w:rsidR="003401FB" w:rsidRPr="008D7D1B" w:rsidRDefault="003401FB" w:rsidP="003401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401FB" w:rsidRPr="008D7D1B" w:rsidRDefault="003401FB" w:rsidP="003401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D7D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Решением Совета поселения Туровецкое от </w:t>
      </w:r>
      <w:r w:rsidR="00AA6548" w:rsidRPr="008D7D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23</w:t>
      </w:r>
      <w:r w:rsidRPr="008D7D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декабря 201</w:t>
      </w:r>
      <w:r w:rsidR="00AA6548" w:rsidRPr="008D7D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8D7D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№ </w:t>
      </w:r>
      <w:r w:rsidR="00AA6548" w:rsidRPr="008D7D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58</w:t>
      </w:r>
      <w:r w:rsidRPr="008D7D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установлен верхний предел муниципального внутреннего долга поселения по состоянию на 1 января 202</w:t>
      </w:r>
      <w:r w:rsidR="008D7D1B" w:rsidRPr="008D7D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8D7D1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сумме 0,0 тыс. рублей.</w:t>
      </w:r>
    </w:p>
    <w:p w:rsidR="003401FB" w:rsidRPr="008D7D1B" w:rsidRDefault="003401FB" w:rsidP="003401F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D7D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статьей 107 Бюджетного кодекса Российской Федерации предельный объем муниципального внутреннего долга поселения можно   предусмотреть в размере 50 % общего годового объема доходов  бюджета </w:t>
      </w:r>
      <w:r w:rsidRPr="008D7D1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3401FB" w:rsidRPr="008D7D1B" w:rsidRDefault="003401FB" w:rsidP="003401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8D7D1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</w:t>
      </w:r>
      <w:r w:rsidR="008D7D1B" w:rsidRPr="008D7D1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20</w:t>
      </w:r>
      <w:r w:rsidRPr="008D7D1B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году не запланировано.</w:t>
      </w:r>
    </w:p>
    <w:p w:rsidR="003401FB" w:rsidRPr="003401FB" w:rsidRDefault="003401FB" w:rsidP="003401FB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3401FB" w:rsidRPr="008D7D1B" w:rsidRDefault="003401FB" w:rsidP="003401F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8D7D1B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8D7D1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3401FB" w:rsidRPr="003401FB" w:rsidRDefault="003401FB" w:rsidP="003401F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pacing w:val="1"/>
          <w:sz w:val="28"/>
          <w:szCs w:val="28"/>
          <w:lang w:eastAsia="ru-RU"/>
        </w:rPr>
      </w:pPr>
    </w:p>
    <w:p w:rsidR="003401FB" w:rsidRPr="004C7A99" w:rsidRDefault="003401FB" w:rsidP="00AC28A1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401F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  <w:proofErr w:type="gramStart"/>
      <w:r w:rsidR="008D7D1B" w:rsidRPr="00AE1D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кредиторской задолженности по состоянию на 01 января 2019 </w:t>
      </w:r>
      <w:r w:rsidR="008D7D1B" w:rsidRPr="004C7A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– 142,6 тыс. рублей (в том числе просроченной - 10,0 тыс. рублей,  </w:t>
      </w:r>
      <w:r w:rsidRPr="004C7A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  июля  201</w:t>
      </w:r>
      <w:r w:rsidR="008D7D1B" w:rsidRPr="004C7A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C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4C7A99" w:rsidRPr="004C7A99">
        <w:rPr>
          <w:rFonts w:ascii="Times New Roman" w:eastAsia="Times New Roman" w:hAnsi="Times New Roman" w:cs="Times New Roman"/>
          <w:sz w:val="28"/>
          <w:szCs w:val="28"/>
          <w:lang w:eastAsia="ru-RU"/>
        </w:rPr>
        <w:t>150,1</w:t>
      </w:r>
      <w:r w:rsidRPr="004C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том числе просроченной -</w:t>
      </w:r>
      <w:r w:rsidR="004C7A99" w:rsidRPr="004C7A99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4C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рублей),   </w:t>
      </w:r>
      <w:r w:rsidR="004C7A99" w:rsidRPr="004C7A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01 января 2020 года  – 101,8 тыс. рублей (в том числе просроченной – 0,0 тыс. рублей)</w:t>
      </w:r>
      <w:r w:rsidRPr="004C7A9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01 июля 20</w:t>
      </w:r>
      <w:r w:rsidR="004C7A99" w:rsidRPr="004C7A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C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4C7A99" w:rsidRPr="004C7A99">
        <w:rPr>
          <w:rFonts w:ascii="Times New Roman" w:eastAsia="Times New Roman" w:hAnsi="Times New Roman" w:cs="Times New Roman"/>
          <w:sz w:val="28"/>
          <w:szCs w:val="28"/>
          <w:lang w:eastAsia="ru-RU"/>
        </w:rPr>
        <w:t>70,5</w:t>
      </w:r>
      <w:r w:rsidRPr="004C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C28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C28A1" w:rsidRPr="00AC28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C28A1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кредиторской задолженности на начало 2020 года по сравнению с началом прошлого года снизилась  на 40,8 тыс. рублей, или на 28,6%. В ходе исполнения бюджета поселения за 1 </w:t>
      </w:r>
      <w:r w:rsidR="00AC28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полугодие </w:t>
      </w:r>
      <w:r w:rsidR="00AC28A1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текущего года объем кредиторской задолженности </w:t>
      </w:r>
      <w:r w:rsidR="008422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снизился на 31,3 тыс. рублей и  </w:t>
      </w:r>
      <w:r w:rsidR="00AC28A1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составил – </w:t>
      </w:r>
      <w:r w:rsidR="00AC28A1">
        <w:rPr>
          <w:rFonts w:ascii="Times New Roman" w:eastAsiaTheme="minorEastAsia" w:hAnsi="Times New Roman" w:cs="Times New Roman"/>
          <w:sz w:val="28"/>
          <w:szCs w:val="28"/>
          <w:lang w:eastAsia="ru-RU"/>
        </w:rPr>
        <w:t>70,5</w:t>
      </w:r>
      <w:r w:rsidR="00AC28A1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просроченная задолженность  отсутствует</w:t>
      </w:r>
      <w:r w:rsidR="00AC28A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числе:</w:t>
      </w:r>
      <w:r w:rsidR="00AC28A1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401FB" w:rsidRPr="004C7A99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C7A99" w:rsidRPr="004C7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за выполнение работы по финансовой части</w:t>
      </w:r>
      <w:r w:rsidRPr="004C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C7A99" w:rsidRPr="004C7A99">
        <w:rPr>
          <w:rFonts w:ascii="Times New Roman" w:eastAsia="Times New Roman" w:hAnsi="Times New Roman" w:cs="Times New Roman"/>
          <w:sz w:val="28"/>
          <w:szCs w:val="28"/>
          <w:lang w:eastAsia="ru-RU"/>
        </w:rPr>
        <w:t>19,8</w:t>
      </w:r>
      <w:r w:rsidRPr="004C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401FB" w:rsidRPr="005227F7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="004C7A99" w:rsidRPr="004C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пенсиям </w:t>
      </w:r>
      <w:r w:rsidRPr="004C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C7A99" w:rsidRPr="004C7A99">
        <w:rPr>
          <w:rFonts w:ascii="Times New Roman" w:eastAsia="Times New Roman" w:hAnsi="Times New Roman" w:cs="Times New Roman"/>
          <w:sz w:val="28"/>
          <w:szCs w:val="28"/>
          <w:lang w:eastAsia="ru-RU"/>
        </w:rPr>
        <w:t>13,3 тыс. рублей;</w:t>
      </w:r>
    </w:p>
    <w:p w:rsidR="004C7A99" w:rsidRPr="005227F7" w:rsidRDefault="004C7A99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данным ИФНС России №1 по </w:t>
      </w:r>
      <w:proofErr w:type="gramStart"/>
      <w:r w:rsidRPr="005227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52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7F7" w:rsidRPr="005227F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(налоги)</w:t>
      </w:r>
      <w:r w:rsidRPr="0052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7509A4" w:rsidRPr="0052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27F7">
        <w:rPr>
          <w:rFonts w:ascii="Times New Roman" w:eastAsia="Times New Roman" w:hAnsi="Times New Roman" w:cs="Times New Roman"/>
          <w:sz w:val="28"/>
          <w:szCs w:val="28"/>
          <w:lang w:eastAsia="ru-RU"/>
        </w:rPr>
        <w:t>37,4 тыс. рублей.</w:t>
      </w:r>
    </w:p>
    <w:p w:rsidR="003401FB" w:rsidRDefault="00AC28A1" w:rsidP="003401F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  </w:t>
      </w:r>
      <w:r w:rsidR="00845BDA"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Дебиторская задолженность  на 01 </w:t>
      </w:r>
      <w:r w:rsidR="00845B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июня</w:t>
      </w:r>
      <w:r w:rsidR="00845BDA"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2019 года отсутств</w:t>
      </w:r>
      <w:r w:rsidR="00845BD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ует</w:t>
      </w:r>
      <w:r w:rsidR="00845BDA"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на 01 </w:t>
      </w:r>
      <w:r w:rsidR="00845B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июня</w:t>
      </w:r>
      <w:r w:rsidR="00845BDA"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2020 года составила </w:t>
      </w:r>
      <w:r w:rsidR="00845BD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10336,9</w:t>
      </w:r>
      <w:r w:rsidR="00845BDA"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то есть увеличилась на </w:t>
      </w:r>
      <w:r w:rsidR="00845B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10336,9 </w:t>
      </w:r>
      <w:r w:rsidR="00845BDA"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или на 100 процентов</w:t>
      </w:r>
      <w:r w:rsidR="00845BD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Сумма дебиторская задолженность является  начислениями безвозмездных поступлений от других бюджетов бюджетной системы РФ на 2020 год и плановый период 2021-2022 годов.</w:t>
      </w:r>
    </w:p>
    <w:p w:rsidR="00845BDA" w:rsidRPr="003401FB" w:rsidRDefault="00845BDA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01FB" w:rsidRPr="003720C5" w:rsidRDefault="003401FB" w:rsidP="003401FB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1FB" w:rsidRPr="003401FB" w:rsidRDefault="003401FB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01FB" w:rsidRPr="003720C5" w:rsidRDefault="003401FB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Изменения в решение «О бюджете поселения на 20</w:t>
      </w:r>
      <w:r w:rsidR="00645762"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45762"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45762"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в 1 полугодии 20</w:t>
      </w:r>
      <w:r w:rsidR="00645762"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вносились 1 раз  решением от </w:t>
      </w:r>
      <w:r w:rsid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720C5"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720C5"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1FB" w:rsidRPr="003720C5" w:rsidRDefault="003401FB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 1 полугодие 20</w:t>
      </w:r>
      <w:r w:rsidR="003720C5"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составили </w:t>
      </w:r>
      <w:r w:rsidR="003720C5"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>2396,1</w:t>
      </w:r>
      <w:r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720C5"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>43,5</w:t>
      </w:r>
      <w:r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3720C5"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>5510,3</w:t>
      </w:r>
      <w:r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налоговые и неналоговые доходы – </w:t>
      </w:r>
      <w:r w:rsidR="003720C5"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>158,8</w:t>
      </w:r>
      <w:r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3720C5"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>31,2</w:t>
      </w:r>
      <w:r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3720C5"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>2237,3</w:t>
      </w:r>
      <w:r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3720C5"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>44,7</w:t>
      </w:r>
      <w:r w:rsidRPr="0037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3401FB" w:rsidRPr="00596168" w:rsidRDefault="003401FB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источниками налоговых и неналоговых доходов бюджета поселения является налог на доходы физических лиц,</w:t>
      </w:r>
      <w:r w:rsidR="003720C5"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от реализации иного имущества, находящегося в собственности поселения,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налог,      доля которых в объеме налоговых и неналоговых доходов бюджета поселения составила </w:t>
      </w:r>
      <w:r w:rsidR="00596168"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97,4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процентов.</w:t>
      </w:r>
    </w:p>
    <w:p w:rsidR="003401FB" w:rsidRPr="00596168" w:rsidRDefault="003401FB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596168"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6,6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596168"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93,4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3401FB" w:rsidRPr="00596168" w:rsidRDefault="003401FB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Расходы бюджета поселения исполнены в сумме  </w:t>
      </w:r>
      <w:r w:rsidR="00596168"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2246,8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596168"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40,8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596168"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5510,3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</w:p>
    <w:p w:rsidR="003401FB" w:rsidRPr="003401FB" w:rsidRDefault="003401FB" w:rsidP="003401F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01F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социальную сферу направлено </w:t>
      </w:r>
      <w:r w:rsidR="00596168"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782,6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96168"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49,3</w:t>
      </w:r>
      <w:r w:rsidRPr="00596168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утвержденным годовым назначениям. Не производилось финансирование расходов по разделам  «Национальная безопасность и правоохранительная деятельность» и «Образование».</w:t>
      </w:r>
    </w:p>
    <w:p w:rsidR="00596168" w:rsidRPr="00A751BD" w:rsidRDefault="00596168" w:rsidP="0059616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51B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всем  разделам классификации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кроме </w:t>
      </w:r>
      <w:r w:rsidRPr="00A751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разделам «Национальная оборона» и «Физическая культура и спорт»</w:t>
      </w:r>
      <w:r w:rsidRPr="00A751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уровень исполнения к годовым назначениям выше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50,0</w:t>
      </w:r>
      <w:r w:rsidRPr="00A751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</w:t>
      </w:r>
    </w:p>
    <w:p w:rsidR="004723EF" w:rsidRPr="004723EF" w:rsidRDefault="003401FB" w:rsidP="00472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При  сравнении задолженности по  налоговым платежам  по состоянию на</w:t>
      </w:r>
      <w:r w:rsidR="004723EF" w:rsidRPr="0047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01.07.2020 года </w:t>
      </w:r>
      <w:r w:rsidR="009F5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снижение </w:t>
      </w:r>
      <w:r w:rsidR="004723EF" w:rsidRPr="004723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31,4 тыс. рублей, или на 41,4%, в том числе в разрезе налоговых источников:</w:t>
      </w:r>
    </w:p>
    <w:p w:rsidR="004723EF" w:rsidRPr="004723EF" w:rsidRDefault="004723EF" w:rsidP="004723E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E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НДФЛ увеличение  на 1,3 тыс. рублей, или в 2,6 раза;</w:t>
      </w:r>
    </w:p>
    <w:p w:rsidR="004723EF" w:rsidRPr="0031234C" w:rsidRDefault="004723EF" w:rsidP="00472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 по налогу на имущество физических </w:t>
      </w:r>
      <w:r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снижение  на 3</w:t>
      </w:r>
      <w:r w:rsidR="009F5A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5A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57,2 процента;</w:t>
      </w:r>
    </w:p>
    <w:p w:rsidR="004723EF" w:rsidRPr="0031234C" w:rsidRDefault="004723EF" w:rsidP="004723E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земельному налогу увеличение на  5,6 тыс. рублей, или на 70,0 процентов.</w:t>
      </w:r>
    </w:p>
    <w:p w:rsidR="004723EF" w:rsidRPr="0031234C" w:rsidRDefault="004723EF" w:rsidP="00472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Из имеющихся данных на 01.07.2020 года следует, что наибольший удельный вес в структуре недоимки по платежам  составляет налог на имущество  физических лиц – 64,7  % от общей суммы недоимки, на втором месте  задолженность по земельному налогу – 30,6 процента, на третьем  и последнем месте – задолженность по НДФЛ - 4,7  процента.</w:t>
      </w:r>
    </w:p>
    <w:p w:rsidR="003401FB" w:rsidRPr="00AC28A1" w:rsidRDefault="003401FB" w:rsidP="003401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 За 1 полугодие  20</w:t>
      </w:r>
      <w:r w:rsidR="00AC28A1" w:rsidRPr="00AC28A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C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поселения исполнен с профицитом  в сумме  </w:t>
      </w:r>
      <w:r w:rsidR="00AC28A1" w:rsidRPr="00AC28A1">
        <w:rPr>
          <w:rFonts w:ascii="Times New Roman" w:eastAsia="Times New Roman" w:hAnsi="Times New Roman" w:cs="Times New Roman"/>
          <w:sz w:val="28"/>
          <w:szCs w:val="28"/>
          <w:lang w:eastAsia="ru-RU"/>
        </w:rPr>
        <w:t>150,0</w:t>
      </w:r>
      <w:r w:rsidRPr="00AC2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84223E" w:rsidRPr="004C7A99" w:rsidRDefault="003401FB" w:rsidP="008422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</w:t>
      </w:r>
      <w:r w:rsidR="0084223E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исполнения бюджета поселения за 1 </w:t>
      </w:r>
      <w:r w:rsidR="008422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полугодие </w:t>
      </w:r>
      <w:r w:rsidR="0084223E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текущего года объем кредиторской задолженности </w:t>
      </w:r>
      <w:r w:rsidR="008422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снизился на 31,3 тыс. рублей и  </w:t>
      </w:r>
      <w:r w:rsidR="0084223E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составил – </w:t>
      </w:r>
      <w:r w:rsidR="0084223E">
        <w:rPr>
          <w:rFonts w:ascii="Times New Roman" w:eastAsiaTheme="minorEastAsia" w:hAnsi="Times New Roman" w:cs="Times New Roman"/>
          <w:sz w:val="28"/>
          <w:szCs w:val="28"/>
          <w:lang w:eastAsia="ru-RU"/>
        </w:rPr>
        <w:t>70,5</w:t>
      </w:r>
      <w:r w:rsidR="0084223E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просроченная задолженность  отсутствует</w:t>
      </w:r>
      <w:r w:rsidR="0084223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числе:</w:t>
      </w:r>
      <w:r w:rsidR="0084223E" w:rsidRPr="003753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4223E" w:rsidRPr="004C7A99" w:rsidRDefault="0084223E" w:rsidP="00842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договору за выполнение работы по финансовой части – 19,8 тыс. рублей;</w:t>
      </w:r>
    </w:p>
    <w:p w:rsidR="0084223E" w:rsidRPr="005227F7" w:rsidRDefault="0084223E" w:rsidP="00842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A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муниципальным пенсиям – 13,3 тыс. рублей;</w:t>
      </w:r>
    </w:p>
    <w:p w:rsidR="0084223E" w:rsidRPr="005227F7" w:rsidRDefault="0084223E" w:rsidP="00842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данным ИФНС России №1 по </w:t>
      </w:r>
      <w:proofErr w:type="gramStart"/>
      <w:r w:rsidRPr="005227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52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(налоги) - 37,4 тыс. рублей.</w:t>
      </w:r>
    </w:p>
    <w:p w:rsidR="003401FB" w:rsidRDefault="0084223E" w:rsidP="0084223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  </w:t>
      </w:r>
      <w:r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Дебиторская задолженность  на 01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июня</w:t>
      </w:r>
      <w:r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2019 года отсутств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ует</w:t>
      </w:r>
      <w:r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на 01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июня</w:t>
      </w:r>
      <w:r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2020 года составила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10336,9</w:t>
      </w:r>
      <w:r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то есть увеличилась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10336,9 </w:t>
      </w:r>
      <w:r w:rsidRPr="00AD65B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или на 100 процентов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Сумма дебиторская задолженность является  начислениями безвозмездных поступлений от других бюджетов бюджетной системы РФ на 2020 год и плановый период 2021-2022 годов.</w:t>
      </w:r>
    </w:p>
    <w:p w:rsidR="0084223E" w:rsidRPr="0084223E" w:rsidRDefault="0084223E" w:rsidP="0084223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401FB" w:rsidRPr="0084223E" w:rsidRDefault="003401FB" w:rsidP="008422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</w:t>
      </w:r>
      <w:r w:rsidR="0084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ндации администрации поселения:</w:t>
      </w:r>
    </w:p>
    <w:p w:rsidR="003401FB" w:rsidRPr="0084223E" w:rsidRDefault="003401FB" w:rsidP="003401FB">
      <w:pPr>
        <w:spacing w:after="0" w:line="240" w:lineRule="auto"/>
        <w:ind w:right="-1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223E">
        <w:rPr>
          <w:rFonts w:ascii="Times New Roman" w:eastAsia="Calibri" w:hAnsi="Times New Roman" w:cs="Times New Roman"/>
          <w:i/>
          <w:sz w:val="28"/>
          <w:szCs w:val="28"/>
        </w:rPr>
        <w:t xml:space="preserve">         </w:t>
      </w:r>
      <w:r w:rsidRPr="008422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В целях пополнения доходной части  бюджета поселения  рекомендуем принять все необходимые меры по сокращению задолженности по налоговым доходам. </w:t>
      </w:r>
    </w:p>
    <w:p w:rsidR="003401FB" w:rsidRPr="0084223E" w:rsidRDefault="003401FB" w:rsidP="003401FB">
      <w:pPr>
        <w:spacing w:after="0" w:line="240" w:lineRule="auto"/>
        <w:ind w:right="-14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22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84223E" w:rsidRPr="0086673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Принять все необходимые меры к недопущению  роста просроченной  кредиторской задолженности.</w:t>
      </w:r>
      <w:r w:rsidRPr="008422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</w:p>
    <w:p w:rsidR="003401FB" w:rsidRPr="0084223E" w:rsidRDefault="003401FB" w:rsidP="003401FB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1FB" w:rsidRPr="0084223E" w:rsidRDefault="003401FB" w:rsidP="003401FB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1FB" w:rsidRPr="0084223E" w:rsidRDefault="003401FB" w:rsidP="003401F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22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3401FB" w:rsidRPr="00905407" w:rsidRDefault="003401FB" w:rsidP="003401F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22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ревизионной комиссии                                </w:t>
      </w:r>
      <w:r w:rsidRPr="0084223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</w:t>
      </w:r>
      <w:r w:rsidRPr="0084223E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</w:t>
      </w:r>
      <w:r w:rsidR="009054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М.И. Шестакова</w:t>
      </w:r>
    </w:p>
    <w:p w:rsidR="003401FB" w:rsidRPr="003401FB" w:rsidRDefault="003401FB" w:rsidP="003401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401FB" w:rsidRPr="003401FB" w:rsidRDefault="003401FB" w:rsidP="003401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401FB" w:rsidRPr="003401FB" w:rsidRDefault="003401FB" w:rsidP="003401FB">
      <w:pPr>
        <w:rPr>
          <w:color w:val="C00000"/>
        </w:rPr>
      </w:pPr>
    </w:p>
    <w:p w:rsidR="0020374E" w:rsidRDefault="0020374E"/>
    <w:sectPr w:rsidR="0020374E" w:rsidSect="00BA4821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911" w:rsidRDefault="00063911">
      <w:pPr>
        <w:spacing w:after="0" w:line="240" w:lineRule="auto"/>
      </w:pPr>
      <w:r>
        <w:separator/>
      </w:r>
    </w:p>
  </w:endnote>
  <w:endnote w:type="continuationSeparator" w:id="0">
    <w:p w:rsidR="00063911" w:rsidRDefault="0006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911" w:rsidRDefault="00063911">
      <w:pPr>
        <w:spacing w:after="0" w:line="240" w:lineRule="auto"/>
      </w:pPr>
      <w:r>
        <w:separator/>
      </w:r>
    </w:p>
  </w:footnote>
  <w:footnote w:type="continuationSeparator" w:id="0">
    <w:p w:rsidR="00063911" w:rsidRDefault="00063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D1B" w:rsidRDefault="008D7D1B" w:rsidP="00BA482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8D7D1B" w:rsidRDefault="008D7D1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D1B" w:rsidRDefault="008D7D1B" w:rsidP="00BA482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13AB0">
      <w:rPr>
        <w:rStyle w:val="a8"/>
        <w:noProof/>
      </w:rPr>
      <w:t>16</w:t>
    </w:r>
    <w:r>
      <w:rPr>
        <w:rStyle w:val="a8"/>
      </w:rPr>
      <w:fldChar w:fldCharType="end"/>
    </w:r>
  </w:p>
  <w:p w:rsidR="008D7D1B" w:rsidRDefault="008D7D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1C"/>
    <w:rsid w:val="00063911"/>
    <w:rsid w:val="000A514D"/>
    <w:rsid w:val="00114D0F"/>
    <w:rsid w:val="00140D7B"/>
    <w:rsid w:val="00176B57"/>
    <w:rsid w:val="002009DD"/>
    <w:rsid w:val="0020374E"/>
    <w:rsid w:val="00240F4E"/>
    <w:rsid w:val="00257C3E"/>
    <w:rsid w:val="00276F30"/>
    <w:rsid w:val="002F2446"/>
    <w:rsid w:val="002F76B7"/>
    <w:rsid w:val="0031234C"/>
    <w:rsid w:val="003401FB"/>
    <w:rsid w:val="003600F1"/>
    <w:rsid w:val="003720C5"/>
    <w:rsid w:val="003A1C47"/>
    <w:rsid w:val="00403290"/>
    <w:rsid w:val="00463D4F"/>
    <w:rsid w:val="004723EF"/>
    <w:rsid w:val="00474D23"/>
    <w:rsid w:val="00487FAB"/>
    <w:rsid w:val="004B542E"/>
    <w:rsid w:val="004C4BB2"/>
    <w:rsid w:val="004C7A99"/>
    <w:rsid w:val="004F5931"/>
    <w:rsid w:val="005216BE"/>
    <w:rsid w:val="005227F7"/>
    <w:rsid w:val="005527DB"/>
    <w:rsid w:val="00596168"/>
    <w:rsid w:val="006044B0"/>
    <w:rsid w:val="00613AB0"/>
    <w:rsid w:val="006335A2"/>
    <w:rsid w:val="006408EB"/>
    <w:rsid w:val="00645762"/>
    <w:rsid w:val="006C12B0"/>
    <w:rsid w:val="007509A4"/>
    <w:rsid w:val="0076204A"/>
    <w:rsid w:val="0077080B"/>
    <w:rsid w:val="00823756"/>
    <w:rsid w:val="0084223E"/>
    <w:rsid w:val="008445E7"/>
    <w:rsid w:val="00845BDA"/>
    <w:rsid w:val="008D7D1B"/>
    <w:rsid w:val="008F4299"/>
    <w:rsid w:val="00905204"/>
    <w:rsid w:val="00905407"/>
    <w:rsid w:val="00920173"/>
    <w:rsid w:val="00954285"/>
    <w:rsid w:val="00993149"/>
    <w:rsid w:val="009F5A3A"/>
    <w:rsid w:val="00A065F5"/>
    <w:rsid w:val="00A506CE"/>
    <w:rsid w:val="00AA6548"/>
    <w:rsid w:val="00AC28A1"/>
    <w:rsid w:val="00B6314D"/>
    <w:rsid w:val="00B87C92"/>
    <w:rsid w:val="00BA4821"/>
    <w:rsid w:val="00C60A9A"/>
    <w:rsid w:val="00D55278"/>
    <w:rsid w:val="00DA636D"/>
    <w:rsid w:val="00DC2223"/>
    <w:rsid w:val="00DF256A"/>
    <w:rsid w:val="00E80C64"/>
    <w:rsid w:val="00EF10C8"/>
    <w:rsid w:val="00F6431C"/>
    <w:rsid w:val="00F82A54"/>
    <w:rsid w:val="00F976FB"/>
    <w:rsid w:val="00FA0B84"/>
    <w:rsid w:val="00FD6E46"/>
    <w:rsid w:val="00FD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65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401FB"/>
  </w:style>
  <w:style w:type="table" w:styleId="a3">
    <w:name w:val="Table Grid"/>
    <w:basedOn w:val="a1"/>
    <w:rsid w:val="0034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401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40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3401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40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401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401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3401FB"/>
  </w:style>
  <w:style w:type="paragraph" w:customStyle="1" w:styleId="ConsPlusTitle">
    <w:name w:val="ConsPlusTitle"/>
    <w:rsid w:val="00340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3401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40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1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link w:val="Normal"/>
    <w:rsid w:val="003401F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2"/>
    <w:rsid w:val="003401F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401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3401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3401FB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3401FB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3401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6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65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401FB"/>
  </w:style>
  <w:style w:type="table" w:styleId="a3">
    <w:name w:val="Table Grid"/>
    <w:basedOn w:val="a1"/>
    <w:rsid w:val="0034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401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40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3401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40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401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401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3401FB"/>
  </w:style>
  <w:style w:type="paragraph" w:customStyle="1" w:styleId="ConsPlusTitle">
    <w:name w:val="ConsPlusTitle"/>
    <w:rsid w:val="00340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3401F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40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1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link w:val="Normal"/>
    <w:rsid w:val="003401F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2"/>
    <w:rsid w:val="003401F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401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3401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3401FB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3401FB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3401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6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4229280937406042"/>
          <c:y val="3.3333333333333333E-2"/>
          <c:w val="0.59940079471490215"/>
          <c:h val="0.8786313528990693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Лист1!$B$160</c:f>
              <c:strCache>
                <c:ptCount val="1"/>
                <c:pt idx="0">
                  <c:v>за 6 месяцев  2020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Лист1!$A$161:$A$165</c:f>
              <c:strCache>
                <c:ptCount val="5"/>
                <c:pt idx="0">
                  <c:v>НДФЛ</c:v>
                </c:pt>
                <c:pt idx="1">
                  <c:v>Налог на иущество физических 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Доходы,  от реализации иного имущества, находящегося в собственности поселения</c:v>
                </c:pt>
              </c:strCache>
            </c:strRef>
          </c:cat>
          <c:val>
            <c:numRef>
              <c:f>Лист1!$B$161:$B$165</c:f>
              <c:numCache>
                <c:formatCode>General</c:formatCode>
                <c:ptCount val="5"/>
                <c:pt idx="0">
                  <c:v>77.599999999999994</c:v>
                </c:pt>
                <c:pt idx="1">
                  <c:v>2.5</c:v>
                </c:pt>
                <c:pt idx="2">
                  <c:v>32.5</c:v>
                </c:pt>
                <c:pt idx="3">
                  <c:v>1.6</c:v>
                </c:pt>
                <c:pt idx="4">
                  <c:v>44.6</c:v>
                </c:pt>
              </c:numCache>
            </c:numRef>
          </c:val>
        </c:ser>
        <c:ser>
          <c:idx val="1"/>
          <c:order val="1"/>
          <c:tx>
            <c:strRef>
              <c:f>Лист1!$C$160</c:f>
              <c:strCache>
                <c:ptCount val="1"/>
                <c:pt idx="0">
                  <c:v>за 6 месяцев 2019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Лист1!$A$161:$A$165</c:f>
              <c:strCache>
                <c:ptCount val="5"/>
                <c:pt idx="0">
                  <c:v>НДФЛ</c:v>
                </c:pt>
                <c:pt idx="1">
                  <c:v>Налог на иущество физических 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Доходы,  от реализации иного имущества, находящегося в собственности поселения</c:v>
                </c:pt>
              </c:strCache>
            </c:strRef>
          </c:cat>
          <c:val>
            <c:numRef>
              <c:f>Лист1!$C$161:$C$165</c:f>
              <c:numCache>
                <c:formatCode>General</c:formatCode>
                <c:ptCount val="5"/>
                <c:pt idx="0">
                  <c:v>98.7</c:v>
                </c:pt>
                <c:pt idx="1">
                  <c:v>9</c:v>
                </c:pt>
                <c:pt idx="2">
                  <c:v>37.700000000000003</c:v>
                </c:pt>
                <c:pt idx="3">
                  <c:v>7.4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27409280"/>
        <c:axId val="228099200"/>
        <c:axId val="0"/>
      </c:bar3DChart>
      <c:catAx>
        <c:axId val="227409280"/>
        <c:scaling>
          <c:orientation val="minMax"/>
        </c:scaling>
        <c:delete val="0"/>
        <c:axPos val="l"/>
        <c:majorTickMark val="out"/>
        <c:minorTickMark val="none"/>
        <c:tickLblPos val="nextTo"/>
        <c:crossAx val="228099200"/>
        <c:crosses val="autoZero"/>
        <c:auto val="1"/>
        <c:lblAlgn val="ctr"/>
        <c:lblOffset val="100"/>
        <c:noMultiLvlLbl val="0"/>
      </c:catAx>
      <c:valAx>
        <c:axId val="2280992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7409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654388402688054"/>
          <c:y val="1.4900262467191602E-2"/>
          <c:w val="0.24281628109179851"/>
          <c:h val="0.109593414459556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534008830291557E-2"/>
          <c:y val="3.5079051137565154E-2"/>
          <c:w val="0.8848572300555454"/>
          <c:h val="0.759870134716572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Лист1!$B$200</c:f>
              <c:strCache>
                <c:ptCount val="1"/>
                <c:pt idx="0">
                  <c:v>за 6 месяцев  2020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Лист1!$A$201:$A$205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  <c:pt idx="4">
                  <c:v>Доходы от возврата остатков субсидий, субвенций и ИМТ</c:v>
                </c:pt>
              </c:strCache>
            </c:strRef>
          </c:cat>
          <c:val>
            <c:numRef>
              <c:f>Лист1!$B$201:$B$205</c:f>
              <c:numCache>
                <c:formatCode>General</c:formatCode>
                <c:ptCount val="5"/>
                <c:pt idx="0">
                  <c:v>1267.9000000000001</c:v>
                </c:pt>
                <c:pt idx="1">
                  <c:v>265.5</c:v>
                </c:pt>
                <c:pt idx="2">
                  <c:v>46.8</c:v>
                </c:pt>
                <c:pt idx="3">
                  <c:v>657.1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Лист1!$C$200</c:f>
              <c:strCache>
                <c:ptCount val="1"/>
                <c:pt idx="0">
                  <c:v>за 6 месяцев  2019 года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5.1679586563307491E-2"/>
                  <c:y val="6.31936410792252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Лист1!$A$201:$A$205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МБТ</c:v>
                </c:pt>
                <c:pt idx="4">
                  <c:v>Доходы от возврата остатков субсидий, субвенций и ИМТ</c:v>
                </c:pt>
              </c:strCache>
            </c:strRef>
          </c:cat>
          <c:val>
            <c:numRef>
              <c:f>Лист1!$C$201:$C$205</c:f>
              <c:numCache>
                <c:formatCode>General</c:formatCode>
                <c:ptCount val="5"/>
                <c:pt idx="0">
                  <c:v>1527.2</c:v>
                </c:pt>
                <c:pt idx="1">
                  <c:v>336.4</c:v>
                </c:pt>
                <c:pt idx="2">
                  <c:v>46.5</c:v>
                </c:pt>
                <c:pt idx="3">
                  <c:v>982.4</c:v>
                </c:pt>
                <c:pt idx="4">
                  <c:v>-43.5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8088064"/>
        <c:axId val="260927488"/>
        <c:axId val="0"/>
      </c:bar3DChart>
      <c:catAx>
        <c:axId val="228088064"/>
        <c:scaling>
          <c:orientation val="minMax"/>
        </c:scaling>
        <c:delete val="0"/>
        <c:axPos val="b"/>
        <c:majorTickMark val="out"/>
        <c:minorTickMark val="none"/>
        <c:tickLblPos val="nextTo"/>
        <c:crossAx val="260927488"/>
        <c:crosses val="autoZero"/>
        <c:auto val="1"/>
        <c:lblAlgn val="ctr"/>
        <c:lblOffset val="100"/>
        <c:noMultiLvlLbl val="0"/>
      </c:catAx>
      <c:valAx>
        <c:axId val="260927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8088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680725955767159"/>
          <c:y val="2.5804381087435165E-2"/>
          <c:w val="0.24319274044232844"/>
          <c:h val="0.1142680150763145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Лист1!$B$230</c:f>
              <c:strCache>
                <c:ptCount val="1"/>
                <c:pt idx="0">
                  <c:v>за 6 месяцев  2020 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Лист1!$A$231:$A$238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Лист1!$B$231:$B$238</c:f>
              <c:numCache>
                <c:formatCode>General</c:formatCode>
                <c:ptCount val="8"/>
                <c:pt idx="0">
                  <c:v>1168.4000000000001</c:v>
                </c:pt>
                <c:pt idx="1">
                  <c:v>46.8</c:v>
                </c:pt>
                <c:pt idx="2">
                  <c:v>0</c:v>
                </c:pt>
                <c:pt idx="3">
                  <c:v>30</c:v>
                </c:pt>
                <c:pt idx="4">
                  <c:v>218.4</c:v>
                </c:pt>
                <c:pt idx="5">
                  <c:v>0</c:v>
                </c:pt>
                <c:pt idx="6">
                  <c:v>66.3</c:v>
                </c:pt>
                <c:pt idx="7">
                  <c:v>716.3</c:v>
                </c:pt>
              </c:numCache>
            </c:numRef>
          </c:val>
        </c:ser>
        <c:ser>
          <c:idx val="1"/>
          <c:order val="1"/>
          <c:tx>
            <c:strRef>
              <c:f>Лист1!$C$230</c:f>
              <c:strCache>
                <c:ptCount val="1"/>
                <c:pt idx="0">
                  <c:v>за 6 месяцев 2019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Лист1!$A$231:$A$238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Лист1!$C$231:$C$238</c:f>
              <c:numCache>
                <c:formatCode>General</c:formatCode>
                <c:ptCount val="8"/>
                <c:pt idx="0">
                  <c:v>1587.8</c:v>
                </c:pt>
                <c:pt idx="1">
                  <c:v>46.1</c:v>
                </c:pt>
                <c:pt idx="2">
                  <c:v>0</c:v>
                </c:pt>
                <c:pt idx="3">
                  <c:v>42</c:v>
                </c:pt>
                <c:pt idx="4">
                  <c:v>333.3</c:v>
                </c:pt>
                <c:pt idx="5">
                  <c:v>0</c:v>
                </c:pt>
                <c:pt idx="6">
                  <c:v>79.599999999999994</c:v>
                </c:pt>
                <c:pt idx="7">
                  <c:v>750.1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1878912"/>
        <c:axId val="261880448"/>
      </c:barChart>
      <c:catAx>
        <c:axId val="261878912"/>
        <c:scaling>
          <c:orientation val="minMax"/>
        </c:scaling>
        <c:delete val="0"/>
        <c:axPos val="l"/>
        <c:majorTickMark val="out"/>
        <c:minorTickMark val="none"/>
        <c:tickLblPos val="nextTo"/>
        <c:crossAx val="261880448"/>
        <c:crosses val="autoZero"/>
        <c:auto val="1"/>
        <c:lblAlgn val="ctr"/>
        <c:lblOffset val="100"/>
        <c:noMultiLvlLbl val="0"/>
      </c:catAx>
      <c:valAx>
        <c:axId val="2618804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1878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138948218517217E-2"/>
          <c:y val="2.0361359680543599E-3"/>
          <c:w val="0.88175417344087059"/>
          <c:h val="0.95093757439748516"/>
        </c:manualLayout>
      </c:layout>
      <c:pie3DChart>
        <c:varyColors val="1"/>
        <c:ser>
          <c:idx val="0"/>
          <c:order val="0"/>
          <c:explosion val="22"/>
          <c:dLbls>
            <c:dLbl>
              <c:idx val="0"/>
              <c:layout>
                <c:manualLayout>
                  <c:x val="-0.18699056096248839"/>
                  <c:y val="-9.02462397305427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52,0%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539301008426578E-2"/>
                  <c:y val="3.18049317269321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оборона "</a:t>
                    </a:r>
                    <a:r>
                      <a:rPr lang="ru-RU" baseline="0"/>
                      <a:t> -2,1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8704878489379049E-3"/>
                  <c:y val="-9.825684718241953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 -0,0%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"Национальная экономика" -1,3%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</a:t>
                    </a:r>
                    <a:r>
                      <a:rPr lang="ru-RU" baseline="0"/>
                      <a:t>" -9,7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"Образование" -0,0%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"Социальная политика"  -3,0%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-31,9%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 культура" - 1,7%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</a:t>
                    </a:r>
                    <a:r>
                      <a:rPr lang="en-US"/>
                      <a:t>1,</a:t>
                    </a:r>
                    <a:r>
                      <a:rPr lang="ru-RU"/>
                      <a:t>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"СМИ"</a:t>
                    </a:r>
                    <a:r>
                      <a:rPr lang="ru-RU" baseline="0"/>
                      <a:t> - </a:t>
                    </a:r>
                    <a:r>
                      <a:rPr lang="en-US"/>
                      <a:t>0,</a:t>
                    </a:r>
                    <a:r>
                      <a:rPr lang="ru-RU"/>
                      <a:t>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"Межбюджетные</a:t>
                    </a:r>
                    <a:r>
                      <a:rPr lang="ru-RU" baseline="0"/>
                      <a:t> трансферты" - 11,3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Лист1!$A$269:$A$276</c:f>
              <c:strCache>
                <c:ptCount val="8"/>
                <c:pt idx="0">
                  <c:v>Общегосударственные вопросы 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Лист1!$B$269:$B$276</c:f>
              <c:numCache>
                <c:formatCode>General</c:formatCode>
                <c:ptCount val="8"/>
                <c:pt idx="0">
                  <c:v>52</c:v>
                </c:pt>
                <c:pt idx="1">
                  <c:v>2.1</c:v>
                </c:pt>
                <c:pt idx="2">
                  <c:v>0</c:v>
                </c:pt>
                <c:pt idx="3">
                  <c:v>1.3</c:v>
                </c:pt>
                <c:pt idx="4">
                  <c:v>9.6999999999999993</c:v>
                </c:pt>
                <c:pt idx="5">
                  <c:v>0</c:v>
                </c:pt>
                <c:pt idx="6">
                  <c:v>3</c:v>
                </c:pt>
                <c:pt idx="7">
                  <c:v>31.9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2F95F-AECD-47BC-A8C5-C1D54671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4481</Words>
  <Characters>25544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2020-08-18T11:25:00Z</cp:lastPrinted>
  <dcterms:created xsi:type="dcterms:W3CDTF">2020-09-22T07:28:00Z</dcterms:created>
  <dcterms:modified xsi:type="dcterms:W3CDTF">2020-09-22T07:28:00Z</dcterms:modified>
</cp:coreProperties>
</file>