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06" w:rsidRDefault="002A2906" w:rsidP="002A29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906" w:rsidRDefault="002A2906" w:rsidP="002A29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2A2906" w:rsidRDefault="002A2906" w:rsidP="002A29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РЕВИЗИОННАЯ КОМИССИЯ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N 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______________О.А. Дудина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Pr="008106D8" w:rsidRDefault="002A2906" w:rsidP="002A2906">
      <w:pPr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 </w:t>
      </w:r>
      <w:r w:rsidRPr="0081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10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контрольного мероприятия</w:t>
      </w:r>
    </w:p>
    <w:p w:rsidR="002A2906" w:rsidRDefault="002A2906" w:rsidP="002A2906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  </w:t>
      </w:r>
      <w:r w:rsidR="00B1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1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                                                              </w:t>
      </w:r>
      <w:r w:rsidR="00B1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60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1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810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A2906" w:rsidRDefault="002A2906" w:rsidP="002A2906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Pr="00D57B2C" w:rsidRDefault="002A2906" w:rsidP="002A2906">
      <w:pPr>
        <w:spacing w:after="0" w:line="240" w:lineRule="auto"/>
        <w:ind w:left="-567" w:firstLine="14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(тема)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6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Внешняя проверка бюджетной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отчетности главных администраторов </w:t>
      </w:r>
      <w:r w:rsidR="000E34FE">
        <w:rPr>
          <w:rFonts w:ascii="Times New Roman" w:eastAsia="Times New Roman" w:hAnsi="Times New Roman"/>
          <w:b/>
          <w:sz w:val="28"/>
          <w:szCs w:val="28"/>
          <w:lang w:eastAsia="ru-RU"/>
        </w:rPr>
        <w:t>средств бюджета поселения</w:t>
      </w:r>
      <w:proofErr w:type="gramEnd"/>
      <w:r w:rsidR="000E34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414D">
        <w:rPr>
          <w:rFonts w:ascii="Times New Roman" w:eastAsia="Times New Roman" w:hAnsi="Times New Roman"/>
          <w:b/>
          <w:sz w:val="28"/>
          <w:szCs w:val="28"/>
          <w:lang w:eastAsia="ru-RU"/>
        </w:rPr>
        <w:t>Сухонское</w:t>
      </w:r>
      <w:r w:rsidR="000E34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2019 год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906" w:rsidRDefault="002A2906" w:rsidP="002A290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Default="002A2906" w:rsidP="002A2906">
      <w:pPr>
        <w:spacing w:after="0" w:line="240" w:lineRule="auto"/>
        <w:ind w:firstLine="37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проведения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1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</w:t>
      </w:r>
      <w:r w:rsidR="00B14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711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«Контрольные мероприятия» плана работы ревизионной комиссии Представительного Собрания района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711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0E34F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распоряжение от 1</w:t>
      </w:r>
      <w:r w:rsidR="00B14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0E34FE">
        <w:rPr>
          <w:rFonts w:ascii="Times New Roman" w:eastAsiaTheme="minorEastAsia" w:hAnsi="Times New Roman" w:cs="Times New Roman"/>
          <w:sz w:val="28"/>
          <w:szCs w:val="28"/>
          <w:lang w:eastAsia="ru-RU"/>
        </w:rPr>
        <w:t>.03.2020 года №</w:t>
      </w:r>
      <w:r w:rsidR="00B14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E34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проведении контрольного мероприятия». </w:t>
      </w:r>
    </w:p>
    <w:p w:rsidR="002A2906" w:rsidRDefault="002A2906" w:rsidP="002A290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Default="002A2906" w:rsidP="002A29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(и) контрольного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0E34FE" w:rsidRPr="000E34FE" w:rsidRDefault="000E34FE" w:rsidP="000E3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0E34FE">
        <w:rPr>
          <w:rFonts w:ascii="Times New Roman" w:eastAsia="Calibri" w:hAnsi="Times New Roman" w:cs="Times New Roman"/>
          <w:sz w:val="28"/>
          <w:szCs w:val="28"/>
        </w:rPr>
        <w:t xml:space="preserve">годовая бюджетная отчетность администрации поселения </w:t>
      </w:r>
      <w:r w:rsidR="00071793">
        <w:rPr>
          <w:rFonts w:ascii="Times New Roman" w:eastAsia="Calibri" w:hAnsi="Times New Roman" w:cs="Times New Roman"/>
          <w:sz w:val="28"/>
          <w:szCs w:val="28"/>
        </w:rPr>
        <w:t>Сухонское</w:t>
      </w:r>
      <w:r w:rsidRPr="000E34FE">
        <w:rPr>
          <w:rFonts w:ascii="Times New Roman" w:eastAsia="Calibri" w:hAnsi="Times New Roman" w:cs="Times New Roman"/>
          <w:sz w:val="28"/>
          <w:szCs w:val="28"/>
        </w:rPr>
        <w:t xml:space="preserve"> представленная в составе форм, предусмотренных п.11.2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2A2906" w:rsidRDefault="002A2906" w:rsidP="002A2906">
      <w:pPr>
        <w:tabs>
          <w:tab w:val="left" w:pos="507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2906" w:rsidRDefault="002A2906" w:rsidP="002A290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Default="002A2906" w:rsidP="002A2906">
      <w:pPr>
        <w:spacing w:after="0" w:line="240" w:lineRule="auto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Объекты контрольного мероприятия: </w:t>
      </w:r>
      <w:r w:rsidR="000E34FE">
        <w:rPr>
          <w:rFonts w:ascii="Times New Roman" w:hAnsi="Times New Roman"/>
          <w:sz w:val="28"/>
          <w:szCs w:val="28"/>
        </w:rPr>
        <w:t xml:space="preserve">Администрация поселения </w:t>
      </w:r>
      <w:r w:rsidR="00B1414D">
        <w:rPr>
          <w:rFonts w:ascii="Times New Roman" w:hAnsi="Times New Roman"/>
          <w:sz w:val="28"/>
          <w:szCs w:val="28"/>
        </w:rPr>
        <w:t>Сухонское</w:t>
      </w:r>
      <w:r w:rsidR="000E34FE">
        <w:rPr>
          <w:rFonts w:ascii="Times New Roman" w:hAnsi="Times New Roman"/>
          <w:sz w:val="28"/>
          <w:szCs w:val="28"/>
        </w:rPr>
        <w:t>.</w:t>
      </w:r>
    </w:p>
    <w:p w:rsidR="002A2906" w:rsidRDefault="002A2906" w:rsidP="002A290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906" w:rsidRDefault="002A2906" w:rsidP="002A2906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Проверяемый период деятельности:</w:t>
      </w:r>
      <w:r w:rsidR="00660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 год.</w:t>
      </w:r>
    </w:p>
    <w:p w:rsidR="002A2906" w:rsidRPr="00992BDA" w:rsidRDefault="002A2906" w:rsidP="002A29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Сроки проведения контрольного мероприятия:</w:t>
      </w:r>
      <w:r w:rsidR="00B14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 </w:t>
      </w:r>
      <w:r w:rsidR="00B1414D">
        <w:rPr>
          <w:rFonts w:ascii="Times New Roman" w:hAnsi="Times New Roman"/>
          <w:sz w:val="28"/>
          <w:szCs w:val="28"/>
        </w:rPr>
        <w:t>20</w:t>
      </w:r>
      <w:r w:rsidR="00F46D4C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 xml:space="preserve">  по   </w:t>
      </w:r>
      <w:r w:rsidR="00B141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 марта  2020 года.</w:t>
      </w:r>
    </w:p>
    <w:p w:rsidR="002A2906" w:rsidRDefault="002A2906" w:rsidP="002A2906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Pr="00C22681" w:rsidRDefault="002A2906" w:rsidP="002A2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документы, использованные в работе:</w:t>
      </w:r>
    </w:p>
    <w:p w:rsidR="00F46D4C" w:rsidRPr="00F46D4C" w:rsidRDefault="00F46D4C" w:rsidP="00F46D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6D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Федеральные законы:</w:t>
      </w:r>
    </w:p>
    <w:p w:rsidR="00F46D4C" w:rsidRPr="00F46D4C" w:rsidRDefault="00F46D4C" w:rsidP="00F46D4C">
      <w:pPr>
        <w:tabs>
          <w:tab w:val="num" w:pos="-180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6D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- от 31.07.1998 № 145-ФЗ «Бюджетный кодекс Российской Федерации»;</w:t>
      </w:r>
    </w:p>
    <w:p w:rsidR="00F46D4C" w:rsidRPr="00F46D4C" w:rsidRDefault="00F46D4C" w:rsidP="00F46D4C">
      <w:pPr>
        <w:tabs>
          <w:tab w:val="num" w:pos="-180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46D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от 06.10.2003 № 131-ФЗ «Об общих принципах организации местного самоуправления в Российской Федерации»;</w:t>
      </w:r>
    </w:p>
    <w:p w:rsidR="00F46D4C" w:rsidRPr="00F46D4C" w:rsidRDefault="00F46D4C" w:rsidP="00F46D4C">
      <w:pPr>
        <w:pStyle w:val="a3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F46D4C">
        <w:rPr>
          <w:rFonts w:ascii="Times New Roman" w:hAnsi="Times New Roman"/>
          <w:color w:val="000000"/>
          <w:sz w:val="28"/>
          <w:szCs w:val="28"/>
        </w:rPr>
        <w:t xml:space="preserve">   - Федеральный закон от 06.12.2011 года №402-ФЗ «О бухгалтерском учете» (далее Федеральный закон №402-ФЗ);</w:t>
      </w:r>
    </w:p>
    <w:p w:rsidR="00F46D4C" w:rsidRPr="00F46D4C" w:rsidRDefault="00F46D4C" w:rsidP="00F46D4C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46D4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46D4C">
        <w:rPr>
          <w:rFonts w:ascii="Times New Roman" w:hAnsi="Times New Roman"/>
          <w:sz w:val="28"/>
          <w:szCs w:val="28"/>
        </w:rPr>
        <w:t>Инструкция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191н;</w:t>
      </w:r>
    </w:p>
    <w:p w:rsidR="00F46D4C" w:rsidRDefault="00F46D4C" w:rsidP="00F46D4C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46D4C">
        <w:rPr>
          <w:rFonts w:ascii="Times New Roman" w:hAnsi="Times New Roman"/>
          <w:sz w:val="28"/>
          <w:szCs w:val="28"/>
        </w:rPr>
        <w:t xml:space="preserve">- Решение Совета поселения </w:t>
      </w:r>
      <w:r w:rsidR="00B1414D">
        <w:rPr>
          <w:rFonts w:ascii="Times New Roman" w:hAnsi="Times New Roman"/>
          <w:sz w:val="28"/>
          <w:szCs w:val="28"/>
        </w:rPr>
        <w:t>Сухонское</w:t>
      </w:r>
      <w:r w:rsidRPr="00F46D4C">
        <w:rPr>
          <w:rFonts w:ascii="Times New Roman" w:hAnsi="Times New Roman"/>
          <w:sz w:val="28"/>
          <w:szCs w:val="28"/>
        </w:rPr>
        <w:t xml:space="preserve"> </w:t>
      </w:r>
      <w:r w:rsidR="00B1414D">
        <w:rPr>
          <w:rFonts w:ascii="Times New Roman" w:hAnsi="Times New Roman"/>
          <w:sz w:val="28"/>
          <w:szCs w:val="28"/>
        </w:rPr>
        <w:t xml:space="preserve"> </w:t>
      </w:r>
      <w:r w:rsidRPr="00F46D4C">
        <w:rPr>
          <w:rFonts w:ascii="Times New Roman" w:hAnsi="Times New Roman"/>
          <w:sz w:val="28"/>
          <w:szCs w:val="28"/>
        </w:rPr>
        <w:t xml:space="preserve">от 21.12.2018 г. № </w:t>
      </w:r>
      <w:r w:rsidR="00C21142">
        <w:rPr>
          <w:rFonts w:ascii="Times New Roman" w:hAnsi="Times New Roman"/>
          <w:sz w:val="28"/>
          <w:szCs w:val="28"/>
        </w:rPr>
        <w:t>110</w:t>
      </w:r>
      <w:r w:rsidRPr="00F46D4C">
        <w:rPr>
          <w:rFonts w:ascii="Times New Roman" w:hAnsi="Times New Roman"/>
          <w:sz w:val="28"/>
          <w:szCs w:val="28"/>
        </w:rPr>
        <w:t xml:space="preserve"> «О бюджете поселения  на 2019 год и плановый период 2020 и 2021 годов».</w:t>
      </w:r>
    </w:p>
    <w:p w:rsidR="00F46D4C" w:rsidRPr="00F46D4C" w:rsidRDefault="00F46D4C" w:rsidP="00F46D4C">
      <w:pPr>
        <w:pStyle w:val="a3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проверки составлен: </w:t>
      </w:r>
    </w:p>
    <w:p w:rsidR="002A2906" w:rsidRPr="0056761E" w:rsidRDefault="002A2906" w:rsidP="00F46D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</w:t>
      </w:r>
      <w:r w:rsidR="00F4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E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</w:t>
      </w:r>
      <w:r w:rsidR="00B141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2268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46D4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F46D4C">
        <w:rPr>
          <w:rFonts w:ascii="Times New Roman" w:eastAsia="Times New Roman" w:hAnsi="Times New Roman"/>
          <w:sz w:val="28"/>
          <w:szCs w:val="28"/>
          <w:lang w:eastAsia="ru-RU"/>
        </w:rPr>
        <w:t>отчетности главных администраторов средств бюджета поселения</w:t>
      </w:r>
      <w:proofErr w:type="gramEnd"/>
      <w:r w:rsidR="00F46D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414D">
        <w:rPr>
          <w:rFonts w:ascii="Times New Roman" w:eastAsia="Times New Roman" w:hAnsi="Times New Roman"/>
          <w:sz w:val="28"/>
          <w:szCs w:val="28"/>
          <w:lang w:eastAsia="ru-RU"/>
        </w:rPr>
        <w:t>Сухонское</w:t>
      </w:r>
      <w:r w:rsidR="00F46D4C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2019 год</w:t>
      </w:r>
      <w:r w:rsidRPr="00C2268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1414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.03.2020 года №1</w:t>
      </w:r>
      <w:r w:rsidR="00B141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3F6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подписан  </w:t>
      </w:r>
      <w:r w:rsidR="00783F6F">
        <w:rPr>
          <w:rFonts w:ascii="Times New Roman" w:hAnsi="Times New Roman" w:cs="Times New Roman"/>
          <w:sz w:val="28"/>
          <w:szCs w:val="28"/>
        </w:rPr>
        <w:t xml:space="preserve">Главой поселения </w:t>
      </w:r>
      <w:r w:rsidR="00B1414D">
        <w:rPr>
          <w:rFonts w:ascii="Times New Roman" w:hAnsi="Times New Roman" w:cs="Times New Roman"/>
          <w:sz w:val="28"/>
          <w:szCs w:val="28"/>
        </w:rPr>
        <w:t>Сухонское</w:t>
      </w:r>
      <w:r w:rsidR="00783F6F">
        <w:rPr>
          <w:rFonts w:ascii="Times New Roman" w:hAnsi="Times New Roman" w:cs="Times New Roman"/>
          <w:sz w:val="28"/>
          <w:szCs w:val="28"/>
        </w:rPr>
        <w:t xml:space="preserve"> </w:t>
      </w:r>
      <w:r w:rsidR="00B1414D">
        <w:rPr>
          <w:rFonts w:ascii="Times New Roman" w:hAnsi="Times New Roman" w:cs="Times New Roman"/>
          <w:sz w:val="28"/>
          <w:szCs w:val="28"/>
        </w:rPr>
        <w:t xml:space="preserve">Пальниковой Е.П. </w:t>
      </w:r>
      <w:r>
        <w:rPr>
          <w:rFonts w:ascii="Times New Roman" w:hAnsi="Times New Roman" w:cs="Times New Roman"/>
          <w:sz w:val="28"/>
          <w:szCs w:val="28"/>
        </w:rPr>
        <w:t>без    пояснений.</w:t>
      </w:r>
    </w:p>
    <w:p w:rsidR="002A2906" w:rsidRDefault="002A2906" w:rsidP="002A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Возражения,  замечания 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объекта контрольного мероприятия на результаты контрольного  мероприятия отсутствуют.</w:t>
      </w:r>
    </w:p>
    <w:p w:rsidR="002A2906" w:rsidRDefault="002A2906" w:rsidP="002A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06" w:rsidRPr="007428BA" w:rsidRDefault="002A2906" w:rsidP="002A29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проверки установлено следующее:</w:t>
      </w:r>
    </w:p>
    <w:p w:rsidR="002A2906" w:rsidRDefault="002A2906" w:rsidP="002A2906">
      <w:pPr>
        <w:spacing w:after="0" w:line="240" w:lineRule="auto"/>
        <w:jc w:val="both"/>
      </w:pPr>
    </w:p>
    <w:p w:rsidR="002A2906" w:rsidRDefault="002A2906" w:rsidP="002A2906">
      <w:pPr>
        <w:autoSpaceDE w:val="0"/>
        <w:autoSpaceDN w:val="0"/>
        <w:adjustRightInd w:val="0"/>
        <w:spacing w:after="0" w:line="240" w:lineRule="auto"/>
        <w:ind w:left="-567" w:firstLine="14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83F6F" w:rsidRDefault="00783F6F" w:rsidP="00783F6F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Краткая информация об объекте контрольного мероприятия: </w:t>
      </w:r>
    </w:p>
    <w:p w:rsidR="00783F6F" w:rsidRDefault="00783F6F" w:rsidP="00783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1414D" w:rsidRDefault="00E42B8D" w:rsidP="00B1414D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414D">
        <w:rPr>
          <w:rFonts w:ascii="Times New Roman" w:hAnsi="Times New Roman"/>
          <w:b/>
          <w:sz w:val="28"/>
          <w:szCs w:val="28"/>
        </w:rPr>
        <w:t xml:space="preserve">6. Краткая информация об объекте контрольного мероприятия: </w:t>
      </w:r>
    </w:p>
    <w:p w:rsidR="00B1414D" w:rsidRDefault="00B1414D" w:rsidP="00B141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1414D" w:rsidRPr="00961F7E" w:rsidRDefault="00B1414D" w:rsidP="00B1414D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61F7E">
        <w:rPr>
          <w:rFonts w:ascii="Times New Roman" w:hAnsi="Times New Roman"/>
          <w:sz w:val="28"/>
          <w:szCs w:val="28"/>
        </w:rPr>
        <w:t xml:space="preserve">1. Полное наименование:  Администрация  поселения Сухонское </w:t>
      </w:r>
      <w:r w:rsidRPr="00961F7E">
        <w:rPr>
          <w:rFonts w:ascii="Times New Roman" w:eastAsiaTheme="minorEastAsia" w:hAnsi="Times New Roman"/>
          <w:sz w:val="28"/>
          <w:szCs w:val="28"/>
          <w:lang w:eastAsia="ru-RU"/>
        </w:rPr>
        <w:t>Междуреченского муниципального района.</w:t>
      </w:r>
    </w:p>
    <w:p w:rsidR="00B1414D" w:rsidRPr="00961F7E" w:rsidRDefault="00B1414D" w:rsidP="00B1414D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1F7E">
        <w:rPr>
          <w:rFonts w:ascii="Times New Roman" w:hAnsi="Times New Roman"/>
          <w:sz w:val="28"/>
          <w:szCs w:val="28"/>
        </w:rPr>
        <w:t>2. Сокращенное наименование: Администрация  поселения Сухонское.</w:t>
      </w:r>
    </w:p>
    <w:p w:rsidR="00B1414D" w:rsidRPr="00961F7E" w:rsidRDefault="00B1414D" w:rsidP="00B1414D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1F7E">
        <w:rPr>
          <w:rFonts w:ascii="Times New Roman" w:hAnsi="Times New Roman"/>
          <w:sz w:val="28"/>
          <w:szCs w:val="28"/>
        </w:rPr>
        <w:t>3. Юридический адрес: пл. Свободы, дом 5, с. Шуйское,  Междуреченский район, Вологодская  область, 161050.</w:t>
      </w:r>
    </w:p>
    <w:p w:rsidR="00B1414D" w:rsidRPr="00961F7E" w:rsidRDefault="00B1414D" w:rsidP="00B1414D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1F7E">
        <w:rPr>
          <w:rFonts w:ascii="Times New Roman" w:hAnsi="Times New Roman"/>
          <w:sz w:val="28"/>
          <w:szCs w:val="28"/>
        </w:rPr>
        <w:t>4. ИНН: 3513003073.</w:t>
      </w:r>
    </w:p>
    <w:p w:rsidR="00B1414D" w:rsidRPr="00961F7E" w:rsidRDefault="00B1414D" w:rsidP="00B1414D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1F7E">
        <w:rPr>
          <w:rFonts w:ascii="Times New Roman" w:hAnsi="Times New Roman"/>
          <w:sz w:val="28"/>
          <w:szCs w:val="28"/>
        </w:rPr>
        <w:t>5. Фактический адрес: пл. Свободы, дом 5, с. Шуйское, Междуреченский район, Вологодская  область, 161050.</w:t>
      </w:r>
    </w:p>
    <w:p w:rsidR="00B1414D" w:rsidRPr="00961F7E" w:rsidRDefault="00B1414D" w:rsidP="00B1414D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1F7E">
        <w:rPr>
          <w:rFonts w:ascii="Times New Roman" w:hAnsi="Times New Roman"/>
          <w:sz w:val="28"/>
          <w:szCs w:val="28"/>
        </w:rPr>
        <w:t>6. Контактный телефон: 8- (817-49) 2-12-59.</w:t>
      </w:r>
    </w:p>
    <w:p w:rsidR="00B1414D" w:rsidRDefault="00B1414D" w:rsidP="00B1414D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1F7E">
        <w:rPr>
          <w:rFonts w:ascii="Times New Roman" w:hAnsi="Times New Roman"/>
          <w:sz w:val="28"/>
          <w:szCs w:val="28"/>
        </w:rPr>
        <w:t xml:space="preserve">7. Руководитель за проверяемый период: </w:t>
      </w:r>
      <w:r>
        <w:rPr>
          <w:rFonts w:ascii="Times New Roman" w:hAnsi="Times New Roman"/>
          <w:sz w:val="28"/>
          <w:szCs w:val="28"/>
        </w:rPr>
        <w:t>Пальникова Елена Павловна</w:t>
      </w:r>
      <w:r w:rsidRPr="00961F7E">
        <w:rPr>
          <w:rFonts w:ascii="Times New Roman" w:hAnsi="Times New Roman"/>
          <w:sz w:val="28"/>
          <w:szCs w:val="28"/>
        </w:rPr>
        <w:t>.</w:t>
      </w:r>
    </w:p>
    <w:p w:rsidR="002A2906" w:rsidRDefault="002A2906" w:rsidP="00B1414D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973CD" w:rsidRPr="000E0B53" w:rsidRDefault="00C973CD" w:rsidP="00C973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329B">
        <w:rPr>
          <w:rFonts w:ascii="Times New Roman" w:hAnsi="Times New Roman"/>
          <w:b/>
          <w:sz w:val="28"/>
          <w:szCs w:val="28"/>
        </w:rPr>
        <w:t>По вопросу 1.</w:t>
      </w:r>
      <w:r w:rsidRPr="000E0B53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973CD" w:rsidRPr="000E0B53" w:rsidRDefault="00C973CD" w:rsidP="00C973C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14D" w:rsidRPr="000E0B53" w:rsidRDefault="00620FAB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proofErr w:type="gramStart"/>
      <w:r w:rsidR="00B1414D" w:rsidRPr="00EF42BF">
        <w:rPr>
          <w:rFonts w:ascii="Times New Roman" w:eastAsia="Times New Roman" w:hAnsi="Times New Roman"/>
          <w:sz w:val="28"/>
          <w:szCs w:val="28"/>
          <w:lang w:eastAsia="ru-RU"/>
        </w:rPr>
        <w:t>На основании ст. 264.4 Бюджетного кодекса Российской Федерации, Положения о бюджетном процессе, утвержденного решением Совета поселения Сухонское от 22 сентября 2017 года №15, ст.8 Положения о ревизионной комиссии Представительного Собрания Междуреченского муниципального района, утверждённого решением Представительного Собрания  Междуреченского  муниципального района от 20.09.2011 года №35,  в соответствии с планом работы  ревизионной комиссии  на 20</w:t>
      </w:r>
      <w:r w:rsidR="00B141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1414D" w:rsidRPr="00EF42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проведена внешняя проверка годовой бюджетной</w:t>
      </w:r>
      <w:proofErr w:type="gramEnd"/>
      <w:r w:rsidR="00B1414D" w:rsidRPr="00EF42BF">
        <w:rPr>
          <w:rFonts w:ascii="Times New Roman" w:eastAsia="Times New Roman" w:hAnsi="Times New Roman"/>
          <w:sz w:val="28"/>
          <w:szCs w:val="28"/>
          <w:lang w:eastAsia="ru-RU"/>
        </w:rPr>
        <w:t xml:space="preserve"> отчётности главного администратора бюджетных средств - администрации поселения Сухонское  за 201</w:t>
      </w:r>
      <w:r w:rsidR="00B1414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1414D" w:rsidRPr="00EF42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  <w:r w:rsidR="00112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414D" w:rsidRPr="000E0B53">
        <w:rPr>
          <w:rFonts w:ascii="Times New Roman" w:hAnsi="Times New Roman"/>
          <w:sz w:val="28"/>
          <w:szCs w:val="28"/>
        </w:rPr>
        <w:t>Ответственность за подготовку и представление бюджетной отчетности несут должностные лица:</w:t>
      </w:r>
    </w:p>
    <w:p w:rsidR="00B1414D" w:rsidRPr="000E0B53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B53">
        <w:rPr>
          <w:rFonts w:ascii="Times New Roman" w:hAnsi="Times New Roman"/>
          <w:sz w:val="28"/>
          <w:szCs w:val="28"/>
        </w:rPr>
        <w:t xml:space="preserve">     Глава поселения </w:t>
      </w:r>
      <w:r>
        <w:rPr>
          <w:rFonts w:ascii="Times New Roman" w:hAnsi="Times New Roman"/>
          <w:sz w:val="28"/>
          <w:szCs w:val="28"/>
        </w:rPr>
        <w:t>Сухонское</w:t>
      </w:r>
      <w:r w:rsidRPr="000E0B5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Пальникова Елена Павловна</w:t>
      </w:r>
      <w:r w:rsidRPr="000E0B53">
        <w:rPr>
          <w:rFonts w:ascii="Times New Roman" w:hAnsi="Times New Roman"/>
          <w:sz w:val="28"/>
          <w:szCs w:val="28"/>
        </w:rPr>
        <w:t xml:space="preserve">; </w:t>
      </w:r>
    </w:p>
    <w:p w:rsidR="00B1414D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КУ «Центр бюджетного учета и отчетности Междуреченского  муниципального района» - Паличева Э.А.;</w:t>
      </w:r>
    </w:p>
    <w:p w:rsidR="00B1414D" w:rsidRPr="000E0B53" w:rsidRDefault="00B1414D" w:rsidP="00B141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главный бухгалтер  КУ «Центр бюджетного учета и отчетности Междуреченского  муниципального района» - Воронина Л.Н. Ведение бухгалтерского учета передано по Соглашению от 29 декабря 2018 года №</w:t>
      </w:r>
      <w:r w:rsidRPr="0058520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казенному учреждению «Центр бюджетного учета и отчетности Междуреченского  муниципального района».</w:t>
      </w:r>
    </w:p>
    <w:p w:rsidR="00B1414D" w:rsidRPr="00EF42BF" w:rsidRDefault="00B1414D" w:rsidP="00B14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2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Администрация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Сухонское</w:t>
      </w:r>
      <w:r w:rsidRPr="00EF42B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области, наделена правом юридического лица, является муниципальным казенным учреждением. Деятельность администрации  поселения осуществляется в соответствии с   Уставом поселения Сухонское, утвержденным решением Совета поселения Сухонское  от 14 ноября 2017 года №26 (с последующими изменениями и дополнениями). </w:t>
      </w:r>
      <w:proofErr w:type="gramStart"/>
      <w:r w:rsidRPr="00EF42BF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Сухонское  образовано в результате реорганизации путем объединения сельских поселений Сухонское  и Шейбухтовское в соответствии с законом Вологодской области от 03.05.2017 года № 4136-ОЗ «</w:t>
      </w:r>
      <w:r w:rsidRPr="00EF4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преобразовании некоторых муниципальных образований Междуреченского муниципального района, о внесении изменений в закон области "Об установлении границ Междуреченского муниципального района, границах и статусе муниципальных образований, входящих в его состав».</w:t>
      </w:r>
      <w:proofErr w:type="gramEnd"/>
      <w:r w:rsidR="00620F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42B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поселения Сухонское зарегистрирована </w:t>
      </w:r>
      <w:proofErr w:type="gramStart"/>
      <w:r w:rsidRPr="00EF42B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EF42BF">
        <w:rPr>
          <w:rFonts w:ascii="Times New Roman" w:eastAsia="Times New Roman" w:hAnsi="Times New Roman"/>
          <w:sz w:val="28"/>
          <w:szCs w:val="28"/>
          <w:lang w:eastAsia="ru-RU"/>
        </w:rPr>
        <w:t xml:space="preserve"> МРИ ФНС №1 </w:t>
      </w:r>
      <w:proofErr w:type="gramStart"/>
      <w:r w:rsidRPr="00EF42B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EF42BF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Вологодской области 16 января 2018 года.</w:t>
      </w:r>
    </w:p>
    <w:p w:rsidR="00B1414D" w:rsidRPr="00EF42BF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2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Администрации поселения Сухонское, предусмотренным в Уставе поселения.</w:t>
      </w:r>
    </w:p>
    <w:p w:rsidR="00B1414D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1414D" w:rsidRPr="000E0B53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1414D" w:rsidRPr="000E0B53" w:rsidRDefault="00B1414D" w:rsidP="00B1414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вопросу 2. </w:t>
      </w:r>
      <w:r w:rsidRPr="000E0B53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и оценка форм бюджетной отчётности</w:t>
      </w:r>
    </w:p>
    <w:p w:rsidR="00B1414D" w:rsidRPr="000E0B53" w:rsidRDefault="00B1414D" w:rsidP="00B1414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14D" w:rsidRPr="00EF42BF" w:rsidRDefault="00B1414D" w:rsidP="00B1414D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2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Анализ форм бюджетной отчётности осуществлялся на основании показателей форм бюджетной отчётности, представленных администрацией поселения Сухонское в соответствии с нормами Бюджетного кодекса и Инструкции № 191н.</w:t>
      </w:r>
    </w:p>
    <w:p w:rsidR="00B1414D" w:rsidRPr="00EF42BF" w:rsidRDefault="00B1414D" w:rsidP="00B1414D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соответствии с п.4, п.6 Инструкции № 191н г</w:t>
      </w:r>
      <w:r w:rsidRPr="00EF42BF">
        <w:rPr>
          <w:rFonts w:ascii="Times New Roman" w:hAnsi="Times New Roman"/>
          <w:sz w:val="28"/>
          <w:szCs w:val="28"/>
        </w:rPr>
        <w:t>одовой отчёт главного администратора (распорядителя) бюджетных сре</w:t>
      </w:r>
      <w:proofErr w:type="gramStart"/>
      <w:r w:rsidRPr="00EF42BF">
        <w:rPr>
          <w:rFonts w:ascii="Times New Roman" w:hAnsi="Times New Roman"/>
          <w:sz w:val="28"/>
          <w:szCs w:val="28"/>
        </w:rPr>
        <w:t>дств пр</w:t>
      </w:r>
      <w:proofErr w:type="gramEnd"/>
      <w:r w:rsidRPr="00EF42BF">
        <w:rPr>
          <w:rFonts w:ascii="Times New Roman" w:hAnsi="Times New Roman"/>
          <w:sz w:val="28"/>
          <w:szCs w:val="28"/>
        </w:rPr>
        <w:t xml:space="preserve">едставлен в ревизионную комиссию в не сброшюрованном и не пронумерованном виде с оглавлением, подписанный руководителем и </w:t>
      </w:r>
      <w:r>
        <w:rPr>
          <w:rFonts w:ascii="Times New Roman" w:hAnsi="Times New Roman"/>
          <w:sz w:val="28"/>
          <w:szCs w:val="28"/>
        </w:rPr>
        <w:t>директором и главным бухгалтером КУ «Центр бюджетного учета и отчетности Междуреченского муниципального района».</w:t>
      </w:r>
    </w:p>
    <w:p w:rsidR="00B1414D" w:rsidRPr="00EF42BF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Состав бюджетной отчётности, представленной для проверки, в целом соответствует ст. 264.1 Бюджетного кодекса РФ,  п.11.2 Инструкции № 191н</w:t>
      </w:r>
      <w:r w:rsidRPr="00EF42BF">
        <w:rPr>
          <w:rFonts w:ascii="Times New Roman" w:hAnsi="Times New Roman"/>
          <w:sz w:val="28"/>
          <w:szCs w:val="28"/>
        </w:rPr>
        <w:t xml:space="preserve"> и включает:       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>- баланс исполнения бюджета (ф.0503120);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>- справка по консолидируемым расчетам (ф. 0503125);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 - отчет о бюджетных обязательствах (ф. 0503128);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 -  справку по заключению счетов бюджетного учета отчетного финансового года (ф.0503110);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- отчет об исполнении бюджета (ф. 0503117);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>- отчет о движении денежных средств (ф. 0503123);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>-  отчет о финансовых результатах деятельности (ф.0503121);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- отчет о кассовом поступлении и выбытии бюджетных  средств (ф.0503124);</w:t>
      </w:r>
    </w:p>
    <w:p w:rsidR="00B1414D" w:rsidRPr="00EF42BF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>-  баланс  по поступлениям и выбытиям бюджетных средств (ф.0503140);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>-  пояснительная записка (ф. 0503160);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-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  -  сведения о результатах деятельности (0503162);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>-  сведения об исполнении бюджета (0503164);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  -  сведения о движении нефинансовых активов (ф.0503168);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  -  сведения по дебиторской и кредиторской задолженности (ф. 0503169);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  - сведения о финансовых вложениях получателя бюджетных средств(0503171);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  - сведения о государственном (муниципальном) долге, предоставленных бюджетных кредитах (ф. 0503172);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  -  сведения об изменении остатков валюты баланса (ф.0503173);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     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   - сведения о принятых и неисполненных обязательствах получателя бюджетных средств (ф. 0503175);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      -  сведения об остатках денежных средств на счетах получателя бюджетных средств (ф.0503178);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lastRenderedPageBreak/>
        <w:t xml:space="preserve">          - сведения об исполнении судебных решений по денежным обязательствам (ф.0503296);</w:t>
      </w:r>
    </w:p>
    <w:p w:rsidR="00B1414D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     - отчет об использовании межбюджетных трансфертов из федерального и областного бюджетов (ф.0503324)</w:t>
      </w:r>
      <w:r>
        <w:rPr>
          <w:rFonts w:ascii="Times New Roman" w:hAnsi="Times New Roman"/>
          <w:sz w:val="28"/>
          <w:szCs w:val="28"/>
        </w:rPr>
        <w:t>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Справочная таблица  об исполнении консолидированного бюджета субъекта РФ (ф. 0503387).</w:t>
      </w:r>
    </w:p>
    <w:p w:rsidR="00B1414D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   В текстовой части Пояснительной записки указаны формы отчётности, не включённые в состав бюджетной отчётности ввиду отсутствия числовых значений показателей: </w:t>
      </w:r>
    </w:p>
    <w:p w:rsidR="00B1414D" w:rsidRPr="00EF42BF" w:rsidRDefault="00B1414D" w:rsidP="00B14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сведения об исполнении мероприятий в рамках целевых программ (ф. 0503166);</w:t>
      </w:r>
    </w:p>
    <w:p w:rsidR="00B1414D" w:rsidRPr="00EF42BF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>-  сведения о целевых иностранных кредитах (ф. 0503167);</w:t>
      </w:r>
    </w:p>
    <w:p w:rsidR="00B1414D" w:rsidRDefault="00B1414D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- справка о суммах консолидируемых поступлений, подлежащих зачислению сведения об изменении остатков валюты баланса</w:t>
      </w:r>
      <w:r>
        <w:rPr>
          <w:rFonts w:ascii="Times New Roman" w:hAnsi="Times New Roman"/>
          <w:sz w:val="28"/>
          <w:szCs w:val="28"/>
        </w:rPr>
        <w:t>, средства во временном распоряжении</w:t>
      </w:r>
      <w:r w:rsidRPr="00EF42BF">
        <w:rPr>
          <w:rFonts w:ascii="Times New Roman" w:hAnsi="Times New Roman"/>
          <w:sz w:val="28"/>
          <w:szCs w:val="28"/>
        </w:rPr>
        <w:t xml:space="preserve"> (ф.0503173)</w:t>
      </w:r>
      <w:r>
        <w:rPr>
          <w:rFonts w:ascii="Times New Roman" w:hAnsi="Times New Roman"/>
          <w:sz w:val="28"/>
          <w:szCs w:val="28"/>
        </w:rPr>
        <w:t>.</w:t>
      </w:r>
    </w:p>
    <w:p w:rsidR="00B1414D" w:rsidRPr="00EF42BF" w:rsidRDefault="00620FAB" w:rsidP="00B1414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B1414D" w:rsidRPr="00EF42BF">
        <w:rPr>
          <w:rFonts w:ascii="Times New Roman" w:hAnsi="Times New Roman"/>
          <w:sz w:val="28"/>
          <w:szCs w:val="28"/>
        </w:rPr>
        <w:t>В соответствии со Сводным реестром главных распорядителей, распорядителей и получателей средств бюджета поселения, главных администраторов и администраторов доходов бюджета поселения, главных администраторов и администраторов источников финансирования дефицита бюджета поселения на 201</w:t>
      </w:r>
      <w:r w:rsidR="00B1414D">
        <w:rPr>
          <w:rFonts w:ascii="Times New Roman" w:hAnsi="Times New Roman"/>
          <w:sz w:val="28"/>
          <w:szCs w:val="28"/>
        </w:rPr>
        <w:t>9</w:t>
      </w:r>
      <w:r w:rsidR="00B1414D" w:rsidRPr="00EF42BF">
        <w:rPr>
          <w:rFonts w:ascii="Times New Roman" w:hAnsi="Times New Roman"/>
          <w:sz w:val="28"/>
          <w:szCs w:val="28"/>
        </w:rPr>
        <w:t xml:space="preserve"> год администрация поселения исполняет бюджетные полномочия участника бюджетного процесса как главный распорядитель, главный администратор доходов,  администратор доходов,  получатель бюджетных средств.</w:t>
      </w:r>
      <w:proofErr w:type="gramEnd"/>
    </w:p>
    <w:p w:rsidR="00B1414D" w:rsidRPr="00EF42BF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 Информация о количественном составе подведомственных учреждений отражена в  форме 0503161 «Сведения о количестве подведомственных учреждений». Согласно данных формы 0503161 общее количество органов власти составляет – 1, в том числе главный распорядитель бюджетных средств  – 1. Подведомственных учреждений на 01.01.20</w:t>
      </w:r>
      <w:r>
        <w:rPr>
          <w:rFonts w:ascii="Times New Roman" w:hAnsi="Times New Roman"/>
          <w:sz w:val="28"/>
          <w:szCs w:val="28"/>
        </w:rPr>
        <w:t>20</w:t>
      </w:r>
      <w:r w:rsidRPr="00EF42BF">
        <w:rPr>
          <w:rFonts w:ascii="Times New Roman" w:hAnsi="Times New Roman"/>
          <w:sz w:val="28"/>
          <w:szCs w:val="28"/>
        </w:rPr>
        <w:t xml:space="preserve"> года нет.  </w:t>
      </w:r>
    </w:p>
    <w:p w:rsidR="00B1414D" w:rsidRPr="00EF42BF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F42BF">
        <w:rPr>
          <w:rFonts w:ascii="Times New Roman" w:hAnsi="Times New Roman"/>
          <w:sz w:val="28"/>
          <w:szCs w:val="28"/>
        </w:rPr>
        <w:t xml:space="preserve">       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отчётности,  нарушений не установлено. </w:t>
      </w:r>
    </w:p>
    <w:p w:rsidR="00B1414D" w:rsidRDefault="00620FAB" w:rsidP="00620FA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414D" w:rsidRPr="00EF42BF">
        <w:rPr>
          <w:rFonts w:ascii="Times New Roman" w:hAnsi="Times New Roman"/>
          <w:sz w:val="28"/>
          <w:szCs w:val="28"/>
        </w:rPr>
        <w:t>Фактов нарушения Указаний о порядке применения бюджетной классификации Российской Федерации проверкой также не установлено</w:t>
      </w:r>
      <w:r w:rsidR="00B1414D">
        <w:rPr>
          <w:rFonts w:ascii="Times New Roman" w:hAnsi="Times New Roman"/>
          <w:sz w:val="28"/>
          <w:szCs w:val="28"/>
        </w:rPr>
        <w:t>.</w:t>
      </w:r>
    </w:p>
    <w:p w:rsidR="00B1414D" w:rsidRDefault="00B1414D" w:rsidP="00B1414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14D" w:rsidRPr="000E0B53" w:rsidRDefault="00B1414D" w:rsidP="00B1414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вопросу 3. </w:t>
      </w:r>
      <w:r w:rsidRPr="000E0B53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деятельности</w:t>
      </w:r>
    </w:p>
    <w:p w:rsidR="00B1414D" w:rsidRPr="00143AF9" w:rsidRDefault="00B1414D" w:rsidP="00B1414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14D" w:rsidRPr="00143AF9" w:rsidRDefault="00B1414D" w:rsidP="00B141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3AF9">
        <w:rPr>
          <w:rFonts w:ascii="Times New Roman" w:hAnsi="Times New Roman"/>
          <w:sz w:val="28"/>
          <w:szCs w:val="28"/>
        </w:rPr>
        <w:t xml:space="preserve">    Администрацией поселения Сухонское  в течение отчётного периода приняты меры, направленные на повышение оптимизации расходования бюджетных средств. Данные отражены в пояснительной записке ф.0503160</w:t>
      </w:r>
      <w:r>
        <w:rPr>
          <w:rFonts w:ascii="Times New Roman" w:hAnsi="Times New Roman"/>
          <w:sz w:val="28"/>
          <w:szCs w:val="28"/>
        </w:rPr>
        <w:t xml:space="preserve"> без указания </w:t>
      </w:r>
      <w:r w:rsidRPr="00CA35F4">
        <w:rPr>
          <w:rFonts w:ascii="Times New Roman" w:hAnsi="Times New Roman"/>
          <w:sz w:val="28"/>
          <w:szCs w:val="28"/>
        </w:rPr>
        <w:t>суммы экономического эффекта.</w:t>
      </w:r>
      <w:r w:rsidRPr="00143AF9">
        <w:rPr>
          <w:rFonts w:ascii="Times New Roman" w:hAnsi="Times New Roman"/>
          <w:sz w:val="28"/>
          <w:szCs w:val="28"/>
        </w:rPr>
        <w:t xml:space="preserve"> Отражены меры по повышению эффективности использования бюджетных средств и увеличения </w:t>
      </w:r>
      <w:proofErr w:type="gramStart"/>
      <w:r w:rsidRPr="00143AF9">
        <w:rPr>
          <w:rFonts w:ascii="Times New Roman" w:hAnsi="Times New Roman"/>
          <w:sz w:val="28"/>
          <w:szCs w:val="28"/>
        </w:rPr>
        <w:t>поступлений</w:t>
      </w:r>
      <w:proofErr w:type="gramEnd"/>
      <w:r w:rsidR="00620FAB">
        <w:rPr>
          <w:rFonts w:ascii="Times New Roman" w:hAnsi="Times New Roman"/>
          <w:sz w:val="28"/>
          <w:szCs w:val="28"/>
        </w:rPr>
        <w:t xml:space="preserve"> </w:t>
      </w:r>
      <w:r w:rsidRPr="00143AF9">
        <w:rPr>
          <w:rFonts w:ascii="Times New Roman" w:hAnsi="Times New Roman"/>
          <w:sz w:val="28"/>
          <w:szCs w:val="28"/>
        </w:rPr>
        <w:t xml:space="preserve"> налоговых и неналоговых доходов бюджета поселения, также в связи с выпуском периодического печатного издания (бюллетеня) «Официальный вестник сельского поселения Сухонское» уменьшились </w:t>
      </w:r>
      <w:r w:rsidRPr="00143AF9">
        <w:rPr>
          <w:rFonts w:ascii="Times New Roman" w:hAnsi="Times New Roman"/>
          <w:sz w:val="28"/>
          <w:szCs w:val="28"/>
        </w:rPr>
        <w:lastRenderedPageBreak/>
        <w:t xml:space="preserve">расходы на публикацию нормативно-правовых актов. </w:t>
      </w:r>
      <w:r w:rsidRPr="00143AF9">
        <w:rPr>
          <w:rFonts w:ascii="Times New Roman" w:hAnsi="Times New Roman"/>
          <w:i/>
          <w:sz w:val="28"/>
          <w:szCs w:val="28"/>
        </w:rPr>
        <w:t>Сумма снижения расходов не отражена.</w:t>
      </w:r>
    </w:p>
    <w:p w:rsidR="00B1414D" w:rsidRPr="00143AF9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Администрацией поселения приняты меры по повышению квалификации и переподготовке специалистов. Глава поселения  и  главный специалист администрации поселения обучены по программе «Изменения законодательства с 2019 года» и «Изменения законодательства с 2019 года по вопросам муниципальной службы и коррупции», заместитель Главы администрации прошел переобучение по программе «О контрактной системе в сфере закупок товаров, работ, услуг для обеспечения государственных (муниципальных) и нужд».</w:t>
      </w:r>
    </w:p>
    <w:p w:rsidR="00B1414D" w:rsidRPr="00143AF9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43AF9">
        <w:rPr>
          <w:rFonts w:ascii="Times New Roman" w:hAnsi="Times New Roman"/>
          <w:bCs/>
          <w:sz w:val="28"/>
          <w:szCs w:val="28"/>
        </w:rPr>
        <w:t xml:space="preserve">           В соответствии с учетной политикой производятся мероприятия по осуществлению внутреннего контроля.</w:t>
      </w:r>
      <w:r>
        <w:rPr>
          <w:rFonts w:ascii="Times New Roman" w:hAnsi="Times New Roman"/>
          <w:bCs/>
          <w:sz w:val="28"/>
          <w:szCs w:val="28"/>
        </w:rPr>
        <w:t xml:space="preserve"> На основании приказа Управления финансов района от 21.11.2019 года №29 проведена плановая проверка  по теме: «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Контроль </w:t>
      </w:r>
      <w:r w:rsidR="00620FA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соблюдением бюджетного законодательства РФ и иных нормативных правовых актов, регулирующих бюджетные правоотношения». На основании распоряжения Департамента финансов Вологодской области от 27.08.2019 года №339 проведена внеплановая камеральная проверка по теме: «О контрактной системе в сфере закупок товаров, работ, услуг для обеспечения государственных (муниципальных) нужд».</w:t>
      </w:r>
    </w:p>
    <w:p w:rsidR="00B1414D" w:rsidRPr="00143AF9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Результаты проведённых в отчётном периоде мероприятий по внутреннему контролю изложены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ояснительной записке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№ 5 «Сведения о результатах мероприятий внутреннего контроля». В ходе провер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 отражены в таблице выявленные 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и меры, принятые к устранению нарушений.</w:t>
      </w:r>
    </w:p>
    <w:p w:rsidR="00B1414D" w:rsidRPr="00143AF9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Результаты проведённых в отчётном периоде мероприятий по внешнему муниципальному финансовому  контролю  изложены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>ояснительной записке в таблице № 7 «Сведения о результатах внешних контрольных мероприятий». За проверяемый период Ревизионной комиссией Представительного Собрания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е: «Аудит закупок товаров, работ, услуг для обеспечения государственных (муниципальных) нужд за 2018 – истекший период 2019 года». Также в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осуществлена проверка годового отчета об исполнении бюджета поселения Сухонское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2018 год. Отражены в таблице №7 выявленные нарушения и меры, принятые к устранению нарушений.</w:t>
      </w:r>
    </w:p>
    <w:p w:rsidR="00B1414D" w:rsidRPr="00143AF9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на основании распоряжения 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проведена годовая инвентаризация основных средств, материальных запасов, бланков строгой отчетности, имущества казны, расчетов с дебиторами и кредиторами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с 03.12.2019 года по 13.12.2019 года.</w:t>
      </w:r>
      <w:r w:rsidR="00112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инвентаризации признаков обесценивания объектов нефинансовых активов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выявлено, недостач и хищений не обнаружено. 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проведённых в отчётном периоде инвентаризаций имущества и обязательств отражены в таблице № 6 «Сведения о проведении инвентаризации». </w:t>
      </w:r>
    </w:p>
    <w:p w:rsidR="00B1414D" w:rsidRPr="00143AF9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Информация об остатках и движении нефинансовых активов отражена в</w:t>
      </w:r>
      <w:r w:rsidRPr="00143AF9">
        <w:rPr>
          <w:rFonts w:ascii="Times New Roman" w:hAnsi="Times New Roman"/>
          <w:sz w:val="28"/>
          <w:szCs w:val="28"/>
        </w:rPr>
        <w:t xml:space="preserve"> Балансе  исполнения бюджета поселения  (ф.0503120), пояснительной записке и в 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«Сведениях о движении нефинансовых активов» (ф.0503168). </w:t>
      </w:r>
    </w:p>
    <w:p w:rsidR="00B1414D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Согласно вышеуказанным формам, по состоянию на 01.01.20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числятся основные средства общей балансовой стоимостью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9117,9 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 остаточная стоимость основных средств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1551,1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Таким образом, износ основных средств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83,0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процента. </w:t>
      </w:r>
      <w:proofErr w:type="gramStart"/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>В течение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основных средств поступило в 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2900,7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 них: здания и сооружения на 1274,2 тыс. рублей (сцена в парке с. Шуйское), машины и оборудование  на 307,0 тыс. рублей (оборудование детских игровых площадок в д. Врагово- 113,2 тыс. рублей и  пос. Пионерский – 133,8 тыс. рублей, компьютеры 3 шт. на 60,0 тыс. рублей), инвентарь производственный и хозяйственный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1220,4 тыс. рублей (контейнеры ТКО -97 штук на 1210,4 тыс. рублей, новогодние гирлянды на елку 5 шт. на 10,0  тыс. рублей), прочие основные средства на  99,1 тыс. рублей (лампочки ДРЛ 35 штук).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Выбытие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109,1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 них: инвентарь производственный и хозяйственный в сумме 10,0 тыс. рублей (новогодние гирлянды на елку 5 шт. на 10,0  тыс. рублей) и прочие основные средства в сумме 99,1 тыс. рублей (лампочки ДРЛ 35 штук). Начислено амортизации за 2019 год 7566,8 тыс. рублей.</w:t>
      </w:r>
    </w:p>
    <w:p w:rsidR="00B1414D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балансе учреждения  (ф. 0503120) в справке на забалансовых счетах отражены остатки:</w:t>
      </w:r>
    </w:p>
    <w:p w:rsidR="00B1414D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счету 11 – муниципальная гарантия в сумме 1240,0 тыс. рублей;</w:t>
      </w:r>
    </w:p>
    <w:p w:rsidR="00B1414D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счету 21 –находящиеся в эксплуатации учреждения объекты основных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 ст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оимостью до 10,0 тыс. рублей включительно  в сумме 585,2 тыс. рублей; </w:t>
      </w:r>
    </w:p>
    <w:p w:rsidR="00B1414D" w:rsidRPr="00143AF9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счету 25 – отражено переданное по договорам аренды имущество в сумме 2810,9 тыс. рублей.</w:t>
      </w:r>
    </w:p>
    <w:p w:rsidR="00B1414D" w:rsidRPr="00143AF9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 состоянию на 01.01.20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нефинансовые активы имущества казны составляют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25429,0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В течение отчётного периода произошло увеличение стоимости имущества казны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30271,4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выбытие 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23623,0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По состоянию на 01.01.20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стоимость имущества казны  составила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32077,4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рублей, остаточная стоимость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30271,4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 имущества казны произошло за счет непроизведенных активов (земельных участков) в составе имущества казны на 30271,4 тыс. рублей, в том числе ранее неучтенный земельный участок под административным зданием в п. Шейбухта, ул. Шейбухтовская д. 1 стоимостью 172,0 тыс. рублей. Выбыло имущества казны на 23623,0 тыс. рублей в связи с передачей на уровень Междуреченского муниципального района имущества учреждений культуры по постановлению Правительства Вологодской области от 03.06.2019 года № 518. В составе переданного имущества недвижимое имущество составляет 10473,3 тыс. рублей, движимое имущество – 1330,9 тыс. рублей, земельные участки под зданиями в сумме 11818,8 тыс. рублей.</w:t>
      </w:r>
    </w:p>
    <w:p w:rsidR="00B1414D" w:rsidRPr="00143AF9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В форме 0503171 «Сведения о финансовых вложениях получателя бюджетных средств, администратора источников финансирования дефицита бюджета» на 01.01.20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отражена информация о финансовых вложениях администрации поселения по счету 1 2043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000 в сумме 3,3 тыс. рублей. Согласно Балансу финансовые вложения в течение отчетного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>претерпели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>, на 01.01.201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составляли 3,3 тыс.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Д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оля поселения Сухонское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ставном капитале ООО «Теплосервис»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составила  3,3 тыс. рублей.</w:t>
      </w:r>
    </w:p>
    <w:p w:rsidR="00B1414D" w:rsidRPr="00143AF9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Согласно форме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 доходы, подлежащие перечислению в бюджет за отчетный период, отсутствуют.</w:t>
      </w:r>
    </w:p>
    <w:p w:rsidR="00B1414D" w:rsidRPr="00B15895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92BF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п.170.2 Инструкции № 191н, в Сведения о принятых и неисполненных обязательствах получателя бюджетных средств (ф.0503175) отражается информация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 Общая сумма неисполненных бюджетных обязательств составляет 0,0 тыс. рублей (раздел 1 ф.0503175). Общая сумма неисполненных денежных обязательств составляет 0,0 тыс. рублей (раздел 2 ф.0503175).  Общая сумма бюджетных обязательств, принятых сверх утвержденных бюджетных назначений (раздел 3 ф. 0503175), составляет 0,0 тыс. рублей. В соответствии с п.170.2 Инструкции № 191н в</w:t>
      </w:r>
      <w:r w:rsidR="00112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392BF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разделе 3</w:t>
        </w:r>
      </w:hyperlink>
      <w:r w:rsidRPr="00392B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формы 0503175 отражается информация на основании данных о бюджетных обязательствах, принятых сверх утвержденных бюджетных назначений.</w:t>
      </w:r>
    </w:p>
    <w:p w:rsidR="00B1414D" w:rsidRPr="00392BFC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BFC">
        <w:rPr>
          <w:rFonts w:ascii="Times New Roman" w:eastAsia="Times New Roman" w:hAnsi="Times New Roman"/>
          <w:i/>
          <w:sz w:val="28"/>
          <w:szCs w:val="28"/>
          <w:lang w:eastAsia="ru-RU"/>
        </w:rPr>
        <w:t>Сведения об экономии  при заключении государственных (муниципальных) контрактов с применением конкурентных способов (раздел 4 ф. 0503175) не заполнен. Однако в 2019 году осуществлялись три  закупки конкурентным способом посредством проведения электронного аукциона, сумма экономии составила 6,4 тыс. рублей.</w:t>
      </w:r>
    </w:p>
    <w:p w:rsidR="00B1414D" w:rsidRPr="00143AF9" w:rsidRDefault="00B1414D" w:rsidP="00B141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2019 году исправлена ошибка прошлых лет, при поступлении основных средств по МБУК «Шейбухтовский ДК» в казну  поселения Сухонское после объединений поселений Сухонское и Шейбухтовское не учтена амортизация имущества казны в сумме 1852,5 тыс. рублей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нашло отражение в 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0503173 «Сведения об изменении остатков валюты баланса». </w:t>
      </w:r>
    </w:p>
    <w:p w:rsidR="00B1414D" w:rsidRPr="00143AF9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43A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Стоимость материальных запасов на 01.01.20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143A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составляет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1,0</w:t>
      </w:r>
      <w:r w:rsidRPr="00143A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58,5</w:t>
      </w:r>
      <w:r w:rsidRPr="00143A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меньше</w:t>
      </w:r>
      <w:r w:rsidRPr="00143A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стоимости материальных запасов по состоянию на 01.01.201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143A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2,3</w:t>
      </w:r>
      <w:r w:rsidRPr="00143A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рублей). В течение года согласно форме 0503168 поступило материальных запасов на сумму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546,7 </w:t>
      </w:r>
      <w:r w:rsidRPr="00143A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рублей, выбыло материальных запасов на сумму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548,0</w:t>
      </w:r>
      <w:r w:rsidRPr="00143A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B1414D" w:rsidRPr="00143AF9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4D" w:rsidRPr="00143AF9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</w:t>
      </w:r>
      <w:r w:rsidR="0062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 Долговые обязательства поселения на конец отчетного периода составили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1240,0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(ф. 0503172). </w:t>
      </w:r>
      <w:proofErr w:type="gramStart"/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 образовался по выданной  муниципальной гарантии №1 от 01.09.2014 года Администрацией поселения Сухонское ООО «Приток плюс» за  предоставленный  для отопления социальной сферы поселения природный газ ООО «Газпром межрегионгаз Вологда» с учетом договора уступки требования на сумму 430,0 тыс.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>ООО «Приток»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6638,9 тыс. рублей.</w:t>
      </w:r>
      <w:proofErr w:type="gramEnd"/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2018 года Администрацией поселения погашена муниципальная гарантия в сумме 3958,9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2019 году – 1440,0 тыс. рублей. 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Остаток долга составил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1240,0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соответствует форме 0503172.</w:t>
      </w:r>
    </w:p>
    <w:p w:rsidR="00B1414D" w:rsidRPr="00143AF9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сведениям об исполнении судебных решений по денежным обязательствам бюджета  (ф.0503296)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исполнено денежных обязательств на начало 2019 года в сумме 2680,0 тыс. рублей,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принято к исполнению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денежных обязательств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153,3 тыс.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ей.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Исполнено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1593,3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Остаток на конец года составил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1240,0 тыс.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(остаток неоплаченной муниципальной гарантии). </w:t>
      </w:r>
      <w:proofErr w:type="gramStart"/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>В течение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оплаты по решению суда муниципальной гарантии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1440,0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уплату штрафа направлено 100,0 тыс. рублей по постановлению Междуреченского районного суда за нарушение подпункта 1,7,8 пункта 1 статьи 47.3 Федерального закона от 25.06.2002 года №73-ФЗ «Об объектах культурного наследия (памятниках истории и культуры) народов Российской Федерации» (могила профессора Николая Евгеньевича Введенского (1852-1922),исполнительский сбор</w:t>
      </w:r>
      <w:proofErr w:type="gramEnd"/>
      <w:r w:rsidR="0062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сумме 50,0 тыс. рублей,  исполнительный лист по делу №А13-9843/2019 от 18 июля 2019 года Арбитражного суда Вологодской области  о взыскании с Администрации поселения Сухонское в пользу АО «Вологодская областная энергетическая компания» 1323,84 рублей – проценты за пользование чужими денежными средствами и 2000 рублей в возмещение судебных расходов по уплате государственной пошлины.</w:t>
      </w:r>
      <w:proofErr w:type="gramEnd"/>
      <w:r w:rsidR="00112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3AF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Сумма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1593,3 тыс.</w:t>
      </w:r>
      <w:r w:rsidRPr="00143AF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рублей является неэффективным расходованием бюджетных сре</w:t>
      </w:r>
      <w:proofErr w:type="gramStart"/>
      <w:r w:rsidRPr="00143AF9">
        <w:rPr>
          <w:rFonts w:ascii="Times New Roman" w:eastAsia="Times New Roman" w:hAnsi="Times New Roman"/>
          <w:i/>
          <w:sz w:val="28"/>
          <w:szCs w:val="28"/>
          <w:lang w:eastAsia="ru-RU"/>
        </w:rPr>
        <w:t>дств в с</w:t>
      </w:r>
      <w:proofErr w:type="gramEnd"/>
      <w:r w:rsidRPr="00143AF9">
        <w:rPr>
          <w:rFonts w:ascii="Times New Roman" w:eastAsia="Times New Roman" w:hAnsi="Times New Roman"/>
          <w:i/>
          <w:sz w:val="28"/>
          <w:szCs w:val="28"/>
          <w:lang w:eastAsia="ru-RU"/>
        </w:rPr>
        <w:t>оответствии со статьей 34 Бюджетного кодекса  РФ.</w:t>
      </w:r>
    </w:p>
    <w:p w:rsidR="00B1414D" w:rsidRDefault="00B1414D" w:rsidP="00B1414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Согласно сведениям об остатках денежных средств на счетах  получателя бюджетных средств (ф. 0503178) на счетах Администрации поселения Сухонское  на 01.01.20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бюджетной деятельности  остаток составил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120,9 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по  средствам во временном распоряжении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143AF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14D" w:rsidRPr="00620FAB" w:rsidRDefault="00B1414D" w:rsidP="00B1414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вопросу 4.Анализ исполнения бюджетных назначений по доходам и расходам 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Отчёту о финансовых результатах деятельности (ф.0503121) общий  объём доходов Администрации поселения за отчётный период составил 50525,6 тыс. рублей, в том числе: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доходы – 3442,7 тыс. рублей; 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собственности – 380,8 тыс. рублей;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доходы от оказания платных услуг, компенсаций затрат – 16,3 тыс. рублей;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штрафы, пени, неустойки, возмещение ущерба – 19,4 тыс. рублей;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денежные поступления текущего характера – 16569,0 тыс. рублей;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операций с активами – -174,0 тыс. рублей;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доходы  - 0,0 тыс. рублей;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неденежные</w:t>
      </w:r>
      <w:r w:rsidR="00112678"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в сектор государственного управления -30271,4 тыс. рублей.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приложением № 3 к решению Совета поселения Сухонское   Междуреченского муниципального района от 20.12.2018 г. № 110 «О бюджете поселения  на 2019 год и плановый период 2020 и 2021 годов» Администрация поселения включена в перечень главных администраторов доходов бюджета поселения с закреплением за ним соответствующих кодов доходов.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Согласно Отчёту об исполнении бюджета </w:t>
      </w:r>
      <w:hyperlink r:id="rId8" w:history="1">
        <w:r w:rsidRPr="00620F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0503117)</w:t>
        </w:r>
      </w:hyperlink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Отчёт об исполнении бюджета) доходы, полученные Администрацией поселения за 2019 год, составили 18230,8 тыс. рублей, или 94,5 % от плановых назначений (19289,1 тыс. рублей), в том числе: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доходы физических лиц  в сумме 638,4 тыс. рублей (что на 9,6 % больше, чем в 2018 году);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имущество физических лиц в сумме 1133,0 тыс. рублей (что на 11,0% меньше, чем в 2018 году);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налог в сумме 1196,2 тыс. рублей (что на 6,6 % меньше, чем в 2018 году);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сдачи в аренду имущества, находящегося в оперативном управлении органов управления поселения (за исключением имущества муниципальных бюджетных и автономных учреждений) и доходы от сдачи в аренду имущества, составляющего муниципальную казну,  - в сумме 380,5 тыс. рублей (что на 9,1 % больше, чем в 2018 году);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поступающие в порядке возмещения расходов, понесенных в  связи с  эксплуатацией имущества – в сумме 16,3  тыс. рублей (что в 1,9 раза больше, чем в 2018 году);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продажи материальных и нематериальных активов в  сумме 4,1 тыс. рублей (что на 100 процентов больше, чем в 2018 году);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поступления от  денежных взысканий (штрафов) и иных сумм в возмещение ущерба в сумме 19,4 тыс. рублей (в 2018  таких поступлений не имелось);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  в сумме 14691,4 тыс. рублей (на 38,4 % выше, чем в 2018 году).</w:t>
      </w:r>
    </w:p>
    <w:p w:rsidR="00B1414D" w:rsidRPr="00620FAB" w:rsidRDefault="00B1414D" w:rsidP="00B141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Решением Совета поселения от 20.12.2018 г. № 110 «О бюджете поселения  на 2019 год и плановый период 2020 и 2021 годов» с учётом изменений (далее по тексту – Решение о бюджете поселения на 2019 год) Администрации  поселения утверждены бюджетные ассигнования  в сумме 19575,2 тыс. рублей, что соответствует показателям ф.0503117.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Исполнение бюджетных показателей Администрацией  поселения по расходам характеризуется данными, представленными в таблице. 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Таблица №1.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(тыс. рублей)</w:t>
      </w:r>
    </w:p>
    <w:tbl>
      <w:tblPr>
        <w:tblStyle w:val="1"/>
        <w:tblW w:w="9473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1001"/>
      </w:tblGrid>
      <w:tr w:rsidR="00B1414D" w:rsidRPr="00620FAB" w:rsidTr="00F6296D">
        <w:tc>
          <w:tcPr>
            <w:tcW w:w="3652" w:type="dxa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подраздел</w:t>
            </w:r>
          </w:p>
        </w:tc>
        <w:tc>
          <w:tcPr>
            <w:tcW w:w="1276" w:type="dxa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Предусмотрено сводной росписью, тыс. руб.</w:t>
            </w:r>
          </w:p>
        </w:tc>
        <w:tc>
          <w:tcPr>
            <w:tcW w:w="1276" w:type="dxa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тыс. руб.</w:t>
            </w:r>
          </w:p>
        </w:tc>
        <w:tc>
          <w:tcPr>
            <w:tcW w:w="1134" w:type="dxa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  <w:tc>
          <w:tcPr>
            <w:tcW w:w="1001" w:type="dxa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вес, %</w:t>
            </w:r>
          </w:p>
        </w:tc>
      </w:tr>
      <w:tr w:rsidR="00B1414D" w:rsidRPr="00620FAB" w:rsidTr="00F6296D">
        <w:tc>
          <w:tcPr>
            <w:tcW w:w="3652" w:type="dxa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854,8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772,3</w:t>
            </w:r>
          </w:p>
        </w:tc>
        <w:tc>
          <w:tcPr>
            <w:tcW w:w="1134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90,3</w:t>
            </w:r>
          </w:p>
        </w:tc>
        <w:tc>
          <w:tcPr>
            <w:tcW w:w="1001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B1414D" w:rsidRPr="00620FAB" w:rsidTr="00F6296D">
        <w:tc>
          <w:tcPr>
            <w:tcW w:w="3652" w:type="dxa"/>
          </w:tcPr>
          <w:p w:rsidR="00B1414D" w:rsidRPr="00620FAB" w:rsidRDefault="00B1414D" w:rsidP="00F6296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3761,6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3426,5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1001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</w:t>
            </w:r>
          </w:p>
        </w:tc>
      </w:tr>
      <w:tr w:rsidR="00B1414D" w:rsidRPr="00620FAB" w:rsidTr="00F6296D">
        <w:tc>
          <w:tcPr>
            <w:tcW w:w="3652" w:type="dxa"/>
          </w:tcPr>
          <w:p w:rsidR="00B1414D" w:rsidRPr="00620FAB" w:rsidRDefault="00B1414D" w:rsidP="00F629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0FAB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0FAB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20FAB">
              <w:rPr>
                <w:rFonts w:ascii="Times New Roman" w:hAnsi="Times New Roman" w:cs="Times New Roman"/>
                <w:sz w:val="28"/>
                <w:szCs w:val="28"/>
              </w:rPr>
              <w:t>финансово-бюджетного) надзора</w:t>
            </w:r>
          </w:p>
        </w:tc>
        <w:tc>
          <w:tcPr>
            <w:tcW w:w="1134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88,4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B1414D" w:rsidRPr="00620FAB" w:rsidTr="00F6296D">
        <w:tc>
          <w:tcPr>
            <w:tcW w:w="3652" w:type="dxa"/>
          </w:tcPr>
          <w:p w:rsidR="00B1414D" w:rsidRPr="00620FAB" w:rsidRDefault="00B1414D" w:rsidP="00F629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0FAB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01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1414D" w:rsidRPr="00620FAB" w:rsidTr="00F6296D">
        <w:tc>
          <w:tcPr>
            <w:tcW w:w="3652" w:type="dxa"/>
          </w:tcPr>
          <w:p w:rsidR="00B1414D" w:rsidRPr="00620FAB" w:rsidRDefault="00B1414D" w:rsidP="00F629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0FAB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1874,6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1866,7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1001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</w:tr>
      <w:tr w:rsidR="00B1414D" w:rsidRPr="00620FAB" w:rsidTr="00F6296D">
        <w:tc>
          <w:tcPr>
            <w:tcW w:w="3652" w:type="dxa"/>
          </w:tcPr>
          <w:p w:rsidR="00B1414D" w:rsidRPr="00620FAB" w:rsidRDefault="00B1414D" w:rsidP="00F629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0FAB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230,3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B1414D" w:rsidRPr="00620FAB" w:rsidTr="00F6296D">
        <w:tc>
          <w:tcPr>
            <w:tcW w:w="3652" w:type="dxa"/>
          </w:tcPr>
          <w:p w:rsidR="00B1414D" w:rsidRPr="00620FAB" w:rsidRDefault="00B1414D" w:rsidP="00F629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0FAB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34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001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B1414D" w:rsidRPr="00620FAB" w:rsidTr="00F6296D">
        <w:tc>
          <w:tcPr>
            <w:tcW w:w="3652" w:type="dxa"/>
          </w:tcPr>
          <w:p w:rsidR="00B1414D" w:rsidRPr="00620FAB" w:rsidRDefault="00B1414D" w:rsidP="00F629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0FAB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351,6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B1414D" w:rsidRPr="00620FAB" w:rsidTr="00F6296D">
        <w:tc>
          <w:tcPr>
            <w:tcW w:w="3652" w:type="dxa"/>
          </w:tcPr>
          <w:p w:rsidR="00B1414D" w:rsidRPr="00620FAB" w:rsidRDefault="00B1414D" w:rsidP="00F629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0FAB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393,1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</w:tr>
      <w:tr w:rsidR="00B1414D" w:rsidRPr="00620FAB" w:rsidTr="00F6296D">
        <w:tc>
          <w:tcPr>
            <w:tcW w:w="3652" w:type="dxa"/>
          </w:tcPr>
          <w:p w:rsidR="00B1414D" w:rsidRPr="00620FAB" w:rsidRDefault="00B1414D" w:rsidP="00F629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0FAB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134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11663,9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10985,4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001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59,5</w:t>
            </w:r>
          </w:p>
        </w:tc>
      </w:tr>
      <w:tr w:rsidR="00B1414D" w:rsidRPr="00620FAB" w:rsidTr="00F6296D">
        <w:tc>
          <w:tcPr>
            <w:tcW w:w="3652" w:type="dxa"/>
          </w:tcPr>
          <w:p w:rsidR="00B1414D" w:rsidRPr="00620FAB" w:rsidRDefault="00B1414D" w:rsidP="00F629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0FAB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1134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1001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B1414D" w:rsidRPr="00620FAB" w:rsidTr="00F6296D">
        <w:tc>
          <w:tcPr>
            <w:tcW w:w="3652" w:type="dxa"/>
          </w:tcPr>
          <w:p w:rsidR="00B1414D" w:rsidRPr="00620FAB" w:rsidRDefault="00B1414D" w:rsidP="00F629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0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134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B1414D" w:rsidRPr="00620FAB" w:rsidTr="00F6296D">
        <w:tc>
          <w:tcPr>
            <w:tcW w:w="3652" w:type="dxa"/>
          </w:tcPr>
          <w:p w:rsidR="00B1414D" w:rsidRPr="00620FAB" w:rsidRDefault="00B1414D" w:rsidP="00F629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0FAB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176,9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1,05</w:t>
            </w:r>
          </w:p>
        </w:tc>
      </w:tr>
      <w:tr w:rsidR="00B1414D" w:rsidRPr="00620FAB" w:rsidTr="00F6296D">
        <w:tc>
          <w:tcPr>
            <w:tcW w:w="3652" w:type="dxa"/>
          </w:tcPr>
          <w:p w:rsidR="00B1414D" w:rsidRPr="00620FAB" w:rsidRDefault="00B1414D" w:rsidP="00F6296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20FA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1134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001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B1414D" w:rsidRPr="00620FAB" w:rsidTr="00F6296D">
        <w:tc>
          <w:tcPr>
            <w:tcW w:w="3652" w:type="dxa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19575,2</w:t>
            </w:r>
          </w:p>
        </w:tc>
        <w:tc>
          <w:tcPr>
            <w:tcW w:w="1276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18455,4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1414D" w:rsidRPr="00620FAB" w:rsidRDefault="00B1414D" w:rsidP="00F6296D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94,3</w:t>
            </w:r>
          </w:p>
        </w:tc>
        <w:tc>
          <w:tcPr>
            <w:tcW w:w="1001" w:type="dxa"/>
            <w:vAlign w:val="bottom"/>
          </w:tcPr>
          <w:p w:rsidR="00B1414D" w:rsidRPr="00620FAB" w:rsidRDefault="00B1414D" w:rsidP="00F6296D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Расходная часть  в 2019 году исполнена в сумме 18455,4 тыс. рублей, что составляет 94,3% от утвержденных плановых назначений.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Наибольший удельный вес в общем объёме расходов составляют расходы по разделам «Благоустройство » - 59,5 процента, «</w:t>
      </w:r>
      <w:r w:rsidRPr="00620FAB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 w:rsidRPr="0062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- 18,6%  и «Другие общегосударственные вопросы » -10,1 процента.      </w:t>
      </w:r>
    </w:p>
    <w:p w:rsidR="00B1414D" w:rsidRPr="00620FAB" w:rsidRDefault="00B1414D" w:rsidP="00B14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FAB">
        <w:rPr>
          <w:rFonts w:ascii="Times New Roman" w:hAnsi="Times New Roman" w:cs="Times New Roman"/>
          <w:sz w:val="28"/>
          <w:szCs w:val="28"/>
        </w:rPr>
        <w:t>Структура расходов главного распорядителя бюджетных средств по итогам 2019  года представлена в таблице: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27"/>
        <w:gridCol w:w="1607"/>
        <w:gridCol w:w="1437"/>
      </w:tblGrid>
      <w:tr w:rsidR="00B1414D" w:rsidRPr="007A34DA" w:rsidTr="00F6296D">
        <w:tc>
          <w:tcPr>
            <w:tcW w:w="6771" w:type="dxa"/>
            <w:hideMark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417" w:type="dxa"/>
            <w:hideMark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t>Исполнено, тыс. руб.</w:t>
            </w:r>
          </w:p>
        </w:tc>
        <w:tc>
          <w:tcPr>
            <w:tcW w:w="1383" w:type="dxa"/>
            <w:hideMark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t>Удельный вес, %</w:t>
            </w:r>
          </w:p>
        </w:tc>
      </w:tr>
      <w:tr w:rsidR="00B1414D" w:rsidRPr="007A34DA" w:rsidTr="00F6296D">
        <w:tc>
          <w:tcPr>
            <w:tcW w:w="6771" w:type="dxa"/>
            <w:hideMark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t>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</w:t>
            </w:r>
          </w:p>
        </w:tc>
        <w:tc>
          <w:tcPr>
            <w:tcW w:w="1417" w:type="dxa"/>
            <w:hideMark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3265,0</w:t>
            </w:r>
          </w:p>
        </w:tc>
        <w:tc>
          <w:tcPr>
            <w:tcW w:w="1383" w:type="dxa"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17,7</w:t>
            </w:r>
          </w:p>
        </w:tc>
      </w:tr>
      <w:tr w:rsidR="00B1414D" w:rsidRPr="007A34DA" w:rsidTr="00F6296D">
        <w:tc>
          <w:tcPr>
            <w:tcW w:w="6771" w:type="dxa"/>
            <w:hideMark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t>200 «Закупка товаров, работ и услуг для государственных (муниципальных) нужд»</w:t>
            </w:r>
          </w:p>
        </w:tc>
        <w:tc>
          <w:tcPr>
            <w:tcW w:w="1417" w:type="dxa"/>
            <w:hideMark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14448,5</w:t>
            </w:r>
          </w:p>
        </w:tc>
        <w:tc>
          <w:tcPr>
            <w:tcW w:w="1383" w:type="dxa"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78,3</w:t>
            </w:r>
          </w:p>
        </w:tc>
      </w:tr>
      <w:tr w:rsidR="00B1414D" w:rsidRPr="007A34DA" w:rsidTr="00F6296D">
        <w:tc>
          <w:tcPr>
            <w:tcW w:w="6771" w:type="dxa"/>
            <w:hideMark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t>300 «Социальное обеспечение и иные выплаты населению»</w:t>
            </w:r>
          </w:p>
        </w:tc>
        <w:tc>
          <w:tcPr>
            <w:tcW w:w="1417" w:type="dxa"/>
            <w:hideMark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176,9</w:t>
            </w:r>
          </w:p>
        </w:tc>
        <w:tc>
          <w:tcPr>
            <w:tcW w:w="1383" w:type="dxa"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B1414D" w:rsidRPr="007A34DA" w:rsidTr="00F6296D">
        <w:tc>
          <w:tcPr>
            <w:tcW w:w="6771" w:type="dxa"/>
            <w:hideMark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t>500 «Межбюджетные трансферты»</w:t>
            </w:r>
          </w:p>
        </w:tc>
        <w:tc>
          <w:tcPr>
            <w:tcW w:w="1417" w:type="dxa"/>
            <w:hideMark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403,4</w:t>
            </w:r>
          </w:p>
        </w:tc>
        <w:tc>
          <w:tcPr>
            <w:tcW w:w="1383" w:type="dxa"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</w:tr>
      <w:tr w:rsidR="00B1414D" w:rsidRPr="007A34DA" w:rsidTr="00F6296D">
        <w:tc>
          <w:tcPr>
            <w:tcW w:w="6771" w:type="dxa"/>
            <w:hideMark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t>800 «Иные бюджетные ассигнования»</w:t>
            </w:r>
          </w:p>
        </w:tc>
        <w:tc>
          <w:tcPr>
            <w:tcW w:w="1417" w:type="dxa"/>
            <w:hideMark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161,6</w:t>
            </w:r>
          </w:p>
        </w:tc>
        <w:tc>
          <w:tcPr>
            <w:tcW w:w="1383" w:type="dxa"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0,8</w:t>
            </w:r>
          </w:p>
        </w:tc>
      </w:tr>
      <w:tr w:rsidR="00B1414D" w:rsidRPr="007A34DA" w:rsidTr="00F6296D">
        <w:tc>
          <w:tcPr>
            <w:tcW w:w="6771" w:type="dxa"/>
            <w:hideMark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A34DA">
              <w:rPr>
                <w:rFonts w:ascii="Times New Roman" w:hAnsi="Times New Roman"/>
                <w:sz w:val="28"/>
                <w:szCs w:val="28"/>
              </w:rPr>
              <w:t>того</w:t>
            </w:r>
          </w:p>
        </w:tc>
        <w:tc>
          <w:tcPr>
            <w:tcW w:w="1417" w:type="dxa"/>
            <w:hideMark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18455,4</w:t>
            </w:r>
          </w:p>
        </w:tc>
        <w:tc>
          <w:tcPr>
            <w:tcW w:w="1383" w:type="dxa"/>
            <w:hideMark/>
          </w:tcPr>
          <w:p w:rsidR="00B1414D" w:rsidRPr="007A34DA" w:rsidRDefault="00B1414D" w:rsidP="00F629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34DA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:rsidR="00B1414D" w:rsidRDefault="00B1414D" w:rsidP="00B1414D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7A34DA">
        <w:rPr>
          <w:rFonts w:ascii="Times New Roman" w:hAnsi="Times New Roman"/>
          <w:sz w:val="28"/>
          <w:szCs w:val="28"/>
        </w:rPr>
        <w:t>Основным направлением расходования бюджетных средств в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7A34DA">
        <w:rPr>
          <w:rFonts w:ascii="Times New Roman" w:hAnsi="Times New Roman"/>
          <w:sz w:val="28"/>
          <w:szCs w:val="28"/>
        </w:rPr>
        <w:t xml:space="preserve"> году являются</w:t>
      </w:r>
      <w:r w:rsidR="00620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закупки товаров, работ и услуг для обеспечения муниципальных нужд  -78,3 % от всех расходов бюджета  поселения. На втором месте – </w:t>
      </w:r>
      <w:r w:rsidRPr="007A34DA">
        <w:rPr>
          <w:rFonts w:ascii="Times New Roman" w:hAnsi="Times New Roman"/>
          <w:sz w:val="28"/>
          <w:szCs w:val="28"/>
        </w:rPr>
        <w:t xml:space="preserve">расходы на </w:t>
      </w:r>
      <w:r>
        <w:rPr>
          <w:rFonts w:ascii="Times New Roman" w:hAnsi="Times New Roman"/>
          <w:sz w:val="28"/>
          <w:szCs w:val="28"/>
        </w:rPr>
        <w:t>выплату персоналу органа местного самоуправления – 17,7 процента. Межбюджетные трансферты по передаваемым полномочиям – 2,2 %, выплаты социального характера (доплаты к пенсиям муниципальным служащим и вышедшему на пенсию Главе поселения) составили 1,0 %, иные бюджетные ассигнования   -0,8 процента.</w:t>
      </w:r>
    </w:p>
    <w:p w:rsidR="00B1414D" w:rsidRDefault="00B1414D" w:rsidP="00B1414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результатах исполнения бюджета отражена в ф.0503164 «Сведения об исполнении бюджета»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данные  соответствует  ф. 0503117 «Отчет об исполнении бюджета»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ф. 0503124 «Отчет о кассовом поступлении и выбытии бюджетных средств».</w:t>
      </w:r>
    </w:p>
    <w:p w:rsidR="00B1414D" w:rsidRPr="000E0B53" w:rsidRDefault="00B1414D" w:rsidP="00B1414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</w:pPr>
    </w:p>
    <w:p w:rsidR="00B1414D" w:rsidRPr="000E0B53" w:rsidRDefault="00B1414D" w:rsidP="00B1414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вопросу 5. </w:t>
      </w:r>
      <w:r w:rsidRPr="000E0B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муниципальных</w:t>
      </w:r>
      <w:r w:rsidRPr="000E0B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</w:p>
    <w:p w:rsidR="00B1414D" w:rsidRPr="000E0B53" w:rsidRDefault="00B1414D" w:rsidP="00B1414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B1414D" w:rsidRDefault="00B1414D" w:rsidP="00B1414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финансирование муниципальных целевых программ Администрацией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их отсутствием. В бюджете поселения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утвержденный решением Совета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Сухонское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поселения 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E0B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годов», расходов по муниципальным целевым программам не предусмотрено.</w:t>
      </w:r>
    </w:p>
    <w:p w:rsidR="00B1414D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пояснительной запиской в поселении в 2019 году исполнялись мероприятия по областной программе «Народный бюджет». Реализовано за 2019 год на территории поселения 7 проектов на сумму 3047,2 тыс. рублей.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Проведено благоустройство территории центрального парка в с. Шуйское на сумму 1780,8 тыс. рублей, приобретено и установлено оборудование детской игровой площадки в пос. Пионерский -165,3 тыс. рублей,</w:t>
      </w:r>
      <w:r w:rsidR="00112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приобретено и установлено оборудование детской игровой площадки в д. Врагово -150,0 тыс. рублей, благоустроена территория у памятника погибшим в годы ВОВ в пос. Пионерский – 50,0 тыс. рублей, благоустроена территория детской игровой площадки в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Шуйское – 538,0 тыс. рублей, произведена замена фонарей уличного освещения на энергосберегающие светильники на территории поселения Сухонское  - 180,0 тыс. рублей, произведена замена фонарей уличного освещения на энергосберегающие светильники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Шейбухта – 183,1 тыс. рублей.  </w:t>
      </w:r>
    </w:p>
    <w:p w:rsidR="00B1414D" w:rsidRPr="000E0B53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рамках обеспечения реализации мероприятий государственной программы «Энергоэффективность и развитие газификации на территории Вологодской  области на 2014-2020 годы» направлено на организацию уличного освещения -1977,1 тыс. рублей (1482,8тыс. рублей  – субсидия из областного бюджета, 494,3 тыс. рублей – софинансирование), на обустройство систем уличного освещения – 355,1 тыс. рублей (351,3 тыс. рублей – субсидия из областного бюджета , 3,8 тыс. рублей  –</w:t>
      </w:r>
      <w:r w:rsidR="0062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 из бюджета поселения).</w:t>
      </w:r>
      <w:proofErr w:type="gramEnd"/>
    </w:p>
    <w:p w:rsidR="00B1414D" w:rsidRPr="000E0B53" w:rsidRDefault="00B1414D" w:rsidP="00B1414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B1414D" w:rsidRPr="00620FAB" w:rsidRDefault="00B1414D" w:rsidP="00B1414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/>
          <w:b/>
          <w:sz w:val="28"/>
          <w:szCs w:val="28"/>
          <w:lang w:eastAsia="ru-RU"/>
        </w:rPr>
        <w:t>По вопросу 6. Анализ дебиторской, кредиторской задолженности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дебиторской и кредиторской задолженности проводился согласно данным Баланса главного исполнения бюджета поселения  (ф.0503120), Пояснительной записке, Сведений по дебиторской и кредиторской задолженности (ф. 0503169).</w:t>
      </w:r>
    </w:p>
    <w:p w:rsidR="00B1414D" w:rsidRPr="00620FAB" w:rsidRDefault="00B1414D" w:rsidP="00B1414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/>
          <w:bCs/>
          <w:sz w:val="28"/>
          <w:szCs w:val="28"/>
          <w:lang w:eastAsia="ru-RU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B1414D" w:rsidRPr="00620FAB" w:rsidRDefault="00B1414D" w:rsidP="00B1414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/>
          <w:sz w:val="28"/>
          <w:szCs w:val="28"/>
          <w:lang w:eastAsia="ru-RU"/>
        </w:rPr>
        <w:t xml:space="preserve"> Дебиторская задолженность на 01.01.2019  года составляла  2477,4 тыс. рублей. На 01.01.2020 года дебиторская задолженность составила 27915,1 тыс. рублей, в том числе просроченная - 2864,1тыс. рублей. </w:t>
      </w:r>
      <w:r w:rsidRPr="00620FAB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Дебиторская   задолженность сложилась по следующим видам:  </w:t>
      </w:r>
    </w:p>
    <w:p w:rsidR="00B1414D" w:rsidRPr="00620FAB" w:rsidRDefault="00B1414D" w:rsidP="00B141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/>
          <w:sz w:val="28"/>
          <w:szCs w:val="28"/>
          <w:lang w:eastAsia="ru-RU"/>
        </w:rPr>
        <w:t xml:space="preserve">   - 2864,1 тыс. рублей -</w:t>
      </w:r>
      <w:r w:rsidR="0062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0FAB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уклонению от уплаты налогов физических и юридических лиц  по данным </w:t>
      </w:r>
      <w:proofErr w:type="gramStart"/>
      <w:r w:rsidRPr="00620FAB">
        <w:rPr>
          <w:rFonts w:ascii="Times New Roman" w:eastAsiaTheme="minorEastAsia" w:hAnsi="Times New Roman"/>
          <w:sz w:val="28"/>
          <w:szCs w:val="28"/>
          <w:lang w:eastAsia="ru-RU"/>
        </w:rPr>
        <w:t>МРИ</w:t>
      </w:r>
      <w:proofErr w:type="gramEnd"/>
      <w:r w:rsidRPr="00620FAB">
        <w:rPr>
          <w:rFonts w:ascii="Times New Roman" w:eastAsiaTheme="minorEastAsia" w:hAnsi="Times New Roman"/>
          <w:sz w:val="28"/>
          <w:szCs w:val="28"/>
          <w:lang w:eastAsia="ru-RU"/>
        </w:rPr>
        <w:t xml:space="preserve"> ФНС №1 России по Вологодской области</w:t>
      </w:r>
      <w:r w:rsidRPr="00620F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1414D" w:rsidRPr="00620FAB" w:rsidRDefault="00B1414D" w:rsidP="00B141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- 313,9 тыс. рублей – предоплата за уличное освещение ООО «ССК» за январь 2020 года;</w:t>
      </w:r>
    </w:p>
    <w:p w:rsidR="00B1414D" w:rsidRPr="00620FAB" w:rsidRDefault="00B1414D" w:rsidP="00B141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/>
          <w:sz w:val="28"/>
          <w:szCs w:val="28"/>
          <w:lang w:eastAsia="ru-RU"/>
        </w:rPr>
        <w:t xml:space="preserve">     - 24737,1 тыс. рублей – безвозмездные поступления будущих периодов на основании решения о бюджете поселения на 2020 год и плановый период 2021 и 2022 годов.</w:t>
      </w:r>
    </w:p>
    <w:p w:rsidR="00B1414D" w:rsidRPr="00620FAB" w:rsidRDefault="00B1414D" w:rsidP="00B1414D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0F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Кредиторская задолженность на 01.01.2019 года составляла 2480,6 тыс. рублей. На 01.01.2020 года кредиторская задолженность составила 762,2 тыс. рублей, в том числе просроченная 0,0 тыс. рублей.</w:t>
      </w:r>
    </w:p>
    <w:p w:rsidR="00B1414D" w:rsidRPr="00620FAB" w:rsidRDefault="00B1414D" w:rsidP="00B1414D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0FAB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Кредиторская  задолженность сложилась по следующим видам:</w:t>
      </w:r>
    </w:p>
    <w:p w:rsidR="00620FAB" w:rsidRDefault="00B1414D" w:rsidP="00620FAB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20FAB">
        <w:rPr>
          <w:rFonts w:ascii="Times New Roman" w:eastAsiaTheme="minorEastAsia" w:hAnsi="Times New Roman"/>
          <w:sz w:val="28"/>
          <w:szCs w:val="28"/>
          <w:lang w:eastAsia="ru-RU"/>
        </w:rPr>
        <w:t xml:space="preserve">    - 762,2  тыс. рублей -  задолженность  по налогам по данным </w:t>
      </w:r>
      <w:proofErr w:type="gramStart"/>
      <w:r w:rsidRPr="00620FAB">
        <w:rPr>
          <w:rFonts w:ascii="Times New Roman" w:eastAsiaTheme="minorEastAsia" w:hAnsi="Times New Roman"/>
          <w:sz w:val="28"/>
          <w:szCs w:val="28"/>
          <w:lang w:eastAsia="ru-RU"/>
        </w:rPr>
        <w:t>МРИ</w:t>
      </w:r>
      <w:proofErr w:type="gramEnd"/>
      <w:r w:rsidRPr="00620FAB">
        <w:rPr>
          <w:rFonts w:ascii="Times New Roman" w:eastAsiaTheme="minorEastAsia" w:hAnsi="Times New Roman"/>
          <w:sz w:val="28"/>
          <w:szCs w:val="28"/>
          <w:lang w:eastAsia="ru-RU"/>
        </w:rPr>
        <w:t xml:space="preserve"> ФНС №1 России по Вологодской области.</w:t>
      </w:r>
    </w:p>
    <w:p w:rsidR="00B1414D" w:rsidRPr="00620FAB" w:rsidRDefault="00620FAB" w:rsidP="00620FAB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="00B1414D" w:rsidRPr="00620FAB">
        <w:rPr>
          <w:rFonts w:ascii="Times New Roman" w:eastAsia="Times New Roman" w:hAnsi="Times New Roman"/>
          <w:sz w:val="28"/>
          <w:szCs w:val="28"/>
          <w:lang w:eastAsia="ru-RU"/>
        </w:rPr>
        <w:t xml:space="preserve">   Расхождений между анализируемыми формами не выявлено.</w:t>
      </w:r>
    </w:p>
    <w:p w:rsidR="00B1414D" w:rsidRDefault="00B1414D" w:rsidP="00B1414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973CD" w:rsidRPr="0042366A" w:rsidRDefault="00C973CD" w:rsidP="00C973C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66A">
        <w:rPr>
          <w:rFonts w:ascii="Times New Roman" w:hAnsi="Times New Roman" w:cs="Times New Roman"/>
          <w:b/>
          <w:sz w:val="28"/>
          <w:szCs w:val="28"/>
          <w:u w:val="single"/>
        </w:rPr>
        <w:t>Итоговые данные контрольного мероприятия</w:t>
      </w:r>
    </w:p>
    <w:p w:rsidR="00C973CD" w:rsidRPr="0042366A" w:rsidRDefault="00C973CD" w:rsidP="00C973CD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sz w:val="28"/>
          <w:szCs w:val="28"/>
        </w:rPr>
        <w:t>(по Классификатору нарушений Счетной палаты РФ)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089"/>
        <w:gridCol w:w="1149"/>
        <w:gridCol w:w="1136"/>
        <w:gridCol w:w="3244"/>
      </w:tblGrid>
      <w:tr w:rsidR="00C973CD" w:rsidRPr="0042366A" w:rsidTr="00201E04">
        <w:trPr>
          <w:trHeight w:val="7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</w:t>
            </w: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Предложено к устранению нарушений 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973CD" w:rsidRPr="0042366A" w:rsidTr="00201E04">
        <w:trPr>
          <w:trHeight w:val="83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CD" w:rsidRPr="0042366A" w:rsidRDefault="00C973CD" w:rsidP="00201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CD" w:rsidRPr="0042366A" w:rsidRDefault="00C973CD" w:rsidP="00201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>в том числе, к восстановлению в бюджет</w:t>
            </w: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3CD" w:rsidRPr="0042366A" w:rsidRDefault="00C973CD" w:rsidP="00201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3CD" w:rsidRPr="0042366A" w:rsidTr="00201E0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73CD" w:rsidRPr="0042366A" w:rsidTr="00201E0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FB194D" w:rsidRDefault="00C973CD" w:rsidP="00201E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B1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Нарушения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ведения бухгалтерского учета, составления и предоставления бухгалтерской (финансовой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отчетности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3CD" w:rsidRPr="0042366A" w:rsidTr="00201E0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7C78A4" w:rsidRDefault="00C973CD" w:rsidP="00201E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8A4">
              <w:rPr>
                <w:rFonts w:ascii="Times New Roman" w:hAnsi="Times New Roman" w:cs="Times New Roman"/>
                <w:sz w:val="28"/>
                <w:szCs w:val="28"/>
              </w:rPr>
              <w:t xml:space="preserve">2.9 </w:t>
            </w:r>
            <w:r w:rsidRPr="007C78A4">
              <w:rPr>
                <w:rFonts w:ascii="Times New Roman" w:hAnsi="Times New Roman"/>
                <w:sz w:val="28"/>
                <w:szCs w:val="28"/>
              </w:rPr>
              <w:t xml:space="preserve">Нарушение общих требований к бухгалтерской (финансовой) отчетности </w:t>
            </w:r>
            <w:r w:rsidRPr="007C78A4">
              <w:rPr>
                <w:rFonts w:ascii="Times New Roman" w:hAnsi="Times New Roman"/>
                <w:sz w:val="28"/>
                <w:szCs w:val="28"/>
              </w:rPr>
              <w:lastRenderedPageBreak/>
              <w:t>экономического субъекта, в том числе к ее составу, к-во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1B1D67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973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1B1D67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73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42366A" w:rsidRDefault="00C973CD" w:rsidP="00201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78" w:rsidRDefault="00112678" w:rsidP="00112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43AF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12678">
              <w:rPr>
                <w:rFonts w:ascii="Times New Roman" w:hAnsi="Times New Roman"/>
                <w:sz w:val="28"/>
                <w:szCs w:val="28"/>
              </w:rPr>
              <w:t>Сумма снижения расходов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мероприятий по оптимизации в Пояснительной записке </w:t>
            </w:r>
            <w:r w:rsidRPr="00112678">
              <w:rPr>
                <w:rFonts w:ascii="Times New Roman" w:hAnsi="Times New Roman"/>
                <w:sz w:val="28"/>
                <w:szCs w:val="28"/>
              </w:rPr>
              <w:t xml:space="preserve"> не отражена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2678" w:rsidRDefault="00112678" w:rsidP="0011267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112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26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об экономии  при заключении государственных (муниципальных) контрактов с применением конкурентных способов (раздел 4 ф. 0503175) не заполнен. Однако в 2019 году осуществлялись три  закупки конкурентным способом посредством проведения электронного аукциона, сумма экономии составила 6,4 тыс. рублей.</w:t>
            </w:r>
          </w:p>
          <w:p w:rsidR="00C973CD" w:rsidRPr="0042366A" w:rsidRDefault="00C973CD" w:rsidP="00112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3CD" w:rsidRPr="0042366A" w:rsidTr="00201E04">
        <w:trPr>
          <w:trHeight w:val="7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CD" w:rsidRPr="007C78A4" w:rsidRDefault="00C973CD" w:rsidP="00201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D" w:rsidRPr="0042366A" w:rsidRDefault="001B1D67" w:rsidP="00201E04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D" w:rsidRDefault="001B1D67" w:rsidP="00201E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D" w:rsidRDefault="00C973CD" w:rsidP="00201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CD" w:rsidRPr="001B1D67" w:rsidRDefault="00C973CD" w:rsidP="001B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66A">
              <w:rPr>
                <w:rFonts w:ascii="Times New Roman" w:hAnsi="Times New Roman" w:cs="Times New Roman"/>
                <w:sz w:val="28"/>
                <w:szCs w:val="28"/>
              </w:rPr>
              <w:t>суммовая оценка нарушений различных нормативных правовых актов</w:t>
            </w:r>
            <w:r w:rsidR="001B1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1D67" w:rsidRPr="0042366A" w:rsidTr="00201E04">
        <w:trPr>
          <w:trHeight w:val="7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7" w:rsidRPr="001B1D67" w:rsidRDefault="001B1D67" w:rsidP="00201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67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67" w:rsidRPr="001B1D67" w:rsidRDefault="001B1D67" w:rsidP="001B1D6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/1593,3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67" w:rsidRPr="001B1D67" w:rsidRDefault="001B1D67" w:rsidP="0020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67">
              <w:rPr>
                <w:rFonts w:ascii="Times New Roman" w:hAnsi="Times New Roman" w:cs="Times New Roman"/>
                <w:sz w:val="28"/>
                <w:szCs w:val="28"/>
              </w:rPr>
              <w:t>1/1593,3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67" w:rsidRDefault="001B1D67" w:rsidP="00201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67" w:rsidRPr="001B1D67" w:rsidRDefault="001B1D67" w:rsidP="001B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D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1.Сумма 1593,3 тыс. рублей является неэффективным расходованием бюджетных сре</w:t>
            </w:r>
            <w:proofErr w:type="gramStart"/>
            <w:r w:rsidRPr="001B1D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в с</w:t>
            </w:r>
            <w:proofErr w:type="gramEnd"/>
            <w:r w:rsidRPr="001B1D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оответствии со статьей 34 Бюджетного кодекса  РФ.</w:t>
            </w:r>
          </w:p>
        </w:tc>
      </w:tr>
    </w:tbl>
    <w:p w:rsidR="00C973CD" w:rsidRPr="0042366A" w:rsidRDefault="00C973CD" w:rsidP="00C973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sz w:val="28"/>
          <w:szCs w:val="28"/>
        </w:rPr>
        <w:t xml:space="preserve">Общий объем  проверенных средств -   </w:t>
      </w:r>
      <w:r w:rsidR="00112678">
        <w:rPr>
          <w:rFonts w:ascii="Times New Roman" w:hAnsi="Times New Roman" w:cs="Times New Roman"/>
          <w:sz w:val="28"/>
          <w:szCs w:val="28"/>
        </w:rPr>
        <w:t>36686,2</w:t>
      </w:r>
      <w:r w:rsidRPr="0042366A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C973CD" w:rsidRPr="0042366A" w:rsidRDefault="00C973CD" w:rsidP="00C973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66A">
        <w:rPr>
          <w:rFonts w:ascii="Times New Roman" w:hAnsi="Times New Roman" w:cs="Times New Roman"/>
          <w:b/>
          <w:sz w:val="28"/>
          <w:szCs w:val="28"/>
        </w:rPr>
        <w:t xml:space="preserve">  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2366A">
        <w:rPr>
          <w:rFonts w:ascii="Times New Roman" w:hAnsi="Times New Roman" w:cs="Times New Roman"/>
          <w:b/>
          <w:sz w:val="28"/>
          <w:szCs w:val="28"/>
        </w:rPr>
        <w:t>:</w:t>
      </w:r>
    </w:p>
    <w:p w:rsidR="00C973CD" w:rsidRPr="00D57B2C" w:rsidRDefault="00C973CD" w:rsidP="00C973CD">
      <w:pPr>
        <w:spacing w:after="0" w:line="240" w:lineRule="auto"/>
        <w:ind w:left="-567" w:firstLine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366A">
        <w:rPr>
          <w:rFonts w:ascii="Times New Roman" w:hAnsi="Times New Roman" w:cs="Times New Roman"/>
          <w:sz w:val="28"/>
          <w:szCs w:val="28"/>
        </w:rPr>
        <w:t xml:space="preserve">         1.Направить Отчет</w:t>
      </w:r>
      <w:r>
        <w:rPr>
          <w:rFonts w:ascii="Times New Roman" w:hAnsi="Times New Roman" w:cs="Times New Roman"/>
          <w:sz w:val="28"/>
          <w:szCs w:val="28"/>
        </w:rPr>
        <w:t xml:space="preserve"> по проверке</w:t>
      </w:r>
      <w:r w:rsidR="001B1D67">
        <w:rPr>
          <w:rFonts w:ascii="Times New Roman" w:hAnsi="Times New Roman" w:cs="Times New Roman"/>
          <w:sz w:val="28"/>
          <w:szCs w:val="28"/>
        </w:rPr>
        <w:t xml:space="preserve"> </w:t>
      </w:r>
      <w:r w:rsidRPr="00F26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B1D6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1B1D67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отчетности главных </w:t>
      </w:r>
      <w:r w:rsidR="00620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D67">
        <w:rPr>
          <w:rFonts w:ascii="Times New Roman" w:eastAsia="Times New Roman" w:hAnsi="Times New Roman"/>
          <w:sz w:val="28"/>
          <w:szCs w:val="28"/>
          <w:lang w:eastAsia="ru-RU"/>
        </w:rPr>
        <w:t>администраторов средств бюджета поселения</w:t>
      </w:r>
      <w:proofErr w:type="gramEnd"/>
      <w:r w:rsidR="001B1D67">
        <w:rPr>
          <w:rFonts w:ascii="Times New Roman" w:eastAsia="Times New Roman" w:hAnsi="Times New Roman"/>
          <w:sz w:val="28"/>
          <w:szCs w:val="28"/>
          <w:lang w:eastAsia="ru-RU"/>
        </w:rPr>
        <w:t xml:space="preserve"> Сухонское за 2019 год</w:t>
      </w:r>
      <w:r w:rsidRPr="00F2682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973CD" w:rsidRDefault="00C973CD" w:rsidP="00C9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sz w:val="28"/>
          <w:szCs w:val="28"/>
        </w:rPr>
        <w:tab/>
        <w:t>-   Главе района;</w:t>
      </w:r>
    </w:p>
    <w:p w:rsidR="00C973CD" w:rsidRPr="0042366A" w:rsidRDefault="00C973CD" w:rsidP="00C9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sz w:val="28"/>
          <w:szCs w:val="28"/>
        </w:rPr>
        <w:t xml:space="preserve">          - в Грязовецкий межрайонный следственный отдел следственного управления СК РФ по Вологодской области;</w:t>
      </w:r>
    </w:p>
    <w:p w:rsidR="00C973CD" w:rsidRPr="0042366A" w:rsidRDefault="00C973CD" w:rsidP="00C9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sz w:val="28"/>
          <w:szCs w:val="28"/>
        </w:rPr>
        <w:t xml:space="preserve">          -  МО МВД России «Грязовецкий»;</w:t>
      </w:r>
    </w:p>
    <w:p w:rsidR="00C973CD" w:rsidRPr="0042366A" w:rsidRDefault="00C973CD" w:rsidP="00C9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sz w:val="28"/>
          <w:szCs w:val="28"/>
        </w:rPr>
        <w:t xml:space="preserve">          - в прокуратуру района.</w:t>
      </w:r>
    </w:p>
    <w:p w:rsidR="00C973CD" w:rsidRPr="0042366A" w:rsidRDefault="00C973CD" w:rsidP="00C97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sz w:val="28"/>
          <w:szCs w:val="28"/>
        </w:rPr>
        <w:lastRenderedPageBreak/>
        <w:tab/>
        <w:t>2.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1B1D67">
        <w:rPr>
          <w:rFonts w:ascii="Times New Roman" w:hAnsi="Times New Roman" w:cs="Times New Roman"/>
          <w:sz w:val="28"/>
          <w:szCs w:val="28"/>
        </w:rPr>
        <w:t>поселения Сухонское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66A">
        <w:rPr>
          <w:rFonts w:ascii="Times New Roman" w:hAnsi="Times New Roman" w:cs="Times New Roman"/>
          <w:sz w:val="28"/>
          <w:szCs w:val="28"/>
        </w:rPr>
        <w:t>направить представлени</w:t>
      </w:r>
      <w:r w:rsidR="001B1D67">
        <w:rPr>
          <w:rFonts w:ascii="Times New Roman" w:hAnsi="Times New Roman" w:cs="Times New Roman"/>
          <w:sz w:val="28"/>
          <w:szCs w:val="28"/>
        </w:rPr>
        <w:t>е</w:t>
      </w:r>
      <w:r w:rsidRPr="0042366A"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 и недостатков.</w:t>
      </w:r>
    </w:p>
    <w:p w:rsidR="00C973CD" w:rsidRPr="0042366A" w:rsidRDefault="00C973CD" w:rsidP="00C973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73CD" w:rsidRPr="0042366A" w:rsidRDefault="00C973CD" w:rsidP="00C973C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73CD" w:rsidRPr="0042366A" w:rsidRDefault="00C973CD" w:rsidP="00C973C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C973CD" w:rsidRPr="0042366A" w:rsidRDefault="00C973CD" w:rsidP="00C973C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66A">
        <w:rPr>
          <w:rFonts w:ascii="Times New Roman" w:hAnsi="Times New Roman" w:cs="Times New Roman"/>
          <w:sz w:val="28"/>
          <w:szCs w:val="28"/>
        </w:rPr>
        <w:t>Представительного Собрания района                                                О.А. Дудина</w:t>
      </w:r>
    </w:p>
    <w:p w:rsidR="00C973CD" w:rsidRPr="00EE7675" w:rsidRDefault="00C973CD" w:rsidP="00C973CD">
      <w:pPr>
        <w:pStyle w:val="10"/>
        <w:shd w:val="clear" w:color="auto" w:fill="auto"/>
        <w:tabs>
          <w:tab w:val="left" w:pos="1148"/>
        </w:tabs>
        <w:spacing w:before="0" w:after="0" w:line="240" w:lineRule="auto"/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3CD" w:rsidRPr="00A327F8" w:rsidRDefault="00C973CD" w:rsidP="00C973CD">
      <w:pPr>
        <w:rPr>
          <w:rFonts w:ascii="Times New Roman" w:hAnsi="Times New Roman" w:cs="Times New Roman"/>
        </w:rPr>
      </w:pPr>
    </w:p>
    <w:p w:rsidR="00293018" w:rsidRDefault="00293018" w:rsidP="00C973CD">
      <w:pPr>
        <w:spacing w:after="0" w:line="240" w:lineRule="auto"/>
        <w:ind w:left="-567" w:firstLine="141"/>
        <w:jc w:val="center"/>
      </w:pPr>
    </w:p>
    <w:sectPr w:rsidR="00293018" w:rsidSect="00CD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9B"/>
    <w:rsid w:val="00071793"/>
    <w:rsid w:val="000E34FE"/>
    <w:rsid w:val="00112678"/>
    <w:rsid w:val="001B1D67"/>
    <w:rsid w:val="00263CC3"/>
    <w:rsid w:val="00293018"/>
    <w:rsid w:val="002A2906"/>
    <w:rsid w:val="002B3DF0"/>
    <w:rsid w:val="002C5A98"/>
    <w:rsid w:val="003810FB"/>
    <w:rsid w:val="00620FAB"/>
    <w:rsid w:val="006438AB"/>
    <w:rsid w:val="00660416"/>
    <w:rsid w:val="00783F6F"/>
    <w:rsid w:val="00B1414D"/>
    <w:rsid w:val="00B63B63"/>
    <w:rsid w:val="00C21142"/>
    <w:rsid w:val="00C92D69"/>
    <w:rsid w:val="00C973CD"/>
    <w:rsid w:val="00CD20EC"/>
    <w:rsid w:val="00E0339B"/>
    <w:rsid w:val="00E42B8D"/>
    <w:rsid w:val="00E80C6B"/>
    <w:rsid w:val="00F46D4C"/>
    <w:rsid w:val="00FA1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9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90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C973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9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73CD"/>
    <w:pPr>
      <w:ind w:left="720"/>
      <w:contextualSpacing/>
    </w:pPr>
    <w:rPr>
      <w:rFonts w:eastAsiaTheme="minorEastAsia"/>
      <w:lang w:eastAsia="ru-RU"/>
    </w:rPr>
  </w:style>
  <w:style w:type="character" w:customStyle="1" w:styleId="a8">
    <w:name w:val="Основной текст_"/>
    <w:link w:val="10"/>
    <w:locked/>
    <w:rsid w:val="00C973CD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C973CD"/>
    <w:pPr>
      <w:shd w:val="clear" w:color="auto" w:fill="FFFFFF"/>
      <w:spacing w:before="540" w:after="480" w:line="0" w:lineRule="atLeast"/>
      <w:ind w:hanging="46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9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90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C973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9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73CD"/>
    <w:pPr>
      <w:ind w:left="720"/>
      <w:contextualSpacing/>
    </w:pPr>
    <w:rPr>
      <w:rFonts w:eastAsiaTheme="minorEastAsia"/>
      <w:lang w:eastAsia="ru-RU"/>
    </w:rPr>
  </w:style>
  <w:style w:type="character" w:customStyle="1" w:styleId="a8">
    <w:name w:val="Основной текст_"/>
    <w:link w:val="10"/>
    <w:locked/>
    <w:rsid w:val="00C973CD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C973CD"/>
    <w:pPr>
      <w:shd w:val="clear" w:color="auto" w:fill="FFFFFF"/>
      <w:spacing w:before="540" w:after="480" w:line="0" w:lineRule="atLeast"/>
      <w:ind w:hanging="46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33C0E60C720476B8A3B1395102E16A6F9C99041EBA3D7CB8A1C819E941ECBF53A6C32A1D56B7CZ617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27BBE90C0718F51B9B18E2DD81EFD3231667E03E6B6BBACF616E61F434866255BAA030F913343rE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5955-4E56-458C-B5D2-8C32BE5F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5013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2020-04-21T12:11:00Z</dcterms:created>
  <dcterms:modified xsi:type="dcterms:W3CDTF">2020-04-21T12:11:00Z</dcterms:modified>
</cp:coreProperties>
</file>