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35458A" wp14:editId="58B979E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N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 Дудина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8106D8" w:rsidRDefault="002A2906" w:rsidP="002A2906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 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контрольного мероприятия</w:t>
      </w:r>
    </w:p>
    <w:p w:rsidR="002A2906" w:rsidRDefault="002A2906" w:rsidP="002A2906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 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                          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марта 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A2906" w:rsidRDefault="002A2906" w:rsidP="002A2906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D57B2C" w:rsidRDefault="002A2906" w:rsidP="002A2906">
      <w:pPr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(тема)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D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отчетности главных администраторов </w:t>
      </w:r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бюджета поселения</w:t>
      </w:r>
      <w:proofErr w:type="gramEnd"/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Ботановское за 2019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412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1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0E34F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71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«Контрольные мероприятия» плана работы ревизионной комиссии Представительного Собрания района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71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E34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распоряжение от 11.03.2020 года №3 «О проведении контрольного мероприятия». 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(и)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0E34FE" w:rsidRPr="000E34FE" w:rsidRDefault="000E34FE" w:rsidP="000E3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4FE">
        <w:rPr>
          <w:rFonts w:ascii="Times New Roman" w:eastAsia="Calibri" w:hAnsi="Times New Roman" w:cs="Times New Roman"/>
          <w:sz w:val="28"/>
          <w:szCs w:val="28"/>
        </w:rPr>
        <w:t>годовая бюджетная отчетность администрации поселения Ботановское,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2A2906" w:rsidRDefault="002A2906" w:rsidP="002A2906">
      <w:pPr>
        <w:tabs>
          <w:tab w:val="left" w:pos="507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контрольного мероприятия: </w:t>
      </w:r>
      <w:r w:rsidR="000E34FE">
        <w:rPr>
          <w:rFonts w:ascii="Times New Roman" w:hAnsi="Times New Roman"/>
          <w:sz w:val="28"/>
          <w:szCs w:val="28"/>
        </w:rPr>
        <w:t>Администрация поселения Ботановское.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06" w:rsidRDefault="002A2906" w:rsidP="002A2906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 деятельности:</w:t>
      </w:r>
      <w:r w:rsidRPr="0044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 год.</w:t>
      </w:r>
    </w:p>
    <w:p w:rsidR="002A2906" w:rsidRPr="00992BDA" w:rsidRDefault="002A2906" w:rsidP="002A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Сроки проведения контрольного мероприятия:</w:t>
      </w:r>
      <w:r w:rsidRPr="0044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</w:t>
      </w:r>
      <w:r w:rsidR="00F46D4C">
        <w:rPr>
          <w:rFonts w:ascii="Times New Roman" w:hAnsi="Times New Roman"/>
          <w:sz w:val="28"/>
          <w:szCs w:val="28"/>
        </w:rPr>
        <w:t xml:space="preserve">12 марта </w:t>
      </w:r>
      <w:r>
        <w:rPr>
          <w:rFonts w:ascii="Times New Roman" w:hAnsi="Times New Roman"/>
          <w:sz w:val="28"/>
          <w:szCs w:val="28"/>
        </w:rPr>
        <w:t xml:space="preserve">  по   20  марта  2020 года.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C22681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документы, использованные в работе:</w:t>
      </w:r>
    </w:p>
    <w:p w:rsidR="00F46D4C" w:rsidRPr="00F46D4C" w:rsidRDefault="00F46D4C" w:rsidP="00F46D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Федеральные законы:</w:t>
      </w:r>
    </w:p>
    <w:p w:rsidR="00F46D4C" w:rsidRPr="00F46D4C" w:rsidRDefault="00F46D4C" w:rsidP="00F46D4C">
      <w:pPr>
        <w:tabs>
          <w:tab w:val="num" w:pos="-18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от 31.07.1998 № 145-ФЗ «Бюджетный кодекс Российской Федерации»;</w:t>
      </w:r>
    </w:p>
    <w:p w:rsidR="00F46D4C" w:rsidRPr="00F46D4C" w:rsidRDefault="00F46D4C" w:rsidP="00F46D4C">
      <w:pPr>
        <w:tabs>
          <w:tab w:val="num" w:pos="-18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от 06.10.2003 № 131-ФЗ «Об общих принципах организации местного самоуправления в Российской Федерации»;</w:t>
      </w:r>
    </w:p>
    <w:p w:rsidR="00F46D4C" w:rsidRP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46D4C">
        <w:rPr>
          <w:rFonts w:ascii="Times New Roman" w:hAnsi="Times New Roman"/>
          <w:color w:val="000000"/>
          <w:sz w:val="28"/>
          <w:szCs w:val="28"/>
        </w:rPr>
        <w:t xml:space="preserve">   - Федеральный закон от 06.12.2011 года №402-ФЗ «О бухгалтерском учете» (далее Федеральный закон №402-ФЗ);</w:t>
      </w:r>
    </w:p>
    <w:p w:rsidR="00F46D4C" w:rsidRP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6D4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6D4C">
        <w:rPr>
          <w:rFonts w:ascii="Times New Roman" w:hAnsi="Times New Roman"/>
          <w:sz w:val="28"/>
          <w:szCs w:val="28"/>
        </w:rPr>
        <w:t>Инструкция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191н;</w:t>
      </w:r>
    </w:p>
    <w:p w:rsid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6D4C">
        <w:rPr>
          <w:rFonts w:ascii="Times New Roman" w:hAnsi="Times New Roman"/>
          <w:sz w:val="28"/>
          <w:szCs w:val="28"/>
        </w:rPr>
        <w:t>- Решение Совета поселения Ботановское от 21.12.2018 г. № 390 «О бюджете поселения  на 2019 год и плановый период 2020 и 2021 годов».</w:t>
      </w:r>
    </w:p>
    <w:p w:rsidR="00F46D4C" w:rsidRP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проверки составлен: </w:t>
      </w:r>
    </w:p>
    <w:p w:rsidR="002A2906" w:rsidRPr="0056761E" w:rsidRDefault="002A2906" w:rsidP="00F46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F4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E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26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 xml:space="preserve"> Ботановское за 2019 год</w:t>
      </w:r>
      <w:r w:rsidRPr="00C2268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783F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.03.2020 года №1</w:t>
      </w:r>
      <w:r w:rsidR="00783F6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подписан  </w:t>
      </w:r>
      <w:r w:rsidR="00783F6F">
        <w:rPr>
          <w:rFonts w:ascii="Times New Roman" w:hAnsi="Times New Roman" w:cs="Times New Roman"/>
          <w:sz w:val="28"/>
          <w:szCs w:val="28"/>
        </w:rPr>
        <w:t>Главой поселения Ботановское Фокиной В.И.</w:t>
      </w:r>
      <w:r>
        <w:rPr>
          <w:rFonts w:ascii="Times New Roman" w:hAnsi="Times New Roman" w:cs="Times New Roman"/>
          <w:sz w:val="28"/>
          <w:szCs w:val="28"/>
        </w:rPr>
        <w:t xml:space="preserve">  без    пояснений.</w:t>
      </w:r>
    </w:p>
    <w:p w:rsidR="002A2906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Возражения,  замечания 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объекта контрольного мероприятия на результаты контрольного  мероприятия отсутствуют.</w:t>
      </w:r>
    </w:p>
    <w:p w:rsidR="002A2906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7428BA" w:rsidRDefault="002A2906" w:rsidP="002A29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проверки установлено следующее:</w:t>
      </w:r>
    </w:p>
    <w:p w:rsidR="002A2906" w:rsidRDefault="002A2906" w:rsidP="002A2906">
      <w:pPr>
        <w:spacing w:after="0" w:line="240" w:lineRule="auto"/>
        <w:jc w:val="both"/>
      </w:pP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ind w:left="-567" w:firstLine="14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Краткая информация об объекте контрольного мероприятия: </w:t>
      </w:r>
    </w:p>
    <w:p w:rsidR="00783F6F" w:rsidRDefault="00783F6F" w:rsidP="00783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Полное наименование:  Администрация  поселения Ботановское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Междуреченского муниципального района.</w:t>
      </w: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Сокращенное наименование: Администрация  поселения Ботановское.</w:t>
      </w: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Юридический адрес: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дом 7, помещение 5  д. Игумницево, Междуреченского района, Вологодской области, 161057.</w:t>
      </w: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ИНН: 3513003080.</w:t>
      </w: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Фактический адрес: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дом 7, помещение 5  д. Игумницево, Междуреченского района, Вологодской области, 161057.</w:t>
      </w: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Контактный телефон: 8- (817-49) 3-52-32.</w:t>
      </w: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Руководитель за проверяемый период: Фокина Вера Ивановна.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3CD" w:rsidRPr="000E0B53" w:rsidRDefault="00C973CD" w:rsidP="00C973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29B">
        <w:rPr>
          <w:rFonts w:ascii="Times New Roman" w:hAnsi="Times New Roman"/>
          <w:b/>
          <w:sz w:val="28"/>
          <w:szCs w:val="28"/>
        </w:rPr>
        <w:t>По вопросу 1.</w:t>
      </w:r>
      <w:r w:rsidRPr="00DE4449">
        <w:rPr>
          <w:rFonts w:ascii="Times New Roman" w:hAnsi="Times New Roman"/>
          <w:sz w:val="28"/>
          <w:szCs w:val="28"/>
        </w:rPr>
        <w:t xml:space="preserve">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973CD" w:rsidRPr="000E0B53" w:rsidRDefault="00C973CD" w:rsidP="00C973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264.4 Бюджетного кодекса Российской Федерации, Положения о бюджетном процессе, утвержденного решением Совета поселения Ботановское от 10 февраля  2014 года № 258, ст.8 Положения о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год проведена внешняя проверка годовой бюджетной</w:t>
      </w:r>
      <w:proofErr w:type="gramEnd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отчётности главного администратора бюджетных средств администрации поселения Ботановское 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 w:rsidRPr="00573B51">
        <w:rPr>
          <w:rFonts w:ascii="Times New Roman" w:hAnsi="Times New Roman"/>
          <w:sz w:val="28"/>
          <w:szCs w:val="28"/>
        </w:rPr>
        <w:t xml:space="preserve"> </w:t>
      </w:r>
      <w:r w:rsidRPr="000E0B53">
        <w:rPr>
          <w:rFonts w:ascii="Times New Roman" w:hAnsi="Times New Roman"/>
          <w:sz w:val="28"/>
          <w:szCs w:val="28"/>
        </w:rPr>
        <w:t>Ответственность за подготовку и представление бюджетной отчетности несут должностные лица: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Глава поселения Ботановское  - Фокина Вера Ивановна; 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директор КУ «Центр бюджетного учета и отчетности Междуреченского  муниципального района» - Паличева Э.А.;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КУ «Центр бюджетного учета и отчетности Междуреченского  муниципального района» - Воронина Л.Н. Ведение бухгалтерского учета передано по Соглашению от 29 декабря 2018 года №21 казенному учреждению «Центр бюджетного учета и отчетности Междуреченского  муниципального района».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поселения Ботановское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        Деятельность Администрации поселения Ботановское осуществляется в соответствии с Уставом поселения Ботановское, утвержденным решением Совета поселения Ботановское  Междуреченского муниципального района от 30.11.2009 года №30 (с последующими изменениями и дополнениями).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основных направлениях деятельности, представленные в таблице №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ояснительной записк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, соответствуют основным целям и задачам деятельности Администрации поселения Ботановское, предусмотренных в Уставе поселения.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2.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 оценка форм бюджетной отчётности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Ботановское в соответствии с нормами Бюджетного кодекса и Инструкции № 191н.</w:t>
      </w:r>
    </w:p>
    <w:p w:rsidR="00C973CD" w:rsidRDefault="00C973CD" w:rsidP="00C973CD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eastAsia="Times New Roman" w:hAnsi="Times New Roman"/>
          <w:i/>
          <w:sz w:val="28"/>
          <w:szCs w:val="28"/>
          <w:lang w:eastAsia="ru-RU"/>
        </w:rPr>
        <w:t>В соответствии с п.4, п.6 Инструкции № 191н г</w:t>
      </w:r>
      <w:r w:rsidRPr="000E0B53">
        <w:rPr>
          <w:rFonts w:ascii="Times New Roman" w:hAnsi="Times New Roman"/>
          <w:i/>
          <w:sz w:val="28"/>
          <w:szCs w:val="28"/>
        </w:rPr>
        <w:t>одовой отчёт главного администратора (распорядителя) бюджетных сре</w:t>
      </w:r>
      <w:proofErr w:type="gramStart"/>
      <w:r w:rsidRPr="000E0B53">
        <w:rPr>
          <w:rFonts w:ascii="Times New Roman" w:hAnsi="Times New Roman"/>
          <w:i/>
          <w:sz w:val="28"/>
          <w:szCs w:val="28"/>
        </w:rPr>
        <w:t>дств пр</w:t>
      </w:r>
      <w:proofErr w:type="gramEnd"/>
      <w:r w:rsidRPr="000E0B53">
        <w:rPr>
          <w:rFonts w:ascii="Times New Roman" w:hAnsi="Times New Roman"/>
          <w:i/>
          <w:sz w:val="28"/>
          <w:szCs w:val="28"/>
        </w:rPr>
        <w:t>едставлен в ревизионную комиссию в не сброшюрованном и не  пронумерованном виде</w:t>
      </w:r>
      <w:r w:rsidRPr="000E0B53">
        <w:rPr>
          <w:rFonts w:ascii="Times New Roman" w:hAnsi="Times New Roman"/>
          <w:sz w:val="28"/>
          <w:szCs w:val="28"/>
        </w:rPr>
        <w:t xml:space="preserve"> </w:t>
      </w:r>
      <w:r w:rsidRPr="00411DBF">
        <w:rPr>
          <w:rFonts w:ascii="Times New Roman" w:hAnsi="Times New Roman"/>
          <w:i/>
          <w:sz w:val="28"/>
          <w:szCs w:val="28"/>
        </w:rPr>
        <w:t xml:space="preserve">с оглавлением, подписанный  Главой поселения и директором и главным  </w:t>
      </w:r>
      <w:r w:rsidRPr="00411DBF">
        <w:rPr>
          <w:rFonts w:ascii="Times New Roman" w:hAnsi="Times New Roman"/>
          <w:i/>
          <w:sz w:val="28"/>
          <w:szCs w:val="28"/>
        </w:rPr>
        <w:lastRenderedPageBreak/>
        <w:t>бухгалтером КУ «Центр бюджетного учета и отчетности Междуреченского  муниципального района».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C973CD" w:rsidRPr="000E0B53" w:rsidRDefault="00C973CD" w:rsidP="00C973CD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Инструкции №191-н годовой отчет  также предоставлен в форме электронного</w:t>
      </w:r>
      <w:r w:rsidRPr="00411DBF">
        <w:rPr>
          <w:rFonts w:ascii="Times New Roman" w:hAnsi="Times New Roman"/>
          <w:i/>
          <w:sz w:val="28"/>
          <w:szCs w:val="28"/>
        </w:rPr>
        <w:t xml:space="preserve"> </w:t>
      </w:r>
      <w:r w:rsidRPr="00C77A13">
        <w:rPr>
          <w:rFonts w:ascii="Times New Roman" w:hAnsi="Times New Roman"/>
          <w:sz w:val="28"/>
          <w:szCs w:val="28"/>
        </w:rPr>
        <w:t>документа</w:t>
      </w:r>
      <w:r>
        <w:rPr>
          <w:rFonts w:ascii="Times New Roman" w:hAnsi="Times New Roman"/>
          <w:sz w:val="28"/>
          <w:szCs w:val="28"/>
        </w:rPr>
        <w:t>, подписанного электронной цифровой подписью.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Pr="000E0B53">
        <w:rPr>
          <w:rFonts w:ascii="Times New Roman" w:hAnsi="Times New Roman"/>
          <w:sz w:val="28"/>
          <w:szCs w:val="28"/>
        </w:rPr>
        <w:t xml:space="preserve"> и включает: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-  баланс  по поступлениям и выбытиям бюджетных средств (ф.0503140);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</w:t>
      </w:r>
      <w:r w:rsidRPr="000E0B53">
        <w:rPr>
          <w:rFonts w:ascii="Times New Roman" w:hAnsi="Times New Roman"/>
          <w:sz w:val="28"/>
          <w:szCs w:val="28"/>
        </w:rPr>
        <w:t>- баланс исполнения бюджета (ф.0503120);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</w:t>
      </w:r>
      <w:r w:rsidRPr="000E0B53">
        <w:rPr>
          <w:rFonts w:ascii="Times New Roman" w:hAnsi="Times New Roman"/>
          <w:sz w:val="28"/>
          <w:szCs w:val="28"/>
        </w:rPr>
        <w:t>- справка по консолидируемым расчетам (ф. 0503125);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- отчет о бюджетных обязательствах (ф. 0503128);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-  справку по заключению счетов бюджетного учета отчетного финансового года (ф.0503110);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- отчет о кассовом поступлении и выбытии бюджетных средств (ф.0503124);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- отчет об исполнении бюджета (ф. 0503117);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- отчет о движении денежных средств (ф. 0503123);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</w:t>
      </w:r>
      <w:r w:rsidRPr="000E0B53">
        <w:rPr>
          <w:rFonts w:ascii="Times New Roman" w:hAnsi="Times New Roman"/>
          <w:sz w:val="28"/>
          <w:szCs w:val="28"/>
        </w:rPr>
        <w:t>-  отчет о финансовых результатах деятельности (ф.0503121);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-  пояснительная записка (ф. 0503160);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</w:t>
      </w:r>
      <w:r w:rsidRPr="000E0B53">
        <w:rPr>
          <w:rFonts w:ascii="Times New Roman" w:hAnsi="Times New Roman"/>
          <w:sz w:val="28"/>
          <w:szCs w:val="28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-  сведения о результатах деятельности (0503162);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 </w:t>
      </w:r>
      <w:r w:rsidRPr="000E0B53">
        <w:rPr>
          <w:rFonts w:ascii="Times New Roman" w:hAnsi="Times New Roman"/>
          <w:sz w:val="28"/>
          <w:szCs w:val="28"/>
        </w:rPr>
        <w:t>-  сведения об исполнении бюджета (0503164);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-  сведения о движении нефинансовых активов (ф.0503168);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-  сведения по дебиторской и кредиторской задолженности (ф. 0503169);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- сведения о финансовых вложениях получателя бюджетных средств(0503171);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- сведения об изменении остатков валюты баланса (0503173);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</w:t>
      </w:r>
      <w:r w:rsidRPr="000E0B53">
        <w:rPr>
          <w:rFonts w:ascii="Times New Roman" w:hAnsi="Times New Roman"/>
          <w:sz w:val="28"/>
          <w:szCs w:val="28"/>
        </w:rPr>
        <w:t>- сведения о принятых и неисполненных обязательствах получателя бюджетных средств (ф. 0503175);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    -  сведения об остатках денежных средств на счетах получателя бюджетных средств (ф.0503178);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   - сведения о вложениях  в объекты недвижимого имущества, объектах незавершенного строительства (ф.0503190);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   - отчет об использовании межбюджетных трансфертов из федерального и областного бюджетов (ф.0503324).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0E0B53">
        <w:rPr>
          <w:rFonts w:ascii="Times New Roman" w:hAnsi="Times New Roman"/>
          <w:sz w:val="28"/>
          <w:szCs w:val="28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показателей: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отчет об исполнении бюджета (по национальным проектам ф. 0503117-НП);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- </w:t>
      </w:r>
      <w:r w:rsidRPr="000E0B53">
        <w:rPr>
          <w:rFonts w:ascii="Times New Roman" w:hAnsi="Times New Roman"/>
          <w:sz w:val="28"/>
          <w:szCs w:val="28"/>
        </w:rPr>
        <w:t>отчет о бюджетных обязательствах (</w:t>
      </w:r>
      <w:r>
        <w:rPr>
          <w:rFonts w:ascii="Times New Roman" w:hAnsi="Times New Roman"/>
          <w:sz w:val="28"/>
          <w:szCs w:val="28"/>
        </w:rPr>
        <w:t xml:space="preserve">по национальным проектам </w:t>
      </w:r>
      <w:r w:rsidRPr="000E0B53">
        <w:rPr>
          <w:rFonts w:ascii="Times New Roman" w:hAnsi="Times New Roman"/>
          <w:sz w:val="28"/>
          <w:szCs w:val="28"/>
        </w:rPr>
        <w:t>ф. 0503128</w:t>
      </w:r>
      <w:r>
        <w:rPr>
          <w:rFonts w:ascii="Times New Roman" w:hAnsi="Times New Roman"/>
          <w:sz w:val="28"/>
          <w:szCs w:val="28"/>
        </w:rPr>
        <w:t>-НП</w:t>
      </w:r>
      <w:r w:rsidRPr="000E0B53">
        <w:rPr>
          <w:rFonts w:ascii="Times New Roman" w:hAnsi="Times New Roman"/>
          <w:sz w:val="28"/>
          <w:szCs w:val="28"/>
        </w:rPr>
        <w:t>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сведения об исполнении мероприятий в рамках целевых программ (ф. 0503166);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E0B53">
        <w:rPr>
          <w:rFonts w:ascii="Times New Roman" w:hAnsi="Times New Roman"/>
          <w:sz w:val="28"/>
          <w:szCs w:val="28"/>
        </w:rPr>
        <w:t xml:space="preserve">   -  сведения о целевых иностранных кредитах (ф. 0503167);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E0B53">
        <w:rPr>
          <w:rFonts w:ascii="Times New Roman" w:hAnsi="Times New Roman"/>
          <w:sz w:val="28"/>
          <w:szCs w:val="28"/>
        </w:rPr>
        <w:t xml:space="preserve">  - сведения о государственном (муниципальном) долге, предоставленных бюджетных кредитах (ф.0503172);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0E0B53">
        <w:rPr>
          <w:rFonts w:ascii="Times New Roman" w:hAnsi="Times New Roman"/>
          <w:sz w:val="28"/>
          <w:szCs w:val="28"/>
        </w:rPr>
        <w:t>сведения об изменении остатков валюты баланса (0503173</w:t>
      </w:r>
      <w:r>
        <w:rPr>
          <w:rFonts w:ascii="Times New Roman" w:hAnsi="Times New Roman"/>
          <w:sz w:val="28"/>
          <w:szCs w:val="28"/>
        </w:rPr>
        <w:t xml:space="preserve"> средства во временном распоряжении</w:t>
      </w:r>
      <w:r w:rsidRPr="000E0B53">
        <w:rPr>
          <w:rFonts w:ascii="Times New Roman" w:hAnsi="Times New Roman"/>
          <w:sz w:val="28"/>
          <w:szCs w:val="28"/>
        </w:rPr>
        <w:t>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0E0B53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 (ф.0503178</w:t>
      </w:r>
      <w:r>
        <w:rPr>
          <w:rFonts w:ascii="Times New Roman" w:hAnsi="Times New Roman"/>
          <w:sz w:val="28"/>
          <w:szCs w:val="28"/>
        </w:rPr>
        <w:t xml:space="preserve"> средства во временном распоряжении</w:t>
      </w:r>
      <w:r w:rsidRPr="000E0B53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E0B53">
        <w:rPr>
          <w:rFonts w:ascii="Times New Roman" w:hAnsi="Times New Roman"/>
          <w:sz w:val="28"/>
          <w:szCs w:val="28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 </w:t>
      </w:r>
      <w:r w:rsidRPr="000E0B53">
        <w:rPr>
          <w:rFonts w:ascii="Times New Roman" w:hAnsi="Times New Roman"/>
          <w:sz w:val="28"/>
          <w:szCs w:val="28"/>
        </w:rPr>
        <w:t>- справка о суммах консолидированных  поступлений, подлежащих к зачислению на счет бюджета (0503184);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E0B53">
        <w:rPr>
          <w:rFonts w:ascii="Times New Roman" w:hAnsi="Times New Roman"/>
          <w:color w:val="C00000"/>
          <w:sz w:val="28"/>
          <w:szCs w:val="28"/>
        </w:rPr>
        <w:t xml:space="preserve">        </w:t>
      </w:r>
      <w:r w:rsidRPr="000E0B53">
        <w:rPr>
          <w:rFonts w:ascii="Times New Roman" w:hAnsi="Times New Roman"/>
          <w:sz w:val="28"/>
          <w:szCs w:val="28"/>
        </w:rPr>
        <w:t>- сведения об исполнении судебных решений по денежным обязательствам бюджета (ф.0503296).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0B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B53">
        <w:rPr>
          <w:rFonts w:ascii="Times New Roman" w:hAnsi="Times New Roman"/>
          <w:sz w:val="28"/>
          <w:szCs w:val="28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0E0B53">
        <w:rPr>
          <w:rFonts w:ascii="Times New Roman" w:hAnsi="Times New Roman"/>
          <w:sz w:val="28"/>
          <w:szCs w:val="28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E0B53">
        <w:rPr>
          <w:rFonts w:ascii="Times New Roman" w:hAnsi="Times New Roman"/>
          <w:sz w:val="28"/>
          <w:szCs w:val="28"/>
        </w:rPr>
        <w:t xml:space="preserve"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составляет – 1, в том числе главный распорядитель бюджетных средств  – 1. В форме 0503161 по состоянию на 01 января 2019 года отражено всего 1 учреждение являющееся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br/>
        <w:t>главным распорядителем бюджетных средств</w:t>
      </w:r>
      <w:r w:rsidRPr="000E0B53">
        <w:rPr>
          <w:rFonts w:ascii="Times New Roman" w:hAnsi="Times New Roman"/>
          <w:sz w:val="28"/>
          <w:szCs w:val="28"/>
        </w:rPr>
        <w:t>, что соответствует  данным по ф.0503160 «Пояснительная записка».</w:t>
      </w:r>
      <w:r w:rsidRPr="000E0B53">
        <w:rPr>
          <w:rFonts w:ascii="Times New Roman" w:hAnsi="Times New Roman"/>
          <w:i/>
          <w:sz w:val="28"/>
          <w:szCs w:val="28"/>
        </w:rPr>
        <w:t xml:space="preserve">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установлено.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3.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деятельности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Администрацией поселения Ботановское в течение отчётного периода приняты меры, направленные на повышение оптимизации расходования </w:t>
      </w:r>
      <w:r w:rsidRPr="000E0B53">
        <w:rPr>
          <w:rFonts w:ascii="Times New Roman" w:hAnsi="Times New Roman"/>
          <w:sz w:val="28"/>
          <w:szCs w:val="28"/>
        </w:rPr>
        <w:lastRenderedPageBreak/>
        <w:t>бюджетных средств. Данные отражены в пояснительной записке</w:t>
      </w:r>
      <w:r>
        <w:rPr>
          <w:rFonts w:ascii="Times New Roman" w:hAnsi="Times New Roman"/>
          <w:sz w:val="28"/>
          <w:szCs w:val="28"/>
        </w:rPr>
        <w:t xml:space="preserve"> в разделе 2 «Результаты деятельности субъекта отчетности»</w:t>
      </w:r>
      <w:r w:rsidRPr="000E0B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поселения Ботановское от 25.05.2019 года №30  утвержден  План мероприятий по росту доходного потенциала бюджета сельского поселения Ботановское на 2019-2021 годы. В результате за 2019 год дополнительно мобилизовано по исполнению плана в бюджет поселения 80201,</w:t>
      </w:r>
      <w:r w:rsidRPr="00F217B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рубль, в консолидированный бюджет области -23000,0 рублей транспортного налога. Также утвержден План мероприятий по оптимизации расходов бюджета поселения распоряжением Администрации поселения от 21 .01.2019 года  №9.  </w:t>
      </w:r>
      <w:r w:rsidRPr="000E0B53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9</w:t>
      </w:r>
      <w:r w:rsidRPr="000E0B53">
        <w:rPr>
          <w:rFonts w:ascii="Times New Roman" w:hAnsi="Times New Roman"/>
          <w:sz w:val="28"/>
          <w:szCs w:val="28"/>
        </w:rPr>
        <w:t xml:space="preserve"> год  сумма экономического эффекта составила </w:t>
      </w:r>
      <w:r>
        <w:rPr>
          <w:rFonts w:ascii="Times New Roman" w:hAnsi="Times New Roman"/>
          <w:sz w:val="28"/>
          <w:szCs w:val="28"/>
        </w:rPr>
        <w:t>174,7 тыс. рублей</w:t>
      </w:r>
      <w:r w:rsidRPr="000E0B53">
        <w:rPr>
          <w:rFonts w:ascii="Times New Roman" w:hAnsi="Times New Roman"/>
          <w:sz w:val="28"/>
          <w:szCs w:val="28"/>
        </w:rPr>
        <w:t>, в том числе: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>- по управлению  сокращены расходы на хозяйственные и канцелярские материалы, запасные части</w:t>
      </w:r>
      <w:r>
        <w:rPr>
          <w:rFonts w:ascii="Times New Roman" w:hAnsi="Times New Roman"/>
          <w:sz w:val="28"/>
          <w:szCs w:val="28"/>
        </w:rPr>
        <w:t xml:space="preserve"> к автомашинам </w:t>
      </w:r>
      <w:r w:rsidRPr="000E0B53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10,4тыс. </w:t>
      </w:r>
      <w:r w:rsidRPr="000E0B53">
        <w:rPr>
          <w:rFonts w:ascii="Times New Roman" w:hAnsi="Times New Roman"/>
          <w:sz w:val="28"/>
          <w:szCs w:val="28"/>
        </w:rPr>
        <w:t>рублей;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коммунальные платежи - на 3,9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имущества – на 10,1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 - по отрасли ЖКХ  </w:t>
      </w:r>
      <w:r>
        <w:rPr>
          <w:rFonts w:ascii="Times New Roman" w:hAnsi="Times New Roman"/>
          <w:sz w:val="28"/>
          <w:szCs w:val="28"/>
        </w:rPr>
        <w:t xml:space="preserve">- на </w:t>
      </w:r>
      <w:r w:rsidRPr="000E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21, 3 тыс. </w:t>
      </w:r>
      <w:r w:rsidRPr="000E0B53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в том числе на уличное освещение -15,5 тыс. рублей, на приобретение материальных запасов - 6,3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 - по  разделу физическая культура и спорт </w:t>
      </w:r>
      <w:r>
        <w:rPr>
          <w:rFonts w:ascii="Times New Roman" w:hAnsi="Times New Roman"/>
          <w:sz w:val="28"/>
          <w:szCs w:val="28"/>
        </w:rPr>
        <w:t>- на</w:t>
      </w:r>
      <w:r w:rsidRPr="000E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5,8 тыс. </w:t>
      </w:r>
      <w:r w:rsidRPr="000E0B53">
        <w:rPr>
          <w:rFonts w:ascii="Times New Roman" w:hAnsi="Times New Roman"/>
          <w:sz w:val="28"/>
          <w:szCs w:val="28"/>
        </w:rPr>
        <w:t>рублей на ГСМ</w:t>
      </w:r>
      <w:r>
        <w:rPr>
          <w:rFonts w:ascii="Times New Roman" w:hAnsi="Times New Roman"/>
          <w:sz w:val="28"/>
          <w:szCs w:val="28"/>
        </w:rPr>
        <w:t>.</w:t>
      </w:r>
    </w:p>
    <w:p w:rsidR="00C973CD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      Кроме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B53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0E0B53">
        <w:rPr>
          <w:rFonts w:ascii="Times New Roman" w:hAnsi="Times New Roman"/>
          <w:sz w:val="28"/>
          <w:szCs w:val="28"/>
        </w:rPr>
        <w:t xml:space="preserve"> поселения создана комиссия  по платежам в бюджет, благодаря которой  дополнительно поступило в бюджет поселения доходов в сумме </w:t>
      </w:r>
      <w:r>
        <w:rPr>
          <w:rFonts w:ascii="Times New Roman" w:hAnsi="Times New Roman"/>
          <w:sz w:val="28"/>
          <w:szCs w:val="28"/>
        </w:rPr>
        <w:t xml:space="preserve">36,6 </w:t>
      </w:r>
      <w:r w:rsidRPr="000E0B53">
        <w:rPr>
          <w:rFonts w:ascii="Times New Roman" w:hAnsi="Times New Roman"/>
          <w:sz w:val="28"/>
          <w:szCs w:val="28"/>
        </w:rPr>
        <w:t>тыс. рублей.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2019 год начальник финансового отдела принимала участие в семинарах по сдаче годовой бюджетной (бухгалтерской) отчетности за 2018 и 2019 годы, Федеральным стандартам бухгалтерской отчетности, об исполнении местных бюджетов за 2019 год.</w:t>
      </w:r>
    </w:p>
    <w:p w:rsidR="00C973CD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0B53">
        <w:rPr>
          <w:rFonts w:ascii="Times New Roman" w:hAnsi="Times New Roman"/>
          <w:bCs/>
          <w:sz w:val="28"/>
          <w:szCs w:val="28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7B6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2E7B6E">
        <w:rPr>
          <w:rFonts w:ascii="Times New Roman" w:hAnsi="Times New Roman"/>
          <w:bCs/>
          <w:i/>
          <w:sz w:val="28"/>
          <w:szCs w:val="28"/>
        </w:rPr>
        <w:t xml:space="preserve">В соответствии с п.161 Инструкции № 191н информация в форме 0503162 «Сведения о результатах деятельности» </w:t>
      </w:r>
      <w:r w:rsidRPr="002E7B6E">
        <w:rPr>
          <w:rFonts w:ascii="Times New Roman" w:hAnsi="Times New Roman"/>
          <w:bCs/>
          <w:i/>
          <w:sz w:val="28"/>
          <w:szCs w:val="28"/>
          <w:u w:val="single"/>
        </w:rPr>
        <w:t>должна содержать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</w:t>
      </w:r>
      <w:r w:rsidRPr="002E7B6E">
        <w:rPr>
          <w:rFonts w:ascii="Times New Roman" w:hAnsi="Times New Roman"/>
          <w:bCs/>
          <w:i/>
          <w:sz w:val="28"/>
          <w:szCs w:val="28"/>
        </w:rPr>
        <w:t>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  <w:proofErr w:type="gramEnd"/>
      <w:r w:rsidRPr="002E7B6E">
        <w:rPr>
          <w:rFonts w:ascii="Times New Roman" w:hAnsi="Times New Roman"/>
          <w:bCs/>
          <w:i/>
          <w:sz w:val="28"/>
          <w:szCs w:val="28"/>
        </w:rPr>
        <w:t xml:space="preserve"> Если субъекту бюджетной отчетности главным распорядителем (распорядителем) бюджетных средств не устанавливается государственное (муниципальное) задание или показатели результативности деятельности, то Сведения (ф. 0503162) не составляются, при этом информация о результатах деятельности раскрывается в текстовой части раздела 2 Пояснительной записки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E0B53">
        <w:rPr>
          <w:rFonts w:ascii="Times New Roman" w:hAnsi="Times New Roman"/>
          <w:bCs/>
          <w:sz w:val="28"/>
          <w:szCs w:val="28"/>
        </w:rPr>
        <w:lastRenderedPageBreak/>
        <w:t>В соответствии с учетной политикой производятся мероприятия по осуществлению внутреннего контроля.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Согласно Сведени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ям, 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отчётном периоде проводились следующие мероприятия внутреннего контроля:  ежемесячные плановые и внеплановые проверки денежной наличности кассы;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</w:t>
      </w:r>
      <w:proofErr w:type="gramEnd"/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Управлением финансов района проводились проверк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согласно приказу  Управления финансов от 12.03.2019 года №7  «О проведении камеральной проверки» по соблюдению законодательства в сфере закупок товаров, работ и услуг. Выявлены нарушения Федерального закона </w:t>
      </w:r>
      <w:r>
        <w:rPr>
          <w:rFonts w:ascii="Times New Roman" w:hAnsi="Times New Roman"/>
          <w:sz w:val="28"/>
          <w:szCs w:val="28"/>
        </w:rPr>
        <w:t>от 05.04. 2013 № 44-ФЗ «О контрактной системе в сфере закупок товаров, работ, услуг для обеспечения государственных и муниципальных нужд». Принятые меры по устранению выявленных нарушений отражены в таблице №5 Пояснительной записки.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проведённых в отчётном периоде мероприятий по внешнему муниципальному контролю изложены в пояснительной записке таблица № 7 «Сведения о результатах внешних контрольных мероприятий». </w:t>
      </w:r>
    </w:p>
    <w:p w:rsidR="00C973CD" w:rsidRDefault="00C973CD" w:rsidP="00C973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Контрольные мероприятия  по внешнему  финансовому контролю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осуществлялись в 2019 году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евизионной комиссией Представительного Собрания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Департаментом финансов области  и КСП Вологодской области. Был осуществлен последующий контроль результатов деятельности Администрации поселения.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Ревизионной комиссией Представительного Собрания района  проведена проверка использования иных межбюджетных трансфертов, выделенных бюджету поселения из бюджета района за 2017-2018 годы», проверка реализации результатов контрольных мероприятий за 2018 год, проведена внешняя проверка годовой отчетности  за 2018 год. 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Департаментом финансов области проведена камеральная проверка годового отчета об исполнении бюджета поселения за 2018 год, проверка соблюдения требований законодательства и иных НПА о контрактной системе в сфере закупок товаров, работ, услуг для обеспечения муниципальных нужд. КСП Вологодской области проведена проверка по использованию субсидий на оформление земельных участков из земель сельскохозяйственного назначения,  находящихся в общей долевой собственности, предоставленных в 2018 году. По всем проверкам выявлены нарушения, отражены принятые меры по устранению нарушений в таблице 7 Пояснительной записки.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п.7 Инструкции № 191н перед составлением годовой бюджетной отчётности должна быть проведена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годовая инвентаризация активов и обязательств.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распоряжению Администрации поселения от 20.12.2019 года №30-р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проведена годовая инвентаризация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средств,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имущества казны,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расчетов с организациями, денежных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в 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ассе учреждения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результате проведенной инвентаризации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расхождений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выявлено.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E0B53">
        <w:rPr>
          <w:rFonts w:ascii="Times New Roman" w:eastAsia="Times New Roman" w:hAnsi="Times New Roman"/>
          <w:i/>
          <w:sz w:val="28"/>
          <w:szCs w:val="28"/>
          <w:lang w:eastAsia="ru-RU"/>
        </w:rPr>
        <w:t>Результаты проведённых в отчётном периоде инвентаризаций имущества и обязательств не отражены в таблице № 6 «Сведения о проведении инвентаризаций».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Информация об остатках и движении нефинансовых активов отражена в</w:t>
      </w:r>
      <w:r w:rsidRPr="000E0B53">
        <w:rPr>
          <w:rFonts w:ascii="Times New Roman" w:hAnsi="Times New Roman"/>
          <w:sz w:val="28"/>
          <w:szCs w:val="28"/>
        </w:rPr>
        <w:t xml:space="preserve"> Балансе  исполнения бюджета поселения  (ф.0503120), пояснительной записке и в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«Сведениях о движении нефинансовых активов» (ф.0503168). 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Согласно вышеуказанным формам, по состоянию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числятся основные средства общей балансовой стоимостью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2744,1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остаточная стоимость основных средств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897,8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В течение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сре</w:t>
      </w:r>
      <w:proofErr w:type="gramStart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дств в  с</w:t>
      </w:r>
      <w:proofErr w:type="gramEnd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600,7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том числе: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 - 499,0 тыс. рублей,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прочие основные средства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101,7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Выбытие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средств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составило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прочие основные средства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Pr="00321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год начислено амортизации 112,0 тыс. рублей, на конец года амортизация составила 1846,2 тыс. рублей.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забалансовом счете 01 «Имущество, полученное в пользование» числится пожарный автомобиль ГАЗ-66  стоимостью 336,8 тыс. рублей,  полученный в безвозмездное временное пользование сроком  на 3 года для организации работы добровольной пожарной команды.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забалансовом счете 25 «Имущество, переданное в возмездное пользование (аренду)» учитывается имущество, переданное в аренду МУП «Жилищник 2» (трактор МТЗ-82 и прицеп тракторный) в сумме 336,3 тыс. рублей.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забалансовом счете 26 «Имущество, переданное в безвозмездное пользование»  на 01.01.2019 года числилось имущество Домов культуры в д Игумницево и д. Гаврилково в сумме 914,5 тыс. рублей. В течение 2019 года данное имущество передано в собственность Междуреченского муниципального района по передаточному акту от 10.07 2019 года.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нефинансовые активы имущества казны составляют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остаточной стоимости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16363,1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В течение отчётного периода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движение имущества казны и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стоимость имущества казны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изменилась.</w:t>
      </w:r>
      <w:r w:rsidRPr="00EB3E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Непроизведенные активы на 01.01.2020 года составили 644,5 тыс. рублей. В течение года земельные участки в собственность поселения не оформлялись и в бухгалтерском учете не отражались.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 0503171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«Сведения о финансовых вложениях получателя бюджетных средств, администратора источников финансирования дефицита бюджета»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года отражена информация о финансовых вложениях администрации поселения по счету 1 2043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000 в сумме 3,3 тыс.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рублей. Согласно Балансу финансовые вложения в течение отчетного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изменились, на 01.01.2019 года они также составляли 3,3 тыс. рублей.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>Согласно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  доходы, подлежащие перечислению в бюджет за отчетный период, отсутствуют.</w:t>
      </w:r>
    </w:p>
    <w:p w:rsidR="00C973CD" w:rsidRDefault="00C973CD" w:rsidP="00C97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3E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6,4</w:t>
      </w: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(раздел 1 ф.0503175). Общая сумма неисполненных денежных обязательств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6,4</w:t>
      </w: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(раздел 2 ф.0503175).  Общая сумма бюджетных обязательств, принятых сверх утвержденных бюджетных назначений (раздел 3 ф. 0503175),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6,4</w:t>
      </w:r>
      <w:r w:rsidRPr="00E140B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Pr="00E140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п.170.2 Инструкции № 191н в</w:t>
      </w:r>
      <w:r w:rsidRPr="00E14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E140BF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>разделе 3</w:t>
        </w:r>
      </w:hyperlink>
      <w:r w:rsidRPr="00E140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формы 0503175 отражается информация на основании данных о бюджетных обязательствах, принятых сверх утвержденных бюджетных назначений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следующем порядке. </w:t>
      </w:r>
      <w:proofErr w:type="gramStart"/>
      <w:r w:rsidRPr="00DB0DA6">
        <w:rPr>
          <w:rFonts w:ascii="Times New Roman" w:hAnsi="Times New Roman"/>
          <w:sz w:val="28"/>
          <w:szCs w:val="28"/>
        </w:rPr>
        <w:t>В графе 1 указываются номера соответствующих аналитических счетов счета 150211000 "Принятые обязательства на текущий финансовый год", по которым на отчетную дату в Отчете (</w:t>
      </w:r>
      <w:hyperlink r:id="rId9" w:history="1">
        <w:r w:rsidRPr="00253CED">
          <w:rPr>
            <w:rFonts w:ascii="Times New Roman" w:hAnsi="Times New Roman"/>
            <w:sz w:val="28"/>
            <w:szCs w:val="28"/>
          </w:rPr>
          <w:t>ф.0503128</w:t>
        </w:r>
      </w:hyperlink>
      <w:r w:rsidRPr="00DB0DA6">
        <w:rPr>
          <w:rFonts w:ascii="Times New Roman" w:hAnsi="Times New Roman"/>
          <w:sz w:val="28"/>
          <w:szCs w:val="28"/>
        </w:rPr>
        <w:t>) показатель, отраженный в графе 7 "Принятые бюджетные обязательства, всего", превышает показатель утвержденных (доведенных) бюджетных данных (бюджетных ассигнований или лимитов бюджетных обязательств), отраженный в графе 5 или графе 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973CD" w:rsidRDefault="00C973CD" w:rsidP="00C97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B0DA6">
        <w:rPr>
          <w:rFonts w:ascii="Times New Roman" w:hAnsi="Times New Roman"/>
          <w:i/>
          <w:sz w:val="28"/>
          <w:szCs w:val="28"/>
        </w:rPr>
        <w:t>В форме 0503128 «Отчет о бюджетных обязательствах»  по графе 7 отражено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0DA6">
        <w:rPr>
          <w:rFonts w:ascii="Times New Roman" w:hAnsi="Times New Roman"/>
          <w:i/>
          <w:sz w:val="28"/>
          <w:szCs w:val="28"/>
        </w:rPr>
        <w:t>3967367,25 рублей, в графе 4 и 5 – 4604410,0 рублей.</w:t>
      </w:r>
      <w:r>
        <w:rPr>
          <w:rFonts w:ascii="Times New Roman" w:hAnsi="Times New Roman"/>
          <w:i/>
          <w:sz w:val="28"/>
          <w:szCs w:val="28"/>
        </w:rPr>
        <w:t xml:space="preserve"> Таким образом, бюджетных обязательств, принятых сверх бюджетных назначений, не имеется, раздел 3 заполнен с нарушениями п.170.2 Инструкции 191-н. Кроме того, в разделах 1 и 2 формы 0503175 не заполнены графы с 3 по 8, что также является нарушением п.170.2 Инструкции 191-н.</w:t>
      </w:r>
    </w:p>
    <w:p w:rsidR="00C973CD" w:rsidRPr="00E140BF" w:rsidRDefault="00C973CD" w:rsidP="00C973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DA6">
        <w:rPr>
          <w:rFonts w:ascii="Times New Roman" w:eastAsia="Times New Roman" w:hAnsi="Times New Roman"/>
          <w:sz w:val="28"/>
          <w:szCs w:val="28"/>
          <w:lang w:eastAsia="ru-RU"/>
        </w:rPr>
        <w:t>Сведения об экономии  при заключении государственных (муниципальных) контрактов с применением конкурентных способов (раздел 4 ф. 0503175) не заполнен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отсутствием конкурентных закупок.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Стоимость материальных запасов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 года составляет 1,4 тыс. рублей, что в 2,2 раза больше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материальных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пасов по состоянию на 01.01.2019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  <w:r w:rsidRPr="00025D0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025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течение года согласно форме 0503168 поступило материальных запасов на сумму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173,7</w:t>
      </w:r>
      <w:r w:rsidRPr="00025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выбыло материальных запасов на сумму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172,9</w:t>
      </w:r>
      <w:r w:rsidRPr="00025D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Анализ показателей Баланса  исполнения бюджета поселения (ф.0503120) (далее по тексту – Баланс)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Долговые обязательства поселения на конец отчетного периода составили  0 рублей (ф. 0503172), муниципальные гарантии не предоставлялись.</w:t>
      </w:r>
    </w:p>
    <w:p w:rsidR="00C973CD" w:rsidRPr="00025D07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D0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сведениям об остатках денежных средств на счетах  получателя бюджетных средств (ф. 0503178) на счетах Администрации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Ботановское</w:t>
      </w:r>
      <w:r w:rsidRPr="00025D07">
        <w:rPr>
          <w:rFonts w:ascii="Times New Roman" w:eastAsia="Times New Roman" w:hAnsi="Times New Roman"/>
          <w:sz w:val="28"/>
          <w:szCs w:val="28"/>
          <w:lang w:eastAsia="ru-RU"/>
        </w:rPr>
        <w:t xml:space="preserve"> 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25D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бюджетной деятельности  остаток составил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690,9</w:t>
      </w:r>
      <w:r w:rsidRPr="00025D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по  средствам во временном распоряжении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025D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вопросу 4.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исполнения бюджетных назначений по доходам и расходам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5127,4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доходы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728,8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собственности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34,3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оказания платных услуг (работ)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- штрафы, пени, неустойки, возмещение ущерба – 0,0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денежные поступления текущего характера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3816,6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операций с активами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-прочие доходы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46,8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-безвозмездные неденежные поступления в сектор государственного управления - 499,0 тыс. рублей.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приложением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Совета поселения Ботановское  Междуреченского муниципального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390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«О бюджете поселения 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Администрация поселения включена в перечень главных администраторов доходов бюджета поселения, с закреплением за ним соответствующих кодов доходов.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Отчёту об исполнении бюджета </w:t>
      </w:r>
      <w:hyperlink r:id="rId10" w:history="1">
        <w:r w:rsidRPr="000E0B53">
          <w:rPr>
            <w:rFonts w:ascii="Times New Roman" w:eastAsia="Times New Roman" w:hAnsi="Times New Roman"/>
            <w:sz w:val="28"/>
            <w:szCs w:val="28"/>
            <w:lang w:eastAsia="ru-RU"/>
          </w:rPr>
          <w:t>(ф. 0503117)</w:t>
        </w:r>
      </w:hyperlink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Отчёт об исполнении бюджета) доходы, полученные Администрацией поселения за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год, составили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4581,6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% плановых назначений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4534,2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рублей), в том числе: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доходы физических лиц 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119,9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13,1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, чем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физических лиц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97,3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, чем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году);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земельный налог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501,6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% больше, чем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A43A64">
        <w:rPr>
          <w:rFonts w:ascii="Times New Roman" w:eastAsia="Times New Roman" w:hAnsi="Times New Roman"/>
          <w:sz w:val="28"/>
          <w:szCs w:val="28"/>
          <w:lang w:eastAsia="ru-RU"/>
        </w:rPr>
        <w:t xml:space="preserve">-государственная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пошлина в сумме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% ниже, чем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 -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34,2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(что ниже уровня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оказания платных услуг и компенсации затрат государства – 1,9 тыс. рублей (в 2018 году данные доходы отсутствовали);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поступления 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3816,6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значительно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уровн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Данное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увеличение</w:t>
      </w:r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связано с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ростом размеров субсидий, дотаций, иных межбюджетных трансфертов и прочих безвозмездных поступлений в 2019 году.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поселения Ботановско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Междуреченского муниципального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390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«О бюджете поселения 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с учётом изменений (далее по тексту – Решение о бюджете поселения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 Администрации  поселения утверждены бюджетные ассигнования 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4604,4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соответствует показателям ф.0503117 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% больше первоначально утверждённых показателей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(3180,2</w:t>
      </w:r>
      <w:proofErr w:type="gramEnd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Плановые показатели сводной бюджетной росписи утверждены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4604,4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Таблица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№1.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992"/>
      </w:tblGrid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992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561,0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560,9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E0B53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0104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1884,7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39,0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 деятельности финансовых, налоговых и таможенных  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121,2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2,35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92,6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185,9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4,7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1013,0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71,8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18,4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246,0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6,2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B53">
              <w:rPr>
                <w:rFonts w:ascii="Times New Roman" w:hAnsi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</w:tr>
      <w:tr w:rsidR="00C973CD" w:rsidRPr="000E0B53" w:rsidTr="00201E04">
        <w:tc>
          <w:tcPr>
            <w:tcW w:w="3652" w:type="dxa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4604,4</w:t>
            </w:r>
          </w:p>
        </w:tc>
        <w:tc>
          <w:tcPr>
            <w:tcW w:w="1276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973CD" w:rsidRPr="000E0B53" w:rsidRDefault="00C973CD" w:rsidP="00201E04">
            <w:pPr>
              <w:ind w:hanging="89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992" w:type="dxa"/>
            <w:vAlign w:val="bottom"/>
          </w:tcPr>
          <w:p w:rsidR="00C973CD" w:rsidRPr="000E0B53" w:rsidRDefault="00C973CD" w:rsidP="00201E04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Расходная часть 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исполнена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3961,0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плановых назначений.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объёме расходов составляют расходы по подразделу  «</w:t>
      </w:r>
      <w:r w:rsidRPr="000E0B53">
        <w:rPr>
          <w:rFonts w:ascii="Times New Roman" w:hAnsi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«Благоустройство»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18,4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«Функционирование высшего должностного лица субъекта Российской Федерации и муниципального образования»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14,2 процента.</w:t>
      </w:r>
    </w:p>
    <w:p w:rsidR="00C973CD" w:rsidRPr="007A34DA" w:rsidRDefault="00C973CD" w:rsidP="00C973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A34DA">
        <w:rPr>
          <w:rFonts w:ascii="Times New Roman" w:hAnsi="Times New Roman"/>
          <w:sz w:val="28"/>
          <w:szCs w:val="28"/>
        </w:rPr>
        <w:t>Структура расходов главного распорядителя бюджетных средств по итогам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A34DA">
        <w:rPr>
          <w:rFonts w:ascii="Times New Roman" w:hAnsi="Times New Roman"/>
          <w:sz w:val="28"/>
          <w:szCs w:val="28"/>
        </w:rPr>
        <w:t xml:space="preserve"> года представлена в таблице: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7"/>
        <w:gridCol w:w="1607"/>
        <w:gridCol w:w="1437"/>
      </w:tblGrid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Исполнено, тыс. руб.</w:t>
            </w:r>
          </w:p>
        </w:tc>
        <w:tc>
          <w:tcPr>
            <w:tcW w:w="1383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Удельный вес, %</w:t>
            </w:r>
          </w:p>
        </w:tc>
      </w:tr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 xml:space="preserve"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A34DA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государственными внебюджетными фондами»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1839,9</w:t>
            </w:r>
          </w:p>
        </w:tc>
        <w:tc>
          <w:tcPr>
            <w:tcW w:w="1383" w:type="dxa"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46,4</w:t>
            </w:r>
          </w:p>
        </w:tc>
      </w:tr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lastRenderedPageBreak/>
              <w:t>200 «Закупка товаров, работ и услуг для государственных (муниципальных) нужд»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1688,6</w:t>
            </w:r>
          </w:p>
        </w:tc>
        <w:tc>
          <w:tcPr>
            <w:tcW w:w="1383" w:type="dxa"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42,6</w:t>
            </w:r>
          </w:p>
        </w:tc>
      </w:tr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300 «Социальное обеспечение и иные выплаты населению»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245,8</w:t>
            </w:r>
          </w:p>
        </w:tc>
        <w:tc>
          <w:tcPr>
            <w:tcW w:w="1383" w:type="dxa"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6,2</w:t>
            </w:r>
          </w:p>
        </w:tc>
      </w:tr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500 «Межбюджетные трансферты»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  <w:tc>
          <w:tcPr>
            <w:tcW w:w="1383" w:type="dxa"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4,2</w:t>
            </w:r>
          </w:p>
        </w:tc>
      </w:tr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800 «Иные бюджетные ассигнования»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383" w:type="dxa"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0,6</w:t>
            </w:r>
          </w:p>
        </w:tc>
      </w:tr>
      <w:tr w:rsidR="00C973CD" w:rsidRPr="007A34DA" w:rsidTr="00201E04">
        <w:tc>
          <w:tcPr>
            <w:tcW w:w="6771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34DA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1417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3961,0</w:t>
            </w:r>
          </w:p>
        </w:tc>
        <w:tc>
          <w:tcPr>
            <w:tcW w:w="1383" w:type="dxa"/>
            <w:hideMark/>
          </w:tcPr>
          <w:p w:rsidR="00C973CD" w:rsidRPr="007A34DA" w:rsidRDefault="00C973CD" w:rsidP="00201E0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C973CD" w:rsidRDefault="00C973CD" w:rsidP="00C973C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A34DA">
        <w:rPr>
          <w:rFonts w:ascii="Times New Roman" w:hAnsi="Times New Roman"/>
          <w:sz w:val="28"/>
          <w:szCs w:val="28"/>
        </w:rPr>
        <w:t>Основным направлением расходования бюджетных средств в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A34DA">
        <w:rPr>
          <w:rFonts w:ascii="Times New Roman" w:hAnsi="Times New Roman"/>
          <w:sz w:val="28"/>
          <w:szCs w:val="28"/>
        </w:rPr>
        <w:t xml:space="preserve"> году являются расходы на </w:t>
      </w:r>
      <w:r>
        <w:rPr>
          <w:rFonts w:ascii="Times New Roman" w:hAnsi="Times New Roman"/>
          <w:sz w:val="28"/>
          <w:szCs w:val="28"/>
        </w:rPr>
        <w:t xml:space="preserve">выплату персоналу органа местного самоуправления -46,4 % от всех расходов бюджета  поселения. На втором месте – закупки товаров, работ и услуг для обеспечения муниципальных нужд – 42,6 процента. Выплаты социального характера (доплаты к пенсиям муниципальным служащим и бывшим Главам поселений) </w:t>
      </w:r>
      <w:r w:rsidRPr="007A3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составили 6,2 %, межбюджетные трансферты по передаваемым полномочиям - 4,2 %, иные бюджетные ассигнования незначительны -0,6 процента.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исполнения бюджета отражена в ф.0503164 «Сведения об исполнении бюджета»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данные  соответствует  ф. 0503117 «Отчет об исполнении бюджета»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ф. 0503124 «Отчет о кассовом поступлении и выбытии бюджетных средств».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5.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C973CD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финансирование муниципальных целевых программ Администрацией поселения не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их отсутствием. В бюджете поселения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утвержденный решением Совета поселения Ботановское 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поселения 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 расходов по муниципальным целевым программам не предусмотрено.</w:t>
      </w:r>
    </w:p>
    <w:p w:rsidR="00C973CD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пояснительной запиской в поселении в 2019 году исполнялись мероприятия по областной программе «Народный бюджет». Реализовано за 2019 год на территории поселения 3 проекта на сумму 280,0 тыс. рублей. Проведена замена деревянных тротуаров в д. Игумницево - 90,0 тыс. рублей, произведена очистка пожарных водоемов в д. Игумницево -70,0 тыс. рублей, осуществлен перенос памятника односельчанам, погибшим в годы Великой Отечественной войны 1941-1945 годов, в д. Гаврилково-120,0 тыс. рублей.</w:t>
      </w:r>
    </w:p>
    <w:p w:rsidR="00C973CD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1 «Развитие отраслей агропромышленного комплекса Вологодской области  на 2017-2020 годы» государственной программы «Развитие агропромышленного комплекса и потребительского рынка Вологодской области на 2013-2020 годы», утвержденной постановлением Правительства Вологодской области от 22 октября 2012 года №1222 и законом Вологодской области от 17 декабря 2018 года № 4465-ОЗ «Об областном бюджете на 2019 год и плановый период 2020 и 2021 годов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освоена субсидия из областного бюджета на оформление земельных участков из земель сельскохозяйственного назначения, находящихся в общей долевой собственности, в сумме 167,3 тыс. рублей, софинансирование из бюджета поселения составило 18,6 тыс. рублей. Площадь оформленных земельных участков составила  469,2 гектара.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рамках обеспечения реализации мероприятий государственной программы «Энергоэффективность и развитие газификации на территории Вологодской  области на 2014-2020 годы» направлено на организацию уличного освещения -197,8 тыс. рублей (135,3тыс. рублей  – субсидия из областного бюджета, 62,5 тыс. рублей – софинансирование), на обустройство систем уличного освещения – 188,3 тыс. рублей (186,4 тыс. рублей – субсидия из областного бюджета , 1,9 тыс. рублей  – софинансирование из бюджета поселения).</w:t>
      </w:r>
      <w:proofErr w:type="gramEnd"/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6.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дебиторской, кредиторской задолженности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Анализ дебиторской и кредиторской задолженности проводился согласно данным Баланса исполнения бюджета поселения  (ф.0503120), Пояснительной записке, Сведений по дебиторской и кредиторской задолженности (ф. 0503169).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C973CD" w:rsidRPr="000E0B53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Дебиторская задолженность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397,5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proofErr w:type="gramStart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дебиторская задолженность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9079,0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по данным МРИ ФНС №1 России по Вологодской области в сумме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0,3 тыс. рублей и  по расчетам за аренду муниципального имущества с Междуреченским  РАЙПО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290,4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авансовый платеж на поставку  электроэнергии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 «ССК»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55,1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8613,2 тыс. рублей – доходы будущих периодов по безвозмездным поступлениям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поселения.</w:t>
      </w:r>
    </w:p>
    <w:p w:rsidR="00C973CD" w:rsidRPr="000E0B53" w:rsidRDefault="00C973CD" w:rsidP="00C973C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Кредиторская задолженность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составляла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273,3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кредиторская задолженность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296,9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просроченная задолженность отсутствует.</w:t>
      </w:r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Наиболее значительная задолженность сложилась </w:t>
      </w:r>
      <w:proofErr w:type="gramStart"/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>по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МРИ</w:t>
      </w:r>
      <w:proofErr w:type="gramEnd"/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ФНС №1 России по Вологодской области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290,6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услуги связи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декабрь 2019 года </w:t>
      </w:r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6,2</w:t>
      </w:r>
      <w:r w:rsidRPr="000E0B53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0,1 тыс. рублей – за обращение с ТКО за декабрь 2019 года.</w:t>
      </w:r>
    </w:p>
    <w:p w:rsidR="00C973CD" w:rsidRDefault="00C973CD" w:rsidP="00C973C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Расхождений между анализируемыми формами не выявлено.</w:t>
      </w:r>
    </w:p>
    <w:p w:rsidR="00C973CD" w:rsidRPr="0042366A" w:rsidRDefault="00C973CD" w:rsidP="00C973C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66A">
        <w:rPr>
          <w:rFonts w:ascii="Times New Roman" w:hAnsi="Times New Roman" w:cs="Times New Roman"/>
          <w:b/>
          <w:sz w:val="28"/>
          <w:szCs w:val="28"/>
          <w:u w:val="single"/>
        </w:rPr>
        <w:t>Итоговые данные контрольного мероприятия</w:t>
      </w:r>
    </w:p>
    <w:p w:rsidR="00C973CD" w:rsidRPr="0042366A" w:rsidRDefault="00C973CD" w:rsidP="00C973C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>(по Классификатору нарушений Счетной палаты РФ)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89"/>
        <w:gridCol w:w="1149"/>
        <w:gridCol w:w="1136"/>
        <w:gridCol w:w="3385"/>
      </w:tblGrid>
      <w:tr w:rsidR="00C973CD" w:rsidRPr="0042366A" w:rsidTr="00243706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Выявлено нарушений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Предложено к устранению </w:t>
            </w:r>
            <w:r w:rsidRPr="004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нарушений 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973CD" w:rsidRPr="0042366A" w:rsidTr="00243706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42366A" w:rsidTr="002437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3CD" w:rsidRPr="0042366A" w:rsidTr="002437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FB194D" w:rsidRDefault="00C973CD" w:rsidP="00201E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B1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бухгалтерского учета, составления и предоставления бухгалтерской (финансовой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42366A" w:rsidTr="0024370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7C78A4" w:rsidRDefault="00C973CD" w:rsidP="0020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8A4">
              <w:rPr>
                <w:rFonts w:ascii="Times New Roman" w:hAnsi="Times New Roman" w:cs="Times New Roman"/>
                <w:sz w:val="28"/>
                <w:szCs w:val="28"/>
              </w:rPr>
              <w:t xml:space="preserve">2.9 </w:t>
            </w:r>
            <w:r w:rsidRPr="007C78A4">
              <w:rPr>
                <w:rFonts w:ascii="Times New Roman" w:hAnsi="Times New Roman"/>
                <w:sz w:val="28"/>
                <w:szCs w:val="28"/>
              </w:rPr>
              <w:t>Нарушение общих требований к бухгалтерской (финансовой) отчетности экономического субъекта, в том числе к ее составу, к-во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243706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73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243706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73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06" w:rsidRDefault="00C973CD" w:rsidP="00243706">
            <w:pPr>
              <w:tabs>
                <w:tab w:val="left" w:pos="142"/>
                <w:tab w:val="left" w:pos="567"/>
                <w:tab w:val="left" w:pos="709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E7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706" w:rsidRPr="000E0B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соответствии с п.4, п.6 Инструкции № 191н г</w:t>
            </w:r>
            <w:r w:rsidR="00243706" w:rsidRPr="000E0B53">
              <w:rPr>
                <w:rFonts w:ascii="Times New Roman" w:hAnsi="Times New Roman"/>
                <w:i/>
                <w:sz w:val="28"/>
                <w:szCs w:val="28"/>
              </w:rPr>
              <w:t>одовой отчёт главного администратора (распорядителя) бюджетных сре</w:t>
            </w:r>
            <w:proofErr w:type="gramStart"/>
            <w:r w:rsidR="00243706" w:rsidRPr="000E0B53">
              <w:rPr>
                <w:rFonts w:ascii="Times New Roman" w:hAnsi="Times New Roman"/>
                <w:i/>
                <w:sz w:val="28"/>
                <w:szCs w:val="28"/>
              </w:rPr>
              <w:t>дств пр</w:t>
            </w:r>
            <w:proofErr w:type="gramEnd"/>
            <w:r w:rsidR="00243706" w:rsidRPr="000E0B53">
              <w:rPr>
                <w:rFonts w:ascii="Times New Roman" w:hAnsi="Times New Roman"/>
                <w:i/>
                <w:sz w:val="28"/>
                <w:szCs w:val="28"/>
              </w:rPr>
              <w:t>едставлен в ревизионную комиссию в не сброшюрованном и не  пронумерованном виде</w:t>
            </w:r>
            <w:r w:rsidR="00243706" w:rsidRPr="000E0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706" w:rsidRPr="00411DBF">
              <w:rPr>
                <w:rFonts w:ascii="Times New Roman" w:hAnsi="Times New Roman"/>
                <w:i/>
                <w:sz w:val="28"/>
                <w:szCs w:val="28"/>
              </w:rPr>
              <w:t>с оглавлением, подписанный  Главой поселения и директором и главным  бухгалтером КУ «Центр бюджетного учета и отчетности Междуреченского  муниципального района».</w:t>
            </w:r>
            <w:r w:rsidR="0024370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43706" w:rsidRDefault="00243706" w:rsidP="00243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2.</w:t>
            </w:r>
            <w:r w:rsidRPr="002E7B6E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2E7B6E">
              <w:rPr>
                <w:rFonts w:ascii="Times New Roman" w:hAnsi="Times New Roman"/>
                <w:bCs/>
                <w:i/>
                <w:sz w:val="28"/>
                <w:szCs w:val="28"/>
              </w:rPr>
              <w:t>Сведения (ф. 0503162) не составляются,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 xml:space="preserve">муниципальные задания казенным учреждениям  не устанавливаются, </w:t>
            </w:r>
            <w:r w:rsidRPr="002E7B6E">
              <w:rPr>
                <w:rFonts w:ascii="Times New Roman" w:hAnsi="Times New Roman"/>
                <w:bCs/>
                <w:i/>
                <w:sz w:val="28"/>
                <w:szCs w:val="28"/>
              </w:rPr>
              <w:t>при этом информация о результатах деятельности раскрывается в текстовой части раздела 2 Пояснительной записки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:rsidR="00243706" w:rsidRDefault="00243706" w:rsidP="0024370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3. </w:t>
            </w:r>
            <w:r w:rsidRPr="000E0B5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Результаты проведённых в отчётном периоде инвентаризаций имущества и обязательств не отражены в таблице № 6 «Сведения о проведении инвентаризаций».</w:t>
            </w:r>
          </w:p>
          <w:p w:rsidR="00243706" w:rsidRDefault="00243706" w:rsidP="0024370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4.</w:t>
            </w:r>
            <w:r w:rsidRPr="00DB0DA6">
              <w:rPr>
                <w:rFonts w:ascii="Times New Roman" w:hAnsi="Times New Roman"/>
                <w:i/>
                <w:sz w:val="28"/>
                <w:szCs w:val="28"/>
              </w:rPr>
              <w:t xml:space="preserve"> В форме 0503128 «Отчет о бюджетных обязательствах»  по графе 7 отражено 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B0DA6">
              <w:rPr>
                <w:rFonts w:ascii="Times New Roman" w:hAnsi="Times New Roman"/>
                <w:i/>
                <w:sz w:val="28"/>
                <w:szCs w:val="28"/>
              </w:rPr>
              <w:t>3967367,25 рублей, в графе 4 и 5 – 4604410,0 рублей.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Таким образом, бюджетных обязательств, принятых сверх бюджетных назначений, не имеется, раздел 3 заполнен с нарушениями п.170.2 Инструкции 191-н. Кроме того, в разделах 1 и 2 формы 0503175 не заполнены графы с 3 по 8, что также является нарушением п.170.2 Инструкции 191-н.</w:t>
            </w:r>
          </w:p>
          <w:p w:rsidR="00243706" w:rsidRPr="000E0B53" w:rsidRDefault="00243706" w:rsidP="00243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973CD" w:rsidRDefault="00C973CD" w:rsidP="00201E04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973CD" w:rsidRPr="0042366A" w:rsidRDefault="00C973CD" w:rsidP="00201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42366A" w:rsidTr="00243706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7C78A4" w:rsidRDefault="00C973CD" w:rsidP="0020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42366A" w:rsidRDefault="001A7E55" w:rsidP="001A7E55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73C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Default="001A7E55" w:rsidP="001A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73C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Default="001A7E55" w:rsidP="0020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 xml:space="preserve">суммовая оценка нарушений различных нормативных правовых </w:t>
            </w:r>
            <w:r w:rsidRPr="00423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</w:t>
            </w:r>
          </w:p>
        </w:tc>
      </w:tr>
    </w:tbl>
    <w:p w:rsidR="00C973CD" w:rsidRPr="0042366A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 xml:space="preserve">Общий объем  проверенных средств -   </w:t>
      </w:r>
      <w:r w:rsidR="001A7E55">
        <w:rPr>
          <w:rFonts w:ascii="Times New Roman" w:hAnsi="Times New Roman" w:cs="Times New Roman"/>
          <w:sz w:val="28"/>
          <w:szCs w:val="28"/>
        </w:rPr>
        <w:t>9088,4</w:t>
      </w:r>
      <w:r w:rsidRPr="0042366A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973CD" w:rsidRPr="0042366A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6A">
        <w:rPr>
          <w:rFonts w:ascii="Times New Roman" w:hAnsi="Times New Roman" w:cs="Times New Roman"/>
          <w:b/>
          <w:sz w:val="28"/>
          <w:szCs w:val="28"/>
        </w:rPr>
        <w:t xml:space="preserve">  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2366A">
        <w:rPr>
          <w:rFonts w:ascii="Times New Roman" w:hAnsi="Times New Roman" w:cs="Times New Roman"/>
          <w:b/>
          <w:sz w:val="28"/>
          <w:szCs w:val="28"/>
        </w:rPr>
        <w:t>:</w:t>
      </w:r>
    </w:p>
    <w:p w:rsidR="00C973CD" w:rsidRPr="001A7E55" w:rsidRDefault="00C973CD" w:rsidP="00C973CD">
      <w:pPr>
        <w:spacing w:after="0" w:line="240" w:lineRule="auto"/>
        <w:ind w:left="-567" w:firstLine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1.Направить Отчет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A7E55">
        <w:rPr>
          <w:rFonts w:ascii="Times New Roman" w:hAnsi="Times New Roman" w:cs="Times New Roman"/>
          <w:sz w:val="28"/>
          <w:szCs w:val="28"/>
        </w:rPr>
        <w:t xml:space="preserve"> теме </w:t>
      </w:r>
      <w:r w:rsidR="001A7E55" w:rsidRPr="001A7E55">
        <w:rPr>
          <w:rFonts w:ascii="Times New Roman" w:hAnsi="Times New Roman" w:cs="Times New Roman"/>
          <w:sz w:val="28"/>
          <w:szCs w:val="28"/>
        </w:rPr>
        <w:t>«</w:t>
      </w:r>
      <w:r w:rsidRPr="001A7E55">
        <w:rPr>
          <w:rFonts w:ascii="Times New Roman" w:hAnsi="Times New Roman" w:cs="Times New Roman"/>
          <w:sz w:val="28"/>
          <w:szCs w:val="28"/>
        </w:rPr>
        <w:t xml:space="preserve"> </w:t>
      </w:r>
      <w:r w:rsidR="001A7E55" w:rsidRPr="001A7E5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1A7E55" w:rsidRPr="001A7E55">
        <w:rPr>
          <w:rFonts w:ascii="Times New Roman" w:eastAsia="Times New Roman" w:hAnsi="Times New Roman"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1A7E55" w:rsidRPr="001A7E55">
        <w:rPr>
          <w:rFonts w:ascii="Times New Roman" w:eastAsia="Times New Roman" w:hAnsi="Times New Roman"/>
          <w:sz w:val="28"/>
          <w:szCs w:val="28"/>
          <w:lang w:eastAsia="ru-RU"/>
        </w:rPr>
        <w:t xml:space="preserve"> Ботановское за 2019 год»</w:t>
      </w:r>
    </w:p>
    <w:p w:rsidR="00C973CD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ab/>
        <w:t>-   Главе района;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 - в Грязовецкий межрайонный следственный отдел следственного управления СК РФ по Вологодской области;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 -  МО МВД России «Грязовецкий»;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 - в прокуратуру района.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ab/>
        <w:t>2.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A7E55"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42366A">
        <w:rPr>
          <w:rFonts w:ascii="Times New Roman" w:hAnsi="Times New Roman" w:cs="Times New Roman"/>
          <w:sz w:val="28"/>
          <w:szCs w:val="28"/>
        </w:rPr>
        <w:t xml:space="preserve"> направить представлени</w:t>
      </w:r>
      <w:r w:rsidR="001A7E55">
        <w:rPr>
          <w:rFonts w:ascii="Times New Roman" w:hAnsi="Times New Roman" w:cs="Times New Roman"/>
          <w:sz w:val="28"/>
          <w:szCs w:val="28"/>
        </w:rPr>
        <w:t xml:space="preserve">е </w:t>
      </w:r>
      <w:r w:rsidRPr="0042366A">
        <w:rPr>
          <w:rFonts w:ascii="Times New Roman" w:hAnsi="Times New Roman" w:cs="Times New Roman"/>
          <w:sz w:val="28"/>
          <w:szCs w:val="28"/>
        </w:rPr>
        <w:t>о рассмотрении и принятии мер по устранению выявленных нарушений и недостатков.</w:t>
      </w:r>
    </w:p>
    <w:p w:rsidR="00C973CD" w:rsidRPr="0042366A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73CD" w:rsidRPr="0042366A" w:rsidRDefault="00C973CD" w:rsidP="00C973C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73CD" w:rsidRPr="0042366A" w:rsidRDefault="00C973CD" w:rsidP="00C973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C973CD" w:rsidRPr="0042366A" w:rsidRDefault="00C973CD" w:rsidP="00C973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>Представительного Собрания района                                                О.А. Дудина</w:t>
      </w:r>
    </w:p>
    <w:p w:rsidR="00C973CD" w:rsidRPr="00EE7675" w:rsidRDefault="00C973CD" w:rsidP="00C973CD">
      <w:pPr>
        <w:pStyle w:val="10"/>
        <w:shd w:val="clear" w:color="auto" w:fill="auto"/>
        <w:tabs>
          <w:tab w:val="left" w:pos="1148"/>
        </w:tabs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3CD" w:rsidRPr="00A327F8" w:rsidRDefault="00C973CD" w:rsidP="00C973CD">
      <w:pPr>
        <w:rPr>
          <w:rFonts w:ascii="Times New Roman" w:hAnsi="Times New Roman" w:cs="Times New Roman"/>
        </w:rPr>
      </w:pPr>
    </w:p>
    <w:p w:rsidR="00293018" w:rsidRDefault="00293018" w:rsidP="00C973CD">
      <w:pPr>
        <w:spacing w:after="0" w:line="240" w:lineRule="auto"/>
        <w:ind w:left="-567" w:firstLine="141"/>
        <w:jc w:val="center"/>
      </w:pPr>
    </w:p>
    <w:sectPr w:rsidR="0029301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9B" w:rsidRDefault="00CF6C9B" w:rsidP="00814D2B">
      <w:pPr>
        <w:spacing w:after="0" w:line="240" w:lineRule="auto"/>
      </w:pPr>
      <w:r>
        <w:separator/>
      </w:r>
    </w:p>
  </w:endnote>
  <w:endnote w:type="continuationSeparator" w:id="0">
    <w:p w:rsidR="00CF6C9B" w:rsidRDefault="00CF6C9B" w:rsidP="0081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606284"/>
      <w:docPartObj>
        <w:docPartGallery w:val="Page Numbers (Bottom of Page)"/>
        <w:docPartUnique/>
      </w:docPartObj>
    </w:sdtPr>
    <w:sdtEndPr/>
    <w:sdtContent>
      <w:p w:rsidR="00814D2B" w:rsidRDefault="00814D2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16">
          <w:rPr>
            <w:noProof/>
          </w:rPr>
          <w:t>3</w:t>
        </w:r>
        <w:r>
          <w:fldChar w:fldCharType="end"/>
        </w:r>
      </w:p>
    </w:sdtContent>
  </w:sdt>
  <w:p w:rsidR="00814D2B" w:rsidRDefault="00814D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9B" w:rsidRDefault="00CF6C9B" w:rsidP="00814D2B">
      <w:pPr>
        <w:spacing w:after="0" w:line="240" w:lineRule="auto"/>
      </w:pPr>
      <w:r>
        <w:separator/>
      </w:r>
    </w:p>
  </w:footnote>
  <w:footnote w:type="continuationSeparator" w:id="0">
    <w:p w:rsidR="00CF6C9B" w:rsidRDefault="00CF6C9B" w:rsidP="00814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B"/>
    <w:rsid w:val="000E34FE"/>
    <w:rsid w:val="001A7E55"/>
    <w:rsid w:val="00243706"/>
    <w:rsid w:val="00293018"/>
    <w:rsid w:val="002A2906"/>
    <w:rsid w:val="003810FB"/>
    <w:rsid w:val="00660C16"/>
    <w:rsid w:val="006A17E8"/>
    <w:rsid w:val="00783F6F"/>
    <w:rsid w:val="00814D2B"/>
    <w:rsid w:val="00C92D69"/>
    <w:rsid w:val="00C973CD"/>
    <w:rsid w:val="00CF6C9B"/>
    <w:rsid w:val="00E0339B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3C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link w:val="10"/>
    <w:locked/>
    <w:rsid w:val="00C973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73CD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81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4D2B"/>
  </w:style>
  <w:style w:type="paragraph" w:styleId="ab">
    <w:name w:val="footer"/>
    <w:basedOn w:val="a"/>
    <w:link w:val="ac"/>
    <w:uiPriority w:val="99"/>
    <w:unhideWhenUsed/>
    <w:rsid w:val="0081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4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3C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link w:val="10"/>
    <w:locked/>
    <w:rsid w:val="00C973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73CD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81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4D2B"/>
  </w:style>
  <w:style w:type="paragraph" w:styleId="ab">
    <w:name w:val="footer"/>
    <w:basedOn w:val="a"/>
    <w:link w:val="ac"/>
    <w:uiPriority w:val="99"/>
    <w:unhideWhenUsed/>
    <w:rsid w:val="0081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7BBE90C0718F51B9B18E2DD81EFD3231667E03E6B6BBACF616E61F434866255BAA030F913343r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933C0E60C720476B8A3B1395102E16A6F9C99041EBA3D7CB8A1C819E941ECBF53A6C32A1D56B7CZ61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2432EA97A86EBFC7CE80D2C8954E929FC3D3E4F05D3D2B66F1A5A3C1999F3693EA462D899FED5A1157D1925CBCD2195F5F4AD04A6A48DD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2020-04-21T12:10:00Z</dcterms:created>
  <dcterms:modified xsi:type="dcterms:W3CDTF">2020-04-21T12:10:00Z</dcterms:modified>
</cp:coreProperties>
</file>