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D7BD5CB" wp14:editId="22C5B04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C64F5" w:rsidRPr="00896CDA" w:rsidRDefault="008C64F5" w:rsidP="008C64F5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00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C64F5" w:rsidRPr="00896CDA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64F5" w:rsidRPr="00896CDA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C64F5" w:rsidRPr="00B07ADE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D42AF3">
        <w:rPr>
          <w:rFonts w:ascii="Times New Roman" w:hAnsi="Times New Roman" w:cs="Times New Roman"/>
          <w:sz w:val="28"/>
          <w:szCs w:val="28"/>
        </w:rPr>
        <w:t xml:space="preserve">изменений и дополнений в решение о бюджете района </w:t>
      </w:r>
      <w:r w:rsidRPr="00D42AF3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D42AF3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  безвозмездных поступлений в бюджет района, а также корректировкой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«Общегосударственные вопросы», </w:t>
      </w:r>
      <w:r w:rsidR="002D2250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хозяйство», «Образование», «Культура, кинематография», </w:t>
      </w:r>
      <w:r w:rsidR="002D2250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«Физическая культура и спорт» </w:t>
      </w:r>
      <w:r w:rsidR="002D2250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«Межбюджетные трансферты общего характера бюджетам субъектов РФ и муниципальных образований»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вносятся в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третий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8C64F5" w:rsidRDefault="008C64F5" w:rsidP="00B07AD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42AF3"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15979,1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280236,7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17939,6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</w:t>
      </w:r>
      <w:r w:rsidR="005957E9">
        <w:rPr>
          <w:rFonts w:ascii="Times New Roman" w:eastAsia="Times New Roman" w:hAnsi="Times New Roman" w:cs="Times New Roman"/>
          <w:sz w:val="28"/>
          <w:szCs w:val="28"/>
          <w:lang w:eastAsia="ru-RU"/>
        </w:rPr>
        <w:t>293632,7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F5" w:rsidRDefault="008C64F5" w:rsidP="008C64F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957E9">
        <w:rPr>
          <w:rFonts w:ascii="Times New Roman" w:hAnsi="Times New Roman" w:cs="Times New Roman"/>
          <w:sz w:val="28"/>
          <w:szCs w:val="28"/>
        </w:rPr>
        <w:t>13396,0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957E9">
        <w:rPr>
          <w:rFonts w:ascii="Times New Roman" w:hAnsi="Times New Roman" w:cs="Times New Roman"/>
          <w:sz w:val="28"/>
          <w:szCs w:val="28"/>
        </w:rPr>
        <w:t>62,2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 xml:space="preserve">процента с учетом остатка средств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бюджета района на 01.01.201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</w:t>
      </w:r>
      <w:r w:rsidRPr="00B07ADE">
        <w:rPr>
          <w:rFonts w:ascii="Times New Roman" w:hAnsi="Times New Roman" w:cs="Times New Roman"/>
          <w:sz w:val="28"/>
          <w:szCs w:val="28"/>
        </w:rPr>
        <w:t xml:space="preserve">безвозмездных поступлений и поступлений налоговых и неналоговых доходов по дополнительным нормативам отчислений, что в абсолютном выражении выше ранее  утвержденного показателя на </w:t>
      </w:r>
      <w:r w:rsidR="005957E9">
        <w:rPr>
          <w:rFonts w:ascii="Times New Roman" w:hAnsi="Times New Roman" w:cs="Times New Roman"/>
          <w:sz w:val="28"/>
          <w:szCs w:val="28"/>
        </w:rPr>
        <w:t>1960,5</w:t>
      </w:r>
      <w:r w:rsidRPr="00B07AD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C64F5" w:rsidRPr="00E75989" w:rsidRDefault="008C64F5" w:rsidP="008C64F5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07ADE" w:rsidRPr="00E75989" w:rsidRDefault="00B07ADE" w:rsidP="008C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DE" w:rsidRPr="006226C8" w:rsidRDefault="00B07ADE" w:rsidP="00B07AD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1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134"/>
        <w:gridCol w:w="1418"/>
        <w:gridCol w:w="1800"/>
        <w:gridCol w:w="1460"/>
        <w:gridCol w:w="1276"/>
        <w:gridCol w:w="992"/>
      </w:tblGrid>
      <w:tr w:rsidR="0087034C" w:rsidRPr="006226C8" w:rsidTr="0087034C">
        <w:trPr>
          <w:trHeight w:val="810"/>
        </w:trPr>
        <w:tc>
          <w:tcPr>
            <w:tcW w:w="1282" w:type="dxa"/>
            <w:vMerge w:val="restart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феврале 2019 года</w:t>
            </w:r>
          </w:p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87034C" w:rsidRPr="006226C8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87034C" w:rsidRPr="006226C8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87034C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87034C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апреле </w:t>
            </w:r>
          </w:p>
          <w:p w:rsidR="0087034C" w:rsidRPr="006226C8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  <w:p w:rsidR="0087034C" w:rsidRPr="006226C8" w:rsidRDefault="0087034C" w:rsidP="00B0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 w:val="restart"/>
          </w:tcPr>
          <w:p w:rsidR="0087034C" w:rsidRPr="006226C8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87034C" w:rsidRPr="006226C8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87034C" w:rsidRPr="006226C8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87034C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87034C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июне  2019</w:t>
            </w:r>
          </w:p>
          <w:p w:rsidR="0087034C" w:rsidRPr="006226C8" w:rsidRDefault="0087034C" w:rsidP="0087034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7034C" w:rsidRDefault="0087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4C" w:rsidRDefault="0087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4C" w:rsidRDefault="0087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4C" w:rsidRDefault="0087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034C" w:rsidRPr="006226C8" w:rsidRDefault="0087034C" w:rsidP="008703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87034C" w:rsidRPr="006226C8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87034C" w:rsidRPr="006226C8" w:rsidTr="0087034C">
        <w:trPr>
          <w:trHeight w:val="925"/>
        </w:trPr>
        <w:tc>
          <w:tcPr>
            <w:tcW w:w="1282" w:type="dxa"/>
            <w:vMerge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87034C" w:rsidRPr="006226C8" w:rsidRDefault="0087034C" w:rsidP="003E786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87034C" w:rsidRPr="006226C8" w:rsidRDefault="0087034C" w:rsidP="003E786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87034C" w:rsidRPr="006226C8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bottom w:val="nil"/>
            </w:tcBorders>
          </w:tcPr>
          <w:p w:rsidR="0087034C" w:rsidRPr="006226C8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7034C" w:rsidRPr="006226C8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87034C" w:rsidRPr="006226C8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7034C" w:rsidRPr="006226C8" w:rsidRDefault="0087034C" w:rsidP="003E786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87034C" w:rsidRPr="006226C8" w:rsidTr="0087034C">
        <w:trPr>
          <w:trHeight w:val="463"/>
        </w:trPr>
        <w:tc>
          <w:tcPr>
            <w:tcW w:w="1282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260767,4</w:t>
            </w:r>
          </w:p>
        </w:tc>
        <w:tc>
          <w:tcPr>
            <w:tcW w:w="1418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259153,4</w:t>
            </w:r>
          </w:p>
        </w:tc>
        <w:tc>
          <w:tcPr>
            <w:tcW w:w="1800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264257,6</w:t>
            </w:r>
          </w:p>
        </w:tc>
        <w:tc>
          <w:tcPr>
            <w:tcW w:w="1460" w:type="dxa"/>
          </w:tcPr>
          <w:p w:rsidR="0087034C" w:rsidRPr="006226C8" w:rsidRDefault="0087034C" w:rsidP="00870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280236,7</w:t>
            </w:r>
          </w:p>
        </w:tc>
        <w:tc>
          <w:tcPr>
            <w:tcW w:w="1276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19469,3</w:t>
            </w:r>
          </w:p>
        </w:tc>
        <w:tc>
          <w:tcPr>
            <w:tcW w:w="992" w:type="dxa"/>
          </w:tcPr>
          <w:p w:rsidR="0087034C" w:rsidRPr="006226C8" w:rsidRDefault="00164C3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15979,1</w:t>
            </w:r>
          </w:p>
        </w:tc>
      </w:tr>
      <w:tr w:rsidR="0087034C" w:rsidRPr="006226C8" w:rsidTr="0087034C">
        <w:trPr>
          <w:trHeight w:val="495"/>
        </w:trPr>
        <w:tc>
          <w:tcPr>
            <w:tcW w:w="1282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265189,3</w:t>
            </w:r>
          </w:p>
        </w:tc>
        <w:tc>
          <w:tcPr>
            <w:tcW w:w="1418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266485,4</w:t>
            </w:r>
          </w:p>
        </w:tc>
        <w:tc>
          <w:tcPr>
            <w:tcW w:w="1800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460" w:type="dxa"/>
          </w:tcPr>
          <w:p w:rsidR="0087034C" w:rsidRPr="006226C8" w:rsidRDefault="0087034C" w:rsidP="00870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293632,7</w:t>
            </w:r>
          </w:p>
        </w:tc>
        <w:tc>
          <w:tcPr>
            <w:tcW w:w="1276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28443,4</w:t>
            </w:r>
          </w:p>
        </w:tc>
        <w:tc>
          <w:tcPr>
            <w:tcW w:w="992" w:type="dxa"/>
          </w:tcPr>
          <w:p w:rsidR="0087034C" w:rsidRPr="006226C8" w:rsidRDefault="00164C3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17939,6</w:t>
            </w:r>
          </w:p>
        </w:tc>
      </w:tr>
      <w:tr w:rsidR="0087034C" w:rsidRPr="006226C8" w:rsidTr="0087034C">
        <w:trPr>
          <w:trHeight w:val="495"/>
        </w:trPr>
        <w:tc>
          <w:tcPr>
            <w:tcW w:w="1282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1134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-4421,9</w:t>
            </w:r>
          </w:p>
        </w:tc>
        <w:tc>
          <w:tcPr>
            <w:tcW w:w="1418" w:type="dxa"/>
          </w:tcPr>
          <w:p w:rsidR="0087034C" w:rsidRPr="00E55DA0" w:rsidRDefault="0087034C" w:rsidP="003E786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-7332,0</w:t>
            </w:r>
          </w:p>
        </w:tc>
        <w:tc>
          <w:tcPr>
            <w:tcW w:w="1800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1460" w:type="dxa"/>
          </w:tcPr>
          <w:p w:rsidR="0087034C" w:rsidRPr="006226C8" w:rsidRDefault="0087034C" w:rsidP="008703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-13396,0</w:t>
            </w:r>
          </w:p>
        </w:tc>
        <w:tc>
          <w:tcPr>
            <w:tcW w:w="1276" w:type="dxa"/>
          </w:tcPr>
          <w:p w:rsidR="0087034C" w:rsidRPr="006226C8" w:rsidRDefault="0087034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-8974,1</w:t>
            </w:r>
          </w:p>
        </w:tc>
        <w:tc>
          <w:tcPr>
            <w:tcW w:w="992" w:type="dxa"/>
          </w:tcPr>
          <w:p w:rsidR="0087034C" w:rsidRPr="006226C8" w:rsidRDefault="00164C3C" w:rsidP="003E78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-1960,5</w:t>
            </w:r>
          </w:p>
        </w:tc>
      </w:tr>
    </w:tbl>
    <w:p w:rsidR="008C64F5" w:rsidRPr="00E75989" w:rsidRDefault="008C64F5" w:rsidP="008C64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FCF" w:rsidRPr="00B63989" w:rsidRDefault="00634FCF" w:rsidP="00634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634FCF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280236,7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19469,3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15979,1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293632,7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28443,4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17939,6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 бюджета в сумме 1</w:t>
      </w:r>
      <w:r w:rsidR="00164C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3396,0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ыс. рублей, или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 w:rsidR="003E2E2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FCF" w:rsidRPr="00896CDA" w:rsidRDefault="00634FCF" w:rsidP="00634FC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64F5" w:rsidRDefault="008C64F5" w:rsidP="008C64F5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8C64F5" w:rsidRPr="00896CDA" w:rsidRDefault="008C64F5" w:rsidP="008C64F5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20585C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8C64F5" w:rsidRPr="0020585C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C64F5" w:rsidRPr="00707987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4F5" w:rsidRDefault="008C64F5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FCF" w:rsidRPr="00707987" w:rsidRDefault="00634FCF" w:rsidP="008C64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8C64F5" w:rsidRDefault="008C64F5" w:rsidP="008C64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C64F5" w:rsidRPr="00F55A27" w:rsidRDefault="008C64F5" w:rsidP="008C64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15979,1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214115,7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бюджета района увеличится с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75,0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Основанием для внесения изменений в доходную часть бюджета района в части субсидий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субвенций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 является Закон Вологодской области «Об областном бюджете на 201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уведомления о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изменении </w:t>
      </w:r>
      <w:r w:rsidR="0016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</w:t>
      </w:r>
      <w:r w:rsid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C3C" w:rsidRPr="00FC19EF" w:rsidRDefault="00164C3C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бюджетам районов на поддержку мер по обеспечению сбалансированности бюджетов на сумму 2147,3 тыс. рублей.</w:t>
      </w: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к увеличению по субсидиям </w:t>
      </w:r>
      <w:r w:rsidR="00DB2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3358C">
        <w:rPr>
          <w:rFonts w:ascii="Times New Roman" w:eastAsia="Times New Roman" w:hAnsi="Times New Roman" w:cs="Times New Roman"/>
          <w:sz w:val="28"/>
          <w:szCs w:val="28"/>
          <w:lang w:eastAsia="ru-RU"/>
        </w:rPr>
        <w:t>11517,7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B24FE" w:rsidRPr="00DB24FE" w:rsidRDefault="00DB24FE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B24F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субсидии</w:t>
      </w:r>
    </w:p>
    <w:p w:rsidR="00634FCF" w:rsidRPr="00FC19E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5BD8" w:rsidRPr="00D85B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</w:t>
      </w:r>
      <w:r w:rsidR="00F57D5C" w:rsidRPr="00F5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транспорта для развития мобильной торговли  в малонаселенных и труднодоступных населенных пунктах в  сумме 1000,0 тыс. рублей;</w:t>
      </w:r>
    </w:p>
    <w:p w:rsidR="00634FCF" w:rsidRDefault="00634FCF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выравнивание</w:t>
      </w:r>
      <w:r w:rsidR="00DB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обеспеченности по реализации расходных обязательств в части обеспечения выплаты заработной платы в сумме 236,8 тыс. рублей;</w:t>
      </w:r>
    </w:p>
    <w:p w:rsidR="00DB24FE" w:rsidRDefault="00DB24FE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переселение граждан из аварийного жилищного фонда с учетом развития малоэтажного жилищного строительства в сумме 12112,4 тыс. рублей (11627,9 тыс. рублей – Фонд реформирования ЖКХ, 484,5 тыс. руб. – областной бюджет);</w:t>
      </w:r>
    </w:p>
    <w:p w:rsidR="007D0E52" w:rsidRPr="007D0E52" w:rsidRDefault="003F4FD4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  субсиди</w:t>
      </w:r>
      <w:r w:rsidR="0002131A"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</w:t>
      </w:r>
      <w:r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:rsidR="007D0E52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F4FD4" w:rsidRPr="00B82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улучшение жилищных условий граждан, проживающих в сельской местности по программе «Устойчивое развитие сельских территорий в сумме 938,9 тыс. рублей;</w:t>
      </w:r>
    </w:p>
    <w:p w:rsidR="007D0E52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строительство, реконструкцию объектов социальной и коммунальной инфраструктур муниципальной собственности на 622,4 тыс. рублей; </w:t>
      </w:r>
    </w:p>
    <w:p w:rsidR="009C5810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предоставление социальных выплат молодым семьям – участникам основного мероприятия «Обеспечение жильем молодых семей» на 270,2 тыс. рублей.</w:t>
      </w:r>
    </w:p>
    <w:p w:rsidR="007D0E52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субвенциям в целом наблюдается </w:t>
      </w:r>
      <w:r w:rsidRPr="007D0E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1974,1 тыс. рублей, в том числе:</w:t>
      </w:r>
    </w:p>
    <w:p w:rsidR="007D0E52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7D0E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субвенции</w:t>
      </w:r>
    </w:p>
    <w:p w:rsidR="007D0E52" w:rsidRDefault="007D0E5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начального общего, основного общего, среднего общего образования</w:t>
      </w:r>
      <w:r w:rsidR="007C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организациях на 648,6 тыс. рублей;</w:t>
      </w:r>
    </w:p>
    <w:p w:rsidR="007C5602" w:rsidRDefault="007C5602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r w:rsidR="00A307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 государственных полномочий  по организации деятельности МФЦ в сумме 61,7 тыс. рублей;</w:t>
      </w:r>
    </w:p>
    <w:p w:rsidR="00A30786" w:rsidRDefault="00A30786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субвенция бюджетам муниципальных районов в сумме 560,1 тыс. рублей;</w:t>
      </w:r>
    </w:p>
    <w:p w:rsidR="00A30786" w:rsidRDefault="00A30786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отдельных государственных полномочий по предоставлению единовременной  денежной выплаты взамен предоставления земельного участка многодетным семьям в сумме 1133,8 тыс. рублей;</w:t>
      </w:r>
    </w:p>
    <w:p w:rsidR="00A30786" w:rsidRPr="00A30786" w:rsidRDefault="00A30786" w:rsidP="003F4F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3078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 субвенции</w:t>
      </w:r>
    </w:p>
    <w:p w:rsidR="00A30786" w:rsidRDefault="00A30786" w:rsidP="00A30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отдельных государственных полномочий в сфере административных отношений на 235,0 тыс. рублей;</w:t>
      </w:r>
    </w:p>
    <w:p w:rsidR="00A30786" w:rsidRDefault="00A30786" w:rsidP="00A30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отдельных государственных полномочий в сфере охраны окружающей среды на 31,1 тыс. рублей;</w:t>
      </w:r>
    </w:p>
    <w:p w:rsidR="00A30786" w:rsidRDefault="00A30786" w:rsidP="00A30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отдельных государственных полномочий в сфере регулирование цен и тарифов на 20,0 тыс. рублей;</w:t>
      </w:r>
    </w:p>
    <w:p w:rsidR="00A30786" w:rsidRPr="007D0E52" w:rsidRDefault="00A30786" w:rsidP="00A307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осуществление отдельных государственных полномочий  по организации и осуществлению деятельности по опеке и попечительству на 144,0 тыс. </w:t>
      </w:r>
      <w:r w:rsidR="002B00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и 2021 году субвенции на осуществление отдельных государственных полномочий по вышеуказанным полномочиям заменяются единой субвенцией бюджетам муниципальных районов в сумме 1049,0 тыс. рублей.</w:t>
      </w:r>
    </w:p>
    <w:p w:rsidR="00634FCF" w:rsidRDefault="003F4FD4" w:rsidP="00634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</w:t>
      </w:r>
      <w:r w:rsidR="002B0071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иваются </w:t>
      </w:r>
      <w:r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ины</w:t>
      </w:r>
      <w:r w:rsidR="002B0071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="00634FCF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межбюджетны</w:t>
      </w:r>
      <w:r w:rsidR="002B0071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="00634FCF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трансферт</w:t>
      </w:r>
      <w:r w:rsidR="002B0071"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ы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</w:t>
      </w:r>
      <w:r w:rsidR="002B00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B0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2B0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4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«Реализация мероприятий, направленных на развитие муниципальных учреждений культуры и образования в сфере культуры и искусства» государственной программы «Сохранение и развитие культурного потенциала, развитие туристического кластера и архивного дела в  Вологодской области на 2015-2020 годы» в сумме  340,0 тыс. рублей н комплектование книжных фондов муниципальных библиотек.</w:t>
      </w:r>
    </w:p>
    <w:p w:rsidR="008C64F5" w:rsidRDefault="008C64F5" w:rsidP="00CD1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E4A" w:rsidRPr="00896CDA" w:rsidRDefault="00272E4A" w:rsidP="00CD11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7A555B">
        <w:rPr>
          <w:rFonts w:ascii="Times New Roman" w:eastAsia="Times New Roman" w:hAnsi="Times New Roman" w:cs="Times New Roman"/>
          <w:sz w:val="28"/>
          <w:szCs w:val="28"/>
          <w:lang w:eastAsia="ru-RU"/>
        </w:rPr>
        <w:t>293632,7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7A555B">
        <w:rPr>
          <w:rFonts w:ascii="Times New Roman" w:hAnsi="Times New Roman" w:cs="Times New Roman"/>
          <w:sz w:val="28"/>
          <w:szCs w:val="28"/>
        </w:rPr>
        <w:t>17939,6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A555B">
        <w:rPr>
          <w:rFonts w:ascii="Times New Roman" w:hAnsi="Times New Roman" w:cs="Times New Roman"/>
          <w:sz w:val="28"/>
          <w:szCs w:val="28"/>
        </w:rPr>
        <w:t>6,5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434,5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процент;</w:t>
      </w:r>
    </w:p>
    <w:p w:rsidR="00FF3E96" w:rsidRDefault="00FF3E96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экономика» на 1020,0 тыс. рублей, или на </w:t>
      </w:r>
      <w:r w:rsidR="002E3B37">
        <w:rPr>
          <w:rFonts w:ascii="Times New Roman" w:eastAsia="Times New Roman" w:hAnsi="Times New Roman" w:cs="Times New Roman"/>
          <w:sz w:val="28"/>
          <w:szCs w:val="28"/>
          <w:lang w:eastAsia="ru-RU"/>
        </w:rPr>
        <w:t>4,0 процента;</w:t>
      </w:r>
    </w:p>
    <w:p w:rsidR="005C0021" w:rsidRDefault="005C0021" w:rsidP="005C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13215,2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2,5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0021" w:rsidRDefault="005C0021" w:rsidP="005C0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743,1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1596,3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FF3E96" w:rsidRDefault="00FF3E96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 Физическая культура и спорт» на 453,0 тыс. рублей, или на 12,3 процента;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612,2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4F5" w:rsidRDefault="008C64F5" w:rsidP="00242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у -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134,7</w:t>
      </w:r>
      <w:r w:rsidR="005C0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24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на </w:t>
      </w:r>
      <w:r w:rsidR="00FF3E96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24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E3B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242644" w:rsidRPr="00896CDA" w:rsidRDefault="00242644" w:rsidP="008C6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896CDA" w:rsidRDefault="008C64F5" w:rsidP="008C64F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3E7863" w:rsidRPr="00896CDA" w:rsidRDefault="003E7863" w:rsidP="003E7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E7863" w:rsidRPr="003232E1" w:rsidRDefault="003E7863" w:rsidP="003E7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276"/>
        <w:gridCol w:w="1276"/>
        <w:gridCol w:w="1134"/>
        <w:gridCol w:w="992"/>
        <w:gridCol w:w="1134"/>
      </w:tblGrid>
      <w:tr w:rsidR="002E3B37" w:rsidRPr="003232E1" w:rsidTr="002E3B37">
        <w:trPr>
          <w:trHeight w:val="109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 утвержденный бюджет на</w:t>
            </w:r>
          </w:p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  </w:t>
            </w:r>
          </w:p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2019 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2E3B37" w:rsidRPr="00D660FB" w:rsidRDefault="002E3B37" w:rsidP="00DA49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апреле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37" w:rsidRPr="00D660FB" w:rsidRDefault="002E3B37" w:rsidP="002E3B3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  </w:t>
            </w:r>
          </w:p>
          <w:p w:rsidR="002E3B37" w:rsidRPr="00D660FB" w:rsidRDefault="002E3B37" w:rsidP="002E3B3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июне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 от</w:t>
            </w:r>
          </w:p>
        </w:tc>
      </w:tr>
      <w:tr w:rsidR="002E3B37" w:rsidRPr="003232E1" w:rsidTr="002E3B37">
        <w:trPr>
          <w:trHeight w:val="14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2E3B37" w:rsidRPr="003232E1" w:rsidTr="002E3B37">
        <w:trPr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40873,6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42090,7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434,5</w:t>
            </w:r>
          </w:p>
        </w:tc>
      </w:tr>
      <w:tr w:rsidR="002E3B37" w:rsidRPr="003232E1" w:rsidTr="002E3B37">
        <w:trPr>
          <w:trHeight w:val="7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1020,0</w:t>
            </w:r>
          </w:p>
        </w:tc>
      </w:tr>
      <w:tr w:rsidR="002E3B37" w:rsidRPr="003232E1" w:rsidTr="002E3B37">
        <w:trPr>
          <w:trHeight w:val="5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15627,1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13215,2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117620,0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116260,1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116543,5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117286,6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4568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743,1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764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="00764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50265,6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51861,9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FD574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1596,3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FB5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-134,7</w:t>
            </w:r>
          </w:p>
        </w:tc>
      </w:tr>
      <w:tr w:rsidR="002E3B37" w:rsidRPr="003232E1" w:rsidTr="002E3B37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453,0</w:t>
            </w:r>
          </w:p>
        </w:tc>
      </w:tr>
      <w:tr w:rsidR="002E3B37" w:rsidRPr="003232E1" w:rsidTr="002E3B37">
        <w:trPr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B37" w:rsidRPr="003232E1" w:rsidTr="002E3B37">
        <w:trPr>
          <w:trHeight w:val="10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14095,1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14095,1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5D622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15483,5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16095,7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612,2</w:t>
            </w:r>
          </w:p>
        </w:tc>
      </w:tr>
      <w:tr w:rsidR="002E3B37" w:rsidRPr="003232E1" w:rsidTr="002E3B37">
        <w:trPr>
          <w:trHeight w:val="4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37" w:rsidRPr="00D660FB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265189,3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3E78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2E3B37" w:rsidP="00CD11A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74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FD5743" w:rsidRDefault="0076451C" w:rsidP="002E3B3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293632,7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76451C" w:rsidRDefault="0076451C" w:rsidP="00CD1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6451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37" w:rsidRPr="0076451C" w:rsidRDefault="00FB5625" w:rsidP="003E786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17939,6</w:t>
            </w:r>
          </w:p>
        </w:tc>
      </w:tr>
    </w:tbl>
    <w:p w:rsidR="008C64F5" w:rsidRPr="003302B1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="00252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2058">
        <w:rPr>
          <w:rFonts w:ascii="Times New Roman" w:eastAsia="Times New Roman" w:hAnsi="Times New Roman" w:cs="Times New Roman"/>
          <w:sz w:val="28"/>
          <w:szCs w:val="28"/>
          <w:lang w:eastAsia="ru-RU"/>
        </w:rPr>
        <w:t>434,5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2149C" w:rsidRDefault="00F2149C" w:rsidP="00F21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подразделу</w:t>
      </w:r>
      <w:r w:rsidRPr="00F21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312,8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F2149C" w:rsidRDefault="00F2149C" w:rsidP="00F214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аттестационным испытаниям автоматизированной системы и выделенного помещения в административном здании по ул. Сухонская Набережная -182,8 тыс. рублей (основание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 от 11.06.2019 года б/н, три коммерческих предложения);</w:t>
      </w:r>
    </w:p>
    <w:p w:rsidR="00252058" w:rsidRPr="003302B1" w:rsidRDefault="00024360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государственных полномочий  по опеке и попечительству (приобретение компьютерной техники) -130,0 тыс. рублей за счет субвенции из областного бюджета;</w:t>
      </w:r>
    </w:p>
    <w:p w:rsidR="00E265B8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>121,7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64F5" w:rsidRDefault="00E265B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субвенции на осуществление государственных полномочий по организации деятельности многофункциональных центров</w:t>
      </w:r>
      <w:r w:rsid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61,7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5B8" w:rsidRDefault="00456834" w:rsidP="0045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4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дотации на сбалансированность бюджетов дополнительно выделяется 60,0 тыс. рублей на проведение мероприятий общественной организации ветеранов.</w:t>
      </w:r>
    </w:p>
    <w:p w:rsidR="00456834" w:rsidRPr="00D9121F" w:rsidRDefault="00D9121F" w:rsidP="00456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Кроме того,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уточняется классификация на выполнение отдельных государственных полномочий в сфере административных отношений, охраны окружающей среды, регулирования цен и тарифов и по опеке и попечительству, так как финансирование будет осуществляться за счет единой субвенции в 2019-2021 годах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постановление Правительства Вологодской области от 11.03.2019 года №231 « Об утверждении перечня субвенций, формирующих единую субвенцию», Закон Вологодской области «Об областном бюджете на 2019 год и плановый период 2020 и 2021 годов»).</w:t>
      </w:r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EC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C3326" w:rsidRP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>1020,0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16D50" w:rsidRDefault="00216D50" w:rsidP="00216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>1020,0</w:t>
      </w:r>
      <w:r w:rsidR="00044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(1000,0 тыс. рублей – субсидия из областного бюджета, 20,0 тыс. рублей –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субсидии из бюджета района) </w:t>
      </w:r>
      <w:r w:rsid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специализированной автомашины для осуществления разъездной торговли в труднодоступные и малонаселенные пункты.</w:t>
      </w:r>
    </w:p>
    <w:p w:rsidR="008C64F5" w:rsidRPr="009942F4" w:rsidRDefault="00216D50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="00686A6A" w:rsidRPr="00686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</w:t>
      </w:r>
      <w:r w:rsidR="00686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86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перераспределение  лимитов бюджетных обязательств </w:t>
      </w:r>
      <w:r w:rsid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«Содержание муниципальных дорог» на мероприятие «Безопасность дорожного движения» в сумме 82,6 тыс. рублей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строительства и КХ от 14.06</w:t>
      </w:r>
      <w:r w:rsidR="00686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№1729, локальный сметный расчет);</w:t>
      </w:r>
    </w:p>
    <w:p w:rsidR="00725035" w:rsidRDefault="00630938" w:rsidP="00725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725035">
        <w:rPr>
          <w:rFonts w:ascii="Times New Roman" w:eastAsia="Times New Roman" w:hAnsi="Times New Roman" w:cs="Times New Roman"/>
          <w:sz w:val="28"/>
          <w:szCs w:val="28"/>
          <w:lang w:eastAsia="ru-RU"/>
        </w:rPr>
        <w:t>13215,2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25035" w:rsidRPr="00725035" w:rsidRDefault="00725035" w:rsidP="00725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Жилищное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12112,4 тыс. рублей на реализацию муниципальной программы «Переселение граждан из аварийного жилищного фонда» и реализации регионального проекта «Обеспечение устойчивого сокращения непригодного для проживания жилищного фонда». За счет средств Фонда содействия реформированию ЖКХ выделяются средства в сумме 11627,9 тыс. рублей,  за счет средств областного бюджета – 484,5 тыс. рублей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F80" w:rsidRDefault="00630938" w:rsidP="00673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бюджетны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1102,7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43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743F80" w:rsidRDefault="00743F80" w:rsidP="00673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ремонт школьной котельной в поселке Туровец направляется 1002,7 тыс. рублей (основание 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отдела строительства и КХ от 14.06.2019 года №1723, локальный сметный расчет)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7CED" w:rsidRDefault="00EE7CED" w:rsidP="00673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строительного контроля по строящемуся объекту «Распределительный газопровод д. Новая Междуреченского района Вологодской области» в сумме 100,0 тыс. рублей (основание – ходатайство отдела строительства и КХ от 10.06.2019 года №1685, расчет стоимости работ по техническому надзору);</w:t>
      </w:r>
    </w:p>
    <w:p w:rsidR="008203BE" w:rsidRPr="008203BE" w:rsidRDefault="00630938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по подразделу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3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8203B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округления.</w:t>
      </w:r>
    </w:p>
    <w:p w:rsidR="00630938" w:rsidRPr="00F03BAC" w:rsidRDefault="00630938" w:rsidP="00630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E7CED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 w:rsidR="00EE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CED" w:rsidRP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EE7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CED" w:rsidRP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743,1 тыс. рублей</w:t>
      </w:r>
      <w:r w:rsidRP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7CED" w:rsidRP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EE7CED" w:rsidRPr="00EE7CED" w:rsidRDefault="00EE7CED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BB4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Дошкольное образование</w:t>
      </w:r>
      <w:r w:rsidRPr="00BB4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E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обязательств </w:t>
      </w:r>
      <w:r w:rsidR="00F033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648,6 тыс. рублей за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</w:t>
      </w:r>
      <w:r w:rsidR="00F0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из областного бюджета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выплату заработной платы отдельным категориям граждан, не вошедших в Указы Президента РФ;</w:t>
      </w:r>
    </w:p>
    <w:p w:rsidR="00BB4D45" w:rsidRPr="00BB4D4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0702 «Общее образование»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лимиты бюджетных 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на 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94,5 тыс. рублей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B4D45" w:rsidRPr="00CD11A1" w:rsidRDefault="008C64F5" w:rsidP="00CD11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4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B4D45" w:rsidRPr="00BB4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="005D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622E" w:rsidRP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716,9 тыс. рублей за счет дотации на сбалансированность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D45" w:rsidRPr="00BB4D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</w:t>
      </w:r>
      <w:r w:rsidR="00BB4D45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«Старосельская ООШ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1A1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D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5D622E" w:rsidRP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ремонт</w:t>
      </w:r>
      <w:r w:rsidR="005D62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622E" w:rsidRPr="00BB4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«Старосельская ООШ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622,4 тыс. рублей в связи с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образовавшейся</w:t>
      </w:r>
      <w:r w:rsidR="005D6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экономией 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конкурсных процедур.</w:t>
      </w:r>
    </w:p>
    <w:p w:rsidR="008C64F5" w:rsidRDefault="00431744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 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расхода по дополнительному образованию детей в части персонифицированного финансирования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ошибочно поправленный ранее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вид расхода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«Иные закупки товаров, работ и услуг для обеспечения государственных (муниципальных) нужд» заменяется видом расхода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 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="00014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организациям»</w:t>
      </w:r>
      <w:r w:rsidR="008E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64F5" w:rsidRDefault="008E6903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перераспределяются лимиты бюджетных обязательств по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тделу образования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вида расхода 240 «Иные закупки товаров, работ и услуг для обеспечения государственных (муниципальных) нужд» на вид расхода 850  «Уплата налогов, сборов и иных платежей»  в связи с необходимостью оплатить штраф  за нарушение  законодательства  об индивидуальном (персонифицированном) учете в системе обязательного пенсионного страхования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от 30.05.2019 года №522,  требования УПФР в Грязовецком районе (межрайонное) от 17.05.2019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045</w:t>
      </w:r>
      <w:r w:rsidR="00836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19190003660 и от 17.05.2019 года № 045</w:t>
      </w:r>
      <w:r w:rsidR="008368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19190003661).</w:t>
      </w:r>
    </w:p>
    <w:p w:rsidR="00101DE2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Pr="00876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36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36887" w:rsidRP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836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887" w:rsidRPr="00836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="00836887" w:rsidRPr="00836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887" w:rsidRPr="008368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«Культура»</w:t>
      </w:r>
      <w:r w:rsidR="00836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6887" w:rsidRP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1596,3 тыс. рублей</w:t>
      </w:r>
      <w:r w:rsidRP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887" w:rsidRP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2A095E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1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комплектование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книжных фондов общедоступных муниципальных библиотек</w:t>
      </w:r>
      <w:r w:rsidRPr="002A0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 в сумме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340,0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36887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68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района в сумме 1256,3 тыс. рублей дополнительно финансируются следующие мероприятия:</w:t>
      </w:r>
    </w:p>
    <w:p w:rsidR="008C64F5" w:rsidRPr="00CD11A1" w:rsidRDefault="00836887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утепление кровли здания ДК в с. Спас-Ямщики в сумме 188,3 </w:t>
      </w:r>
      <w:r w:rsidR="002A095E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4F5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C64F5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культуры, спорта и молодежной политик</w:t>
      </w:r>
      <w:r w:rsidR="002A095E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A095E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A095E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.2019 года №</w:t>
      </w:r>
      <w:r w:rsidR="001D1F2C">
        <w:rPr>
          <w:rFonts w:ascii="Times New Roman" w:eastAsia="Times New Roman" w:hAnsi="Times New Roman" w:cs="Times New Roman"/>
          <w:sz w:val="28"/>
          <w:szCs w:val="28"/>
          <w:lang w:eastAsia="ru-RU"/>
        </w:rPr>
        <w:t>41, локальный сметный расчет</w:t>
      </w:r>
      <w:r w:rsidR="002A095E" w:rsidRP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A095E" w:rsidRDefault="002A095E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 </w:t>
      </w:r>
      <w:r w:rsidR="001D1F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госэкспертизы  проектно-сметной документации на капитальный ремонт здания ДК в с. Спас-Ямщики в сумме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F2C">
        <w:rPr>
          <w:rFonts w:ascii="Times New Roman" w:eastAsia="Times New Roman" w:hAnsi="Times New Roman" w:cs="Times New Roman"/>
          <w:sz w:val="28"/>
          <w:szCs w:val="28"/>
          <w:lang w:eastAsia="ru-RU"/>
        </w:rPr>
        <w:t>193,0 тыс. рублей;</w:t>
      </w:r>
    </w:p>
    <w:p w:rsidR="001D1F2C" w:rsidRDefault="001D1F2C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дополнительные работы по капитальному ремонту здания МБУК «Центр культурного развития» -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590,1 тыс. рублей и 20,0 тыс. рублей на экспертизу смет дополнительных работ 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ходатайство отдела культуры, спорта и молодежной политики администрации района от 17.06.2019 года, семь локально-сметных расчета);</w:t>
      </w:r>
    </w:p>
    <w:p w:rsidR="001D1F2C" w:rsidRDefault="001D1F2C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дополнительно выделяется казенному учреждению по обслуживанию учреждений бюджетной сферы 264,9 тыс. рублей на содержание вновь полученного автобуса по программе Губернатора Вологодской области (основание 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ходатайство  КУ ММР «ЦОД УБС» от 05.06.2019 года №26, расчеты 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E901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автобуса).</w:t>
      </w:r>
    </w:p>
    <w:p w:rsidR="00E75040" w:rsidRDefault="00380560" w:rsidP="00380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75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75040" w:rsidRP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="00E75040"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96A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134,7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06F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380560" w:rsidRDefault="00380560" w:rsidP="00380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муниципальной программе «Обеспечение жильем молодых семей» уменьшается субсидия в сумме 270,2 тыс. рублей и софинансирование за счет средств бюджета района в сумме 59,3 тыс. рублей</w:t>
      </w:r>
      <w:r w:rsidRPr="0038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культуры, спорта и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№40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5040" w:rsidRDefault="00E75040" w:rsidP="003805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программе «Устойчивое развитие сельских территорий» уменьшается субсидия на 938,9 тыс. рублей и 0,1 тыс. рублей от округления</w:t>
      </w:r>
      <w:r w:rsidR="004E6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7E68" w:rsidRDefault="00E75040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6A9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по предоставлению единовременной денежной выплаты взамен </w:t>
      </w:r>
      <w:r w:rsidR="004E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земельного участка многодетным семьям на 1133,8 тыс. рублей за счет средств областного бюджета.</w:t>
      </w:r>
    </w:p>
    <w:p w:rsidR="004E6191" w:rsidRDefault="004E6191" w:rsidP="00242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7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102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Массовый спорт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E619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бюджетные ассигнования на 453,0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средств бюджета района направляется на разработку проектно-сметной документации по ремонту стадиона с. Шуйское 376,0 тыс. рублей,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 (увеличение заработной платы тренерам на 20,0 %)  увеличение  на 74,6 тыс. рублей и  софинансирование из бюджета района 2,4 тыс. рублей (основание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ходатайство отдела культуры, спорта и молодежной политики от 10.06.2019 года №39, три коммерческих предложения, расчет распределения субсидии в связи с увеличением заработной платы тренеров на 20%). </w:t>
      </w:r>
    </w:p>
    <w:p w:rsidR="0020079C" w:rsidRDefault="00206F4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Межбюджетные трансферты общего характера  бюджетам  субъектов РФ и муниципальных образований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0079C" w:rsidRP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увеличиваются лимиты бюджетных обязательств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612,2 тыс. рублей</w:t>
      </w:r>
      <w:r w:rsidRP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B1301" w:rsidRDefault="00206F48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402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Дотация на поддержку  мер  по обеспечению сбалансированности бюджетов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450,0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связи с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выделением  поселению Сухонско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на сбалансированность для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контейнерной</w:t>
      </w:r>
      <w:r w:rsidR="00696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площадки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D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7A3A2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выполнения поручения Губернатора  области по реализации в Вологодской области новой системы обращения с ТКО (Основание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7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Администрации поселения Сухонское от 17.06.2019 года №201, расчет</w:t>
      </w:r>
      <w:r w:rsidR="00AF2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строительства площадки</w:t>
      </w:r>
      <w:r w:rsidR="008B1301" w:rsidRPr="008B130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2D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D76" w:rsidRDefault="00AF2D76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F2D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1403 «Прочие межбюджетные трансферты общего характера»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A9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размер иных межбюджетных трансфертов на 162,2 тыс. рублей  поселениям Старосельское (81,1 тыс. руб.)  и Туровецкое (81,1 тыс. руб.)  для увеличения заработной платы тренерам ФОКов поселений (основание – расчет заработной платы).</w:t>
      </w:r>
    </w:p>
    <w:p w:rsidR="00135A9B" w:rsidRPr="00135A9B" w:rsidRDefault="00135A9B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6 к тексту проекта решения допущена опечатка по строкам «Культура, кинематография» и  «Культура». Следует цифру «46296,7» заменить цифрой «50265,6». </w:t>
      </w:r>
    </w:p>
    <w:p w:rsidR="008C64F5" w:rsidRPr="00D128AA" w:rsidRDefault="00977A6D" w:rsidP="008C64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</w:t>
      </w:r>
      <w:r w:rsidR="00135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опечатк</w:t>
      </w:r>
      <w:r w:rsidR="00135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период проверки проекта бюджета района устранен</w:t>
      </w:r>
      <w:r w:rsidR="00135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правлением финансов района.</w:t>
      </w:r>
    </w:p>
    <w:p w:rsidR="008C64F5" w:rsidRPr="00FD0CD1" w:rsidRDefault="008C64F5" w:rsidP="008C6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C64F5" w:rsidRPr="009C66C3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8C64F5" w:rsidRPr="0038383E" w:rsidRDefault="008C64F5" w:rsidP="008C6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135A9B">
        <w:rPr>
          <w:rFonts w:ascii="Times New Roman" w:eastAsia="Times New Roman" w:hAnsi="Times New Roman" w:cs="Times New Roman"/>
          <w:sz w:val="28"/>
          <w:szCs w:val="28"/>
          <w:lang w:eastAsia="ru-RU"/>
        </w:rPr>
        <w:t>13396,0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C64F5" w:rsidRDefault="008C64F5" w:rsidP="008C64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8C64F5" w:rsidRPr="0038383E" w:rsidRDefault="008C64F5" w:rsidP="008C64F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38383E" w:rsidRDefault="008C64F5" w:rsidP="008C64F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1417"/>
        <w:gridCol w:w="1276"/>
        <w:gridCol w:w="1260"/>
        <w:gridCol w:w="1150"/>
        <w:gridCol w:w="1134"/>
      </w:tblGrid>
      <w:tr w:rsidR="008C64F5" w:rsidRPr="0038383E" w:rsidTr="00135A9B">
        <w:trPr>
          <w:trHeight w:val="552"/>
          <w:tblHeader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F5" w:rsidRPr="00295284" w:rsidRDefault="008C64F5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F5" w:rsidRPr="00295284" w:rsidRDefault="008C64F5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5A9B" w:rsidRPr="0038383E" w:rsidTr="00135A9B">
        <w:trPr>
          <w:trHeight w:val="830"/>
          <w:tblHeader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A9B" w:rsidRPr="00295284" w:rsidRDefault="00135A9B" w:rsidP="003E78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№59</w:t>
            </w:r>
          </w:p>
          <w:p w:rsidR="00135A9B" w:rsidRPr="00295284" w:rsidRDefault="00135A9B" w:rsidP="003E7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D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 w:rsidR="00DF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 2019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135A9B" w:rsidP="00D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r w:rsidR="00DF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усмотрено 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DF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апреле 2019 года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135A9B" w:rsidP="00DF4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Предлагается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DF4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135A9B" w:rsidP="00C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135A9B" w:rsidRPr="00295284" w:rsidRDefault="00135A9B" w:rsidP="00C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A9B" w:rsidRPr="0038383E" w:rsidTr="00135A9B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профицита 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-4421,9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-7332,0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135A9B" w:rsidP="003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DF4DCE" w:rsidP="00394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-13396,0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DCE" w:rsidRPr="00295284" w:rsidRDefault="00DF4DCE" w:rsidP="00DF4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-1960,5</w:t>
            </w:r>
          </w:p>
        </w:tc>
      </w:tr>
      <w:tr w:rsidR="00135A9B" w:rsidRPr="0038383E" w:rsidTr="00135A9B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DF4DCE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95284" w:rsidRDefault="00DF4DCE" w:rsidP="002459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135A9B" w:rsidRPr="0038383E" w:rsidTr="00135A9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4421,9</w:t>
            </w:r>
          </w:p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7332,0</w:t>
            </w:r>
          </w:p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135A9B" w:rsidP="003948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-11435,5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135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-13396,0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CD1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-1960,5</w:t>
            </w:r>
          </w:p>
        </w:tc>
      </w:tr>
      <w:tr w:rsidR="00135A9B" w:rsidRPr="0038383E" w:rsidTr="00135A9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265189,3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266485,4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275693,1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293632,7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CD1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17939,6</w:t>
            </w:r>
          </w:p>
        </w:tc>
      </w:tr>
      <w:tr w:rsidR="00135A9B" w:rsidRPr="0038383E" w:rsidTr="00135A9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295284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Увеличение 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260767,4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9B" w:rsidRPr="00E45946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259153,4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135A9B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-264257,6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3E7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-280236,7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A9B" w:rsidRPr="002F1CE3" w:rsidRDefault="00DF4DCE" w:rsidP="00CD1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-15979,1</w:t>
            </w:r>
          </w:p>
        </w:tc>
      </w:tr>
    </w:tbl>
    <w:p w:rsidR="008C64F5" w:rsidRPr="0038383E" w:rsidRDefault="008C64F5" w:rsidP="008C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Pr="00320814" w:rsidRDefault="008C64F5" w:rsidP="008C64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поправок произойдет увеличение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E05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1960,5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дефицита бюджета района составит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13396,0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64F5" w:rsidRPr="00EB6D74" w:rsidRDefault="008C64F5" w:rsidP="008C64F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8C64F5" w:rsidRPr="00947648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4F5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C64F5" w:rsidRPr="00896CDA" w:rsidRDefault="008C64F5" w:rsidP="008C64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DCE" w:rsidRDefault="00532A1F" w:rsidP="00DF4DC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 бюджета района  в 201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280236,7 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19469,3 тыс. рублей, или на 7,5% и уточненного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15979,1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6,0 процента.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DCE" w:rsidRDefault="00532A1F" w:rsidP="00DF4DC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DF4DCE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293632,7  тыс. рублей, </w:t>
      </w:r>
      <w:r w:rsidR="00DF4DC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28443,4 тыс. рублей, или на 10,7 % и уточненного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17939,6</w:t>
      </w:r>
      <w:r w:rsidR="00DF4DCE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4DCE">
        <w:rPr>
          <w:rFonts w:ascii="Times New Roman" w:eastAsia="Times New Roman" w:hAnsi="Times New Roman" w:cs="Times New Roman"/>
          <w:sz w:val="28"/>
          <w:szCs w:val="28"/>
          <w:lang w:eastAsia="ru-RU"/>
        </w:rPr>
        <w:t>6,5 процента</w:t>
      </w:r>
    </w:p>
    <w:p w:rsidR="00532A1F" w:rsidRDefault="00532A1F" w:rsidP="00DF4DC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27AF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</w:t>
      </w:r>
    </w:p>
    <w:p w:rsidR="00532A1F" w:rsidRPr="00D27701" w:rsidRDefault="00532A1F" w:rsidP="00532A1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2019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15979,1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8,1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214115,7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 на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составит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76,4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293632,7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расходы  </w:t>
      </w:r>
      <w:r w:rsidRPr="00261363">
        <w:rPr>
          <w:rFonts w:ascii="Times New Roman" w:hAnsi="Times New Roman" w:cs="Times New Roman"/>
          <w:i/>
          <w:sz w:val="28"/>
          <w:szCs w:val="28"/>
        </w:rPr>
        <w:lastRenderedPageBreak/>
        <w:t>увеличиваются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17939,6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434,5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 процент;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1020,0 тыс. рублей, или на 4,0 процента;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13215,2 тыс. рублей, или в 2,5 раза;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на 743,1 тыс. рублей, или на 0,6 процента;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 кинематография»  на  1596,3  тыс. рублей, или на 3,2 процента;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 Физическая культура и спорт» на 453,0 тыс. рублей, или на 12,3 процента;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общего характера  бюджетам субъектов РФ и муниципальных образований» на 612,2 тыс. рублей, или на 4,0 процента.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 одному  разделу - «Социальная политика» на 134,7 тыс. рублей, или на 1,3  процента.</w:t>
      </w:r>
    </w:p>
    <w:p w:rsidR="00A333F3" w:rsidRDefault="00A333F3" w:rsidP="00A33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532A1F" w:rsidRDefault="00532A1F" w:rsidP="00532A1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декабре  201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произойдет 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1960,5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13396,0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333F3">
        <w:rPr>
          <w:rFonts w:ascii="Times New Roman" w:eastAsia="Times New Roman" w:hAnsi="Times New Roman" w:cs="Times New Roman"/>
          <w:sz w:val="28"/>
          <w:szCs w:val="28"/>
          <w:lang w:eastAsia="ru-RU"/>
        </w:rPr>
        <w:t>62,2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 w:rsidR="00261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2A1F" w:rsidRPr="00320814" w:rsidRDefault="00532A1F" w:rsidP="00532A1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9121F" w:rsidRDefault="00D9121F" w:rsidP="00532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21F" w:rsidRPr="00DC6887" w:rsidRDefault="00A333F3" w:rsidP="00DC68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</w:t>
      </w:r>
      <w:r w:rsid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21F" w:rsidRP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№59» с учетом устранения замечани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121F" w:rsidRP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9121F" w:rsidRPr="00DC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тексте заключения.</w:t>
      </w:r>
    </w:p>
    <w:p w:rsidR="00D9121F" w:rsidRPr="00D9121F" w:rsidRDefault="00D9121F" w:rsidP="00D91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Default="00532A1F" w:rsidP="00532A1F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A1F" w:rsidRPr="00483477" w:rsidRDefault="00532A1F" w:rsidP="00532A1F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701" w:rsidRDefault="00A333F3" w:rsidP="0053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32A1F" w:rsidRPr="00BF67E7" w:rsidRDefault="00532A1F" w:rsidP="00532A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                    </w:t>
      </w:r>
      <w:r w:rsidR="00A333F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3F3">
        <w:rPr>
          <w:rFonts w:ascii="Times New Roman" w:hAnsi="Times New Roman" w:cs="Times New Roman"/>
          <w:sz w:val="28"/>
          <w:szCs w:val="28"/>
        </w:rPr>
        <w:t>О.А. Дудина</w:t>
      </w:r>
    </w:p>
    <w:p w:rsidR="008C64F5" w:rsidRDefault="008C64F5" w:rsidP="008C64F5"/>
    <w:p w:rsidR="008C64F5" w:rsidRPr="0090595A" w:rsidRDefault="008C64F5" w:rsidP="008C64F5"/>
    <w:p w:rsidR="008C64F5" w:rsidRDefault="008C64F5" w:rsidP="008C64F5"/>
    <w:p w:rsidR="008C64F5" w:rsidRDefault="008C64F5" w:rsidP="008C64F5"/>
    <w:p w:rsidR="008C64F5" w:rsidRDefault="008C64F5" w:rsidP="008C64F5"/>
    <w:p w:rsidR="00A13D5D" w:rsidRDefault="00A13D5D"/>
    <w:sectPr w:rsidR="00A13D5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C4C" w:rsidRDefault="00FD1C4C">
      <w:pPr>
        <w:spacing w:after="0" w:line="240" w:lineRule="auto"/>
      </w:pPr>
      <w:r>
        <w:separator/>
      </w:r>
    </w:p>
  </w:endnote>
  <w:endnote w:type="continuationSeparator" w:id="0">
    <w:p w:rsidR="00FD1C4C" w:rsidRDefault="00FD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C4C" w:rsidRDefault="00FD1C4C">
      <w:pPr>
        <w:spacing w:after="0" w:line="240" w:lineRule="auto"/>
      </w:pPr>
      <w:r>
        <w:separator/>
      </w:r>
    </w:p>
  </w:footnote>
  <w:footnote w:type="continuationSeparator" w:id="0">
    <w:p w:rsidR="00FD1C4C" w:rsidRDefault="00FD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5D622E" w:rsidRDefault="005D622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074">
          <w:rPr>
            <w:noProof/>
          </w:rPr>
          <w:t>1</w:t>
        </w:r>
        <w:r>
          <w:fldChar w:fldCharType="end"/>
        </w:r>
      </w:p>
    </w:sdtContent>
  </w:sdt>
  <w:p w:rsidR="005D622E" w:rsidRDefault="005D6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CA9C4B68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DB"/>
    <w:rsid w:val="00003A6E"/>
    <w:rsid w:val="00014D94"/>
    <w:rsid w:val="0002131A"/>
    <w:rsid w:val="00024360"/>
    <w:rsid w:val="00044B71"/>
    <w:rsid w:val="00093232"/>
    <w:rsid w:val="000F5729"/>
    <w:rsid w:val="00101DE2"/>
    <w:rsid w:val="00135A9B"/>
    <w:rsid w:val="00164C3C"/>
    <w:rsid w:val="00182525"/>
    <w:rsid w:val="001D1F2C"/>
    <w:rsid w:val="001D6F44"/>
    <w:rsid w:val="001E053B"/>
    <w:rsid w:val="001F5D2A"/>
    <w:rsid w:val="0020079C"/>
    <w:rsid w:val="00206F48"/>
    <w:rsid w:val="00216D50"/>
    <w:rsid w:val="00234DFE"/>
    <w:rsid w:val="00242644"/>
    <w:rsid w:val="00242F96"/>
    <w:rsid w:val="00245962"/>
    <w:rsid w:val="00252058"/>
    <w:rsid w:val="00261363"/>
    <w:rsid w:val="00272E4A"/>
    <w:rsid w:val="002A095E"/>
    <w:rsid w:val="002B0071"/>
    <w:rsid w:val="002C4686"/>
    <w:rsid w:val="002D2250"/>
    <w:rsid w:val="002E3B37"/>
    <w:rsid w:val="003024B0"/>
    <w:rsid w:val="00363076"/>
    <w:rsid w:val="00380560"/>
    <w:rsid w:val="003948F8"/>
    <w:rsid w:val="003E2E2F"/>
    <w:rsid w:val="003E5991"/>
    <w:rsid w:val="003E7863"/>
    <w:rsid w:val="003F16DB"/>
    <w:rsid w:val="003F4FD4"/>
    <w:rsid w:val="00410074"/>
    <w:rsid w:val="00431744"/>
    <w:rsid w:val="00456834"/>
    <w:rsid w:val="004E6191"/>
    <w:rsid w:val="00532A1F"/>
    <w:rsid w:val="005957E9"/>
    <w:rsid w:val="005C0021"/>
    <w:rsid w:val="005D622E"/>
    <w:rsid w:val="00612BC4"/>
    <w:rsid w:val="00630938"/>
    <w:rsid w:val="00634FCF"/>
    <w:rsid w:val="00673FB9"/>
    <w:rsid w:val="00686A6A"/>
    <w:rsid w:val="00696A9F"/>
    <w:rsid w:val="006C6C10"/>
    <w:rsid w:val="00725035"/>
    <w:rsid w:val="007406D9"/>
    <w:rsid w:val="00743F80"/>
    <w:rsid w:val="0076451C"/>
    <w:rsid w:val="007A3A2C"/>
    <w:rsid w:val="007A555B"/>
    <w:rsid w:val="007C5602"/>
    <w:rsid w:val="007D0E52"/>
    <w:rsid w:val="008203BE"/>
    <w:rsid w:val="00836887"/>
    <w:rsid w:val="00844DA4"/>
    <w:rsid w:val="0087034C"/>
    <w:rsid w:val="00882336"/>
    <w:rsid w:val="00891701"/>
    <w:rsid w:val="008B1301"/>
    <w:rsid w:val="008C64F5"/>
    <w:rsid w:val="008E6903"/>
    <w:rsid w:val="00955D73"/>
    <w:rsid w:val="0096077A"/>
    <w:rsid w:val="00976F68"/>
    <w:rsid w:val="00977A6D"/>
    <w:rsid w:val="009C5810"/>
    <w:rsid w:val="009E4E26"/>
    <w:rsid w:val="009F12B0"/>
    <w:rsid w:val="00A13D5D"/>
    <w:rsid w:val="00A30786"/>
    <w:rsid w:val="00A31016"/>
    <w:rsid w:val="00A333F3"/>
    <w:rsid w:val="00A9160C"/>
    <w:rsid w:val="00AF2D76"/>
    <w:rsid w:val="00B07ADE"/>
    <w:rsid w:val="00B82876"/>
    <w:rsid w:val="00B96C3E"/>
    <w:rsid w:val="00BB4D45"/>
    <w:rsid w:val="00C87304"/>
    <w:rsid w:val="00CD11A1"/>
    <w:rsid w:val="00CE7E68"/>
    <w:rsid w:val="00D42AF3"/>
    <w:rsid w:val="00D85BD8"/>
    <w:rsid w:val="00D9121F"/>
    <w:rsid w:val="00DA495A"/>
    <w:rsid w:val="00DB24FE"/>
    <w:rsid w:val="00DC6887"/>
    <w:rsid w:val="00DD0067"/>
    <w:rsid w:val="00DF4DCE"/>
    <w:rsid w:val="00E265B8"/>
    <w:rsid w:val="00E51B9E"/>
    <w:rsid w:val="00E75040"/>
    <w:rsid w:val="00E901DC"/>
    <w:rsid w:val="00EA4278"/>
    <w:rsid w:val="00EC3326"/>
    <w:rsid w:val="00EC5D63"/>
    <w:rsid w:val="00EE7CED"/>
    <w:rsid w:val="00EF248E"/>
    <w:rsid w:val="00F03303"/>
    <w:rsid w:val="00F03BAC"/>
    <w:rsid w:val="00F151D7"/>
    <w:rsid w:val="00F2149C"/>
    <w:rsid w:val="00F3358C"/>
    <w:rsid w:val="00F57D5C"/>
    <w:rsid w:val="00F66D52"/>
    <w:rsid w:val="00F75B42"/>
    <w:rsid w:val="00FB5625"/>
    <w:rsid w:val="00FC19EF"/>
    <w:rsid w:val="00FD1C4C"/>
    <w:rsid w:val="00FD574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4F5"/>
  </w:style>
  <w:style w:type="paragraph" w:styleId="a5">
    <w:name w:val="List Paragraph"/>
    <w:basedOn w:val="a"/>
    <w:uiPriority w:val="34"/>
    <w:qFormat/>
    <w:rsid w:val="008C6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4F5"/>
  </w:style>
  <w:style w:type="paragraph" w:styleId="a5">
    <w:name w:val="List Paragraph"/>
    <w:basedOn w:val="a"/>
    <w:uiPriority w:val="34"/>
    <w:qFormat/>
    <w:rsid w:val="008C64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2A9A-8ED8-48EC-8722-46FA4DEC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2019-04-22T11:45:00Z</cp:lastPrinted>
  <dcterms:created xsi:type="dcterms:W3CDTF">2019-07-11T08:30:00Z</dcterms:created>
  <dcterms:modified xsi:type="dcterms:W3CDTF">2019-07-11T08:30:00Z</dcterms:modified>
</cp:coreProperties>
</file>