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5C2F87"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 wp14:anchorId="51947A40" wp14:editId="4822DC1D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ПРЕДСТАВИТЕЛЬНОГО СОБРАНИЯ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34">
        <w:rPr>
          <w:rFonts w:ascii="Times New Roman" w:hAnsi="Times New Roman" w:cs="Times New Roman"/>
          <w:b/>
          <w:sz w:val="28"/>
          <w:szCs w:val="28"/>
        </w:rPr>
        <w:t>МЕЖУРЕЧЕНСКОГО МУНИЦИПАЛЬНОГО РАЙОНА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УТВЕРЖДАЮ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D60C6B" w:rsidRPr="00E95E34" w:rsidRDefault="00D60C6B" w:rsidP="00D60C6B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5E34">
        <w:rPr>
          <w:rFonts w:ascii="Times New Roman" w:hAnsi="Times New Roman" w:cs="Times New Roman"/>
          <w:sz w:val="26"/>
          <w:szCs w:val="26"/>
        </w:rPr>
        <w:t>____________________О.А.</w:t>
      </w:r>
      <w:r w:rsidR="00971BB8">
        <w:rPr>
          <w:rFonts w:ascii="Times New Roman" w:hAnsi="Times New Roman" w:cs="Times New Roman"/>
          <w:sz w:val="26"/>
          <w:szCs w:val="26"/>
        </w:rPr>
        <w:t xml:space="preserve"> </w:t>
      </w:r>
      <w:r w:rsidRPr="00E95E34">
        <w:rPr>
          <w:rFonts w:ascii="Times New Roman" w:hAnsi="Times New Roman" w:cs="Times New Roman"/>
          <w:sz w:val="26"/>
          <w:szCs w:val="26"/>
        </w:rPr>
        <w:t xml:space="preserve">Дудина </w:t>
      </w:r>
    </w:p>
    <w:p w:rsidR="00D60C6B" w:rsidRPr="00E95E34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 отчет об исполнении </w:t>
      </w:r>
      <w:r w:rsidR="00C3680A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за 1 </w:t>
      </w:r>
      <w:r w:rsidR="006F6DB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E5768">
        <w:rPr>
          <w:rFonts w:ascii="Times New Roman" w:hAnsi="Times New Roman" w:cs="Times New Roman"/>
          <w:sz w:val="28"/>
          <w:szCs w:val="28"/>
        </w:rPr>
        <w:t>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«</w:t>
      </w:r>
      <w:r w:rsidR="00205800">
        <w:rPr>
          <w:rFonts w:ascii="Times New Roman" w:hAnsi="Times New Roman" w:cs="Times New Roman"/>
          <w:sz w:val="28"/>
          <w:szCs w:val="28"/>
        </w:rPr>
        <w:t>05</w:t>
      </w:r>
      <w:r w:rsidRPr="005C2F87">
        <w:rPr>
          <w:rFonts w:ascii="Times New Roman" w:hAnsi="Times New Roman" w:cs="Times New Roman"/>
          <w:sz w:val="28"/>
          <w:szCs w:val="28"/>
        </w:rPr>
        <w:t>»</w:t>
      </w:r>
      <w:r w:rsidR="00971BB8">
        <w:rPr>
          <w:rFonts w:ascii="Times New Roman" w:hAnsi="Times New Roman" w:cs="Times New Roman"/>
          <w:sz w:val="28"/>
          <w:szCs w:val="28"/>
        </w:rPr>
        <w:t xml:space="preserve"> </w:t>
      </w:r>
      <w:r w:rsidR="006E5768">
        <w:rPr>
          <w:rFonts w:ascii="Times New Roman" w:hAnsi="Times New Roman" w:cs="Times New Roman"/>
          <w:sz w:val="28"/>
          <w:szCs w:val="28"/>
        </w:rPr>
        <w:t>августа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E5768">
        <w:rPr>
          <w:rFonts w:ascii="Times New Roman" w:hAnsi="Times New Roman" w:cs="Times New Roman"/>
          <w:sz w:val="28"/>
          <w:szCs w:val="28"/>
        </w:rPr>
        <w:t>9</w:t>
      </w:r>
      <w:r w:rsidR="002B30D3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D60C6B">
      <w:pPr>
        <w:pStyle w:val="ad"/>
        <w:keepLines/>
        <w:spacing w:after="0" w:afterAutospacing="0"/>
        <w:ind w:firstLine="113"/>
        <w:contextualSpacing/>
        <w:rPr>
          <w:sz w:val="28"/>
          <w:szCs w:val="28"/>
        </w:rPr>
      </w:pPr>
      <w:r w:rsidRPr="005C2F87">
        <w:rPr>
          <w:sz w:val="28"/>
          <w:szCs w:val="28"/>
        </w:rPr>
        <w:tab/>
        <w:t>В соответствии с</w:t>
      </w:r>
      <w:r>
        <w:rPr>
          <w:sz w:val="28"/>
          <w:szCs w:val="28"/>
        </w:rPr>
        <w:t xml:space="preserve">о статьей 8 Положения о ревизионной комиссии </w:t>
      </w:r>
      <w:r w:rsidRPr="005C2F87">
        <w:rPr>
          <w:sz w:val="28"/>
          <w:szCs w:val="28"/>
        </w:rPr>
        <w:t xml:space="preserve"> Представительного Собрания Междуреченского муниципального района</w:t>
      </w:r>
      <w:r>
        <w:rPr>
          <w:sz w:val="28"/>
          <w:szCs w:val="28"/>
        </w:rPr>
        <w:t>, утвержденного решением от 20 сентября 2011 года№35, в рамках осуществления контроля за исполнением бюджета поселения в соответствии с пунктом 1</w:t>
      </w:r>
      <w:r w:rsidR="006E5768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раздела «Экспертно-аналитические мероприятия»  </w:t>
      </w:r>
      <w:r w:rsidRPr="005C2F87">
        <w:rPr>
          <w:sz w:val="28"/>
          <w:szCs w:val="28"/>
        </w:rPr>
        <w:t xml:space="preserve"> </w:t>
      </w:r>
      <w:r w:rsidRPr="00B24264">
        <w:rPr>
          <w:sz w:val="28"/>
          <w:szCs w:val="28"/>
        </w:rPr>
        <w:t>П</w:t>
      </w:r>
      <w:r>
        <w:rPr>
          <w:sz w:val="28"/>
          <w:szCs w:val="28"/>
        </w:rPr>
        <w:t>лана работы ревизионной комиссии Представительного Собрания района на 201</w:t>
      </w:r>
      <w:r w:rsidR="006E5768">
        <w:rPr>
          <w:sz w:val="28"/>
          <w:szCs w:val="28"/>
        </w:rPr>
        <w:t>9</w:t>
      </w:r>
      <w:r>
        <w:rPr>
          <w:sz w:val="28"/>
          <w:szCs w:val="28"/>
        </w:rPr>
        <w:t xml:space="preserve"> год, ревизионной комиссией проведен анализ исполнения бюджета поселения за 1 </w:t>
      </w:r>
      <w:r w:rsidR="006F6DBB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201</w:t>
      </w:r>
      <w:r w:rsidR="006E5768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 Ботановское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6F6DB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6E5768">
        <w:rPr>
          <w:rFonts w:ascii="Times New Roman" w:hAnsi="Times New Roman" w:cs="Times New Roman"/>
          <w:sz w:val="28"/>
          <w:szCs w:val="28"/>
        </w:rPr>
        <w:t>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от </w:t>
      </w:r>
      <w:r w:rsidR="00741866">
        <w:rPr>
          <w:rFonts w:ascii="Times New Roman" w:hAnsi="Times New Roman" w:cs="Times New Roman"/>
          <w:sz w:val="28"/>
          <w:szCs w:val="28"/>
        </w:rPr>
        <w:t>1</w:t>
      </w:r>
      <w:r w:rsidR="006E5768">
        <w:rPr>
          <w:rFonts w:ascii="Times New Roman" w:hAnsi="Times New Roman" w:cs="Times New Roman"/>
          <w:sz w:val="28"/>
          <w:szCs w:val="28"/>
        </w:rPr>
        <w:t>7</w:t>
      </w:r>
      <w:r w:rsidR="00971BB8">
        <w:rPr>
          <w:rFonts w:ascii="Times New Roman" w:hAnsi="Times New Roman" w:cs="Times New Roman"/>
          <w:sz w:val="28"/>
          <w:szCs w:val="28"/>
        </w:rPr>
        <w:t xml:space="preserve"> </w:t>
      </w:r>
      <w:r w:rsidR="006F6DBB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6E5768">
        <w:rPr>
          <w:rFonts w:ascii="Times New Roman" w:hAnsi="Times New Roman" w:cs="Times New Roman"/>
          <w:sz w:val="28"/>
          <w:szCs w:val="28"/>
        </w:rPr>
        <w:t>9</w:t>
      </w:r>
      <w:r w:rsidR="00741866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6E576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Цели и задачи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Заключение ревизионной комиссии на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6F6DBB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E5768">
        <w:rPr>
          <w:rFonts w:ascii="Times New Roman" w:hAnsi="Times New Roman" w:cs="Times New Roman"/>
          <w:sz w:val="28"/>
          <w:szCs w:val="28"/>
        </w:rPr>
        <w:t>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6E5768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</w:t>
      </w:r>
      <w:r w:rsidR="006E5768">
        <w:rPr>
          <w:rFonts w:ascii="Times New Roman" w:hAnsi="Times New Roman" w:cs="Times New Roman"/>
          <w:sz w:val="28"/>
          <w:szCs w:val="28"/>
        </w:rPr>
        <w:t>,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77199A">
        <w:rPr>
          <w:rFonts w:ascii="Times New Roman" w:hAnsi="Times New Roman" w:cs="Times New Roman"/>
          <w:sz w:val="28"/>
          <w:szCs w:val="28"/>
        </w:rPr>
        <w:t>ы</w:t>
      </w:r>
      <w:r w:rsidR="006E5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5C2F87" w:rsidRDefault="006E5768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поселения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информационные материалы за 1 </w:t>
      </w:r>
      <w:r w:rsidR="0077199A">
        <w:rPr>
          <w:rFonts w:ascii="Times New Roman" w:hAnsi="Times New Roman" w:cs="Times New Roman"/>
          <w:sz w:val="28"/>
          <w:szCs w:val="28"/>
        </w:rPr>
        <w:t>полугодие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41866">
        <w:rPr>
          <w:rFonts w:ascii="Times New Roman" w:hAnsi="Times New Roman" w:cs="Times New Roman"/>
          <w:sz w:val="28"/>
          <w:szCs w:val="28"/>
        </w:rPr>
        <w:t xml:space="preserve">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77199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6E5768">
        <w:rPr>
          <w:rFonts w:ascii="Times New Roman" w:hAnsi="Times New Roman" w:cs="Times New Roman"/>
          <w:sz w:val="28"/>
          <w:szCs w:val="28"/>
        </w:rPr>
        <w:t>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поселения Ботановское от </w:t>
      </w:r>
      <w:r w:rsidR="00741866">
        <w:rPr>
          <w:rFonts w:ascii="Times New Roman" w:hAnsi="Times New Roman" w:cs="Times New Roman"/>
          <w:sz w:val="28"/>
          <w:szCs w:val="28"/>
        </w:rPr>
        <w:t>1</w:t>
      </w:r>
      <w:r w:rsidR="006E5768">
        <w:rPr>
          <w:rFonts w:ascii="Times New Roman" w:hAnsi="Times New Roman" w:cs="Times New Roman"/>
          <w:sz w:val="28"/>
          <w:szCs w:val="28"/>
        </w:rPr>
        <w:t>7</w:t>
      </w:r>
      <w:r w:rsidR="00971BB8">
        <w:rPr>
          <w:rFonts w:ascii="Times New Roman" w:hAnsi="Times New Roman" w:cs="Times New Roman"/>
          <w:sz w:val="28"/>
          <w:szCs w:val="28"/>
        </w:rPr>
        <w:t xml:space="preserve"> </w:t>
      </w:r>
      <w:r w:rsidR="0077199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05800">
        <w:rPr>
          <w:rFonts w:ascii="Times New Roman" w:hAnsi="Times New Roman" w:cs="Times New Roman"/>
          <w:sz w:val="28"/>
          <w:szCs w:val="28"/>
        </w:rPr>
        <w:t>9</w:t>
      </w:r>
      <w:r w:rsidR="0097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E5768">
        <w:rPr>
          <w:rFonts w:ascii="Times New Roman" w:hAnsi="Times New Roman" w:cs="Times New Roman"/>
          <w:sz w:val="28"/>
          <w:szCs w:val="28"/>
        </w:rPr>
        <w:t>33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, 2 – по расходам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по разделам, подразделам классификации расходов, 3 – по показателям дефицита (профицит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Изменения в решение «О бюджете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Pr="005C2F87">
        <w:rPr>
          <w:rFonts w:ascii="Times New Roman" w:hAnsi="Times New Roman" w:cs="Times New Roman"/>
          <w:sz w:val="28"/>
          <w:szCs w:val="28"/>
        </w:rPr>
        <w:t>на 201</w:t>
      </w:r>
      <w:r w:rsidR="006E5768">
        <w:rPr>
          <w:rFonts w:ascii="Times New Roman" w:hAnsi="Times New Roman" w:cs="Times New Roman"/>
          <w:sz w:val="28"/>
          <w:szCs w:val="28"/>
        </w:rPr>
        <w:t>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971BB8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E5768">
        <w:rPr>
          <w:rFonts w:ascii="Times New Roman" w:hAnsi="Times New Roman" w:cs="Times New Roman"/>
          <w:sz w:val="28"/>
          <w:szCs w:val="28"/>
        </w:rPr>
        <w:t>20</w:t>
      </w:r>
      <w:r w:rsidR="00971BB8">
        <w:rPr>
          <w:rFonts w:ascii="Times New Roman" w:hAnsi="Times New Roman" w:cs="Times New Roman"/>
          <w:sz w:val="28"/>
          <w:szCs w:val="28"/>
        </w:rPr>
        <w:t xml:space="preserve"> и 20</w:t>
      </w:r>
      <w:r w:rsidR="00741866">
        <w:rPr>
          <w:rFonts w:ascii="Times New Roman" w:hAnsi="Times New Roman" w:cs="Times New Roman"/>
          <w:sz w:val="28"/>
          <w:szCs w:val="28"/>
        </w:rPr>
        <w:t>2</w:t>
      </w:r>
      <w:r w:rsidR="006E5768">
        <w:rPr>
          <w:rFonts w:ascii="Times New Roman" w:hAnsi="Times New Roman" w:cs="Times New Roman"/>
          <w:sz w:val="28"/>
          <w:szCs w:val="28"/>
        </w:rPr>
        <w:t>1</w:t>
      </w:r>
      <w:r w:rsidR="00971BB8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5C2F87">
        <w:rPr>
          <w:rFonts w:ascii="Times New Roman" w:hAnsi="Times New Roman" w:cs="Times New Roman"/>
          <w:sz w:val="28"/>
          <w:szCs w:val="28"/>
        </w:rPr>
        <w:t xml:space="preserve">» в 1 </w:t>
      </w:r>
      <w:r w:rsidR="0077199A">
        <w:rPr>
          <w:rFonts w:ascii="Times New Roman" w:hAnsi="Times New Roman" w:cs="Times New Roman"/>
          <w:sz w:val="28"/>
          <w:szCs w:val="28"/>
        </w:rPr>
        <w:t>полугоди</w:t>
      </w:r>
      <w:r w:rsidR="006E5768">
        <w:rPr>
          <w:rFonts w:ascii="Times New Roman" w:hAnsi="Times New Roman" w:cs="Times New Roman"/>
          <w:sz w:val="28"/>
          <w:szCs w:val="28"/>
        </w:rPr>
        <w:t>и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E5768">
        <w:rPr>
          <w:rFonts w:ascii="Times New Roman" w:hAnsi="Times New Roman" w:cs="Times New Roman"/>
          <w:sz w:val="28"/>
          <w:szCs w:val="28"/>
        </w:rPr>
        <w:t>9</w:t>
      </w:r>
      <w:r w:rsidR="00741866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года вносились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332">
        <w:rPr>
          <w:rFonts w:ascii="Times New Roman" w:hAnsi="Times New Roman" w:cs="Times New Roman"/>
          <w:sz w:val="28"/>
          <w:szCs w:val="28"/>
        </w:rPr>
        <w:t>четыре</w:t>
      </w:r>
      <w:r w:rsidR="00410E02">
        <w:rPr>
          <w:rFonts w:ascii="Times New Roman" w:hAnsi="Times New Roman" w:cs="Times New Roman"/>
          <w:sz w:val="28"/>
          <w:szCs w:val="28"/>
        </w:rPr>
        <w:t xml:space="preserve"> </w:t>
      </w:r>
      <w:r w:rsidR="0077199A">
        <w:rPr>
          <w:rFonts w:ascii="Times New Roman" w:hAnsi="Times New Roman" w:cs="Times New Roman"/>
          <w:sz w:val="28"/>
          <w:szCs w:val="28"/>
        </w:rPr>
        <w:t>раз</w:t>
      </w:r>
      <w:r w:rsidR="003E3332">
        <w:rPr>
          <w:rFonts w:ascii="Times New Roman" w:hAnsi="Times New Roman" w:cs="Times New Roman"/>
          <w:sz w:val="28"/>
          <w:szCs w:val="28"/>
        </w:rPr>
        <w:t>а</w:t>
      </w:r>
      <w:r w:rsidR="00410E02">
        <w:rPr>
          <w:rFonts w:ascii="Times New Roman" w:hAnsi="Times New Roman" w:cs="Times New Roman"/>
          <w:sz w:val="28"/>
          <w:szCs w:val="28"/>
        </w:rPr>
        <w:t xml:space="preserve">  </w:t>
      </w:r>
      <w:r w:rsidR="00C04761">
        <w:rPr>
          <w:rFonts w:ascii="Times New Roman" w:hAnsi="Times New Roman" w:cs="Times New Roman"/>
          <w:sz w:val="28"/>
          <w:szCs w:val="28"/>
        </w:rPr>
        <w:t>решени</w:t>
      </w:r>
      <w:r w:rsidR="003E3332">
        <w:rPr>
          <w:rFonts w:ascii="Times New Roman" w:hAnsi="Times New Roman" w:cs="Times New Roman"/>
          <w:sz w:val="28"/>
          <w:szCs w:val="28"/>
        </w:rPr>
        <w:t>я</w:t>
      </w:r>
      <w:r w:rsidR="00410E02">
        <w:rPr>
          <w:rFonts w:ascii="Times New Roman" w:hAnsi="Times New Roman" w:cs="Times New Roman"/>
          <w:sz w:val="28"/>
          <w:szCs w:val="28"/>
        </w:rPr>
        <w:t>м</w:t>
      </w:r>
      <w:r w:rsidR="003E3332">
        <w:rPr>
          <w:rFonts w:ascii="Times New Roman" w:hAnsi="Times New Roman" w:cs="Times New Roman"/>
          <w:sz w:val="28"/>
          <w:szCs w:val="28"/>
        </w:rPr>
        <w:t>и</w:t>
      </w:r>
      <w:r w:rsidR="00410E02">
        <w:rPr>
          <w:rFonts w:ascii="Times New Roman" w:hAnsi="Times New Roman" w:cs="Times New Roman"/>
          <w:sz w:val="28"/>
          <w:szCs w:val="28"/>
        </w:rPr>
        <w:t xml:space="preserve"> </w:t>
      </w:r>
      <w:r w:rsidR="00C77324">
        <w:rPr>
          <w:rFonts w:ascii="Times New Roman" w:hAnsi="Times New Roman" w:cs="Times New Roman"/>
          <w:sz w:val="28"/>
          <w:szCs w:val="28"/>
        </w:rPr>
        <w:t xml:space="preserve"> </w:t>
      </w:r>
      <w:r w:rsidR="00C04761">
        <w:rPr>
          <w:rFonts w:ascii="Times New Roman" w:hAnsi="Times New Roman" w:cs="Times New Roman"/>
          <w:sz w:val="28"/>
          <w:szCs w:val="28"/>
        </w:rPr>
        <w:t xml:space="preserve">Совета поселения от </w:t>
      </w:r>
      <w:r w:rsidR="003E3332">
        <w:rPr>
          <w:rFonts w:ascii="Times New Roman" w:hAnsi="Times New Roman" w:cs="Times New Roman"/>
          <w:sz w:val="28"/>
          <w:szCs w:val="28"/>
        </w:rPr>
        <w:t>11.01.201</w:t>
      </w:r>
      <w:r w:rsidR="008C0B7E">
        <w:rPr>
          <w:rFonts w:ascii="Times New Roman" w:hAnsi="Times New Roman" w:cs="Times New Roman"/>
          <w:sz w:val="28"/>
          <w:szCs w:val="28"/>
        </w:rPr>
        <w:t>9</w:t>
      </w:r>
      <w:r w:rsidR="003E3332">
        <w:rPr>
          <w:rFonts w:ascii="Times New Roman" w:hAnsi="Times New Roman" w:cs="Times New Roman"/>
          <w:sz w:val="28"/>
          <w:szCs w:val="28"/>
        </w:rPr>
        <w:t xml:space="preserve"> года №3</w:t>
      </w:r>
      <w:r w:rsidR="008C0B7E">
        <w:rPr>
          <w:rFonts w:ascii="Times New Roman" w:hAnsi="Times New Roman" w:cs="Times New Roman"/>
          <w:sz w:val="28"/>
          <w:szCs w:val="28"/>
        </w:rPr>
        <w:t>95</w:t>
      </w:r>
      <w:r w:rsidR="003E3332">
        <w:rPr>
          <w:rFonts w:ascii="Times New Roman" w:hAnsi="Times New Roman" w:cs="Times New Roman"/>
          <w:sz w:val="28"/>
          <w:szCs w:val="28"/>
        </w:rPr>
        <w:t xml:space="preserve">, от </w:t>
      </w:r>
      <w:r w:rsidR="008C0B7E">
        <w:rPr>
          <w:rFonts w:ascii="Times New Roman" w:hAnsi="Times New Roman" w:cs="Times New Roman"/>
          <w:sz w:val="28"/>
          <w:szCs w:val="28"/>
        </w:rPr>
        <w:t>27</w:t>
      </w:r>
      <w:r w:rsidR="003E3332">
        <w:rPr>
          <w:rFonts w:ascii="Times New Roman" w:hAnsi="Times New Roman" w:cs="Times New Roman"/>
          <w:sz w:val="28"/>
          <w:szCs w:val="28"/>
        </w:rPr>
        <w:t>.0</w:t>
      </w:r>
      <w:r w:rsidR="008C0B7E">
        <w:rPr>
          <w:rFonts w:ascii="Times New Roman" w:hAnsi="Times New Roman" w:cs="Times New Roman"/>
          <w:sz w:val="28"/>
          <w:szCs w:val="28"/>
        </w:rPr>
        <w:t>2</w:t>
      </w:r>
      <w:r w:rsidR="003E3332">
        <w:rPr>
          <w:rFonts w:ascii="Times New Roman" w:hAnsi="Times New Roman" w:cs="Times New Roman"/>
          <w:sz w:val="28"/>
          <w:szCs w:val="28"/>
        </w:rPr>
        <w:t>.201</w:t>
      </w:r>
      <w:r w:rsidR="008C0B7E">
        <w:rPr>
          <w:rFonts w:ascii="Times New Roman" w:hAnsi="Times New Roman" w:cs="Times New Roman"/>
          <w:sz w:val="28"/>
          <w:szCs w:val="28"/>
        </w:rPr>
        <w:t>9</w:t>
      </w:r>
      <w:r w:rsidR="003E333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C0B7E">
        <w:rPr>
          <w:rFonts w:ascii="Times New Roman" w:hAnsi="Times New Roman" w:cs="Times New Roman"/>
          <w:sz w:val="28"/>
          <w:szCs w:val="28"/>
        </w:rPr>
        <w:t>403</w:t>
      </w:r>
      <w:r w:rsidR="003E3332">
        <w:rPr>
          <w:rFonts w:ascii="Times New Roman" w:hAnsi="Times New Roman" w:cs="Times New Roman"/>
          <w:sz w:val="28"/>
          <w:szCs w:val="28"/>
        </w:rPr>
        <w:t xml:space="preserve">, от </w:t>
      </w:r>
      <w:r w:rsidR="008C0B7E">
        <w:rPr>
          <w:rFonts w:ascii="Times New Roman" w:hAnsi="Times New Roman" w:cs="Times New Roman"/>
          <w:sz w:val="28"/>
          <w:szCs w:val="28"/>
        </w:rPr>
        <w:t>24</w:t>
      </w:r>
      <w:r w:rsidR="003E3332">
        <w:rPr>
          <w:rFonts w:ascii="Times New Roman" w:hAnsi="Times New Roman" w:cs="Times New Roman"/>
          <w:sz w:val="28"/>
          <w:szCs w:val="28"/>
        </w:rPr>
        <w:t>.0</w:t>
      </w:r>
      <w:r w:rsidR="008C0B7E">
        <w:rPr>
          <w:rFonts w:ascii="Times New Roman" w:hAnsi="Times New Roman" w:cs="Times New Roman"/>
          <w:sz w:val="28"/>
          <w:szCs w:val="28"/>
        </w:rPr>
        <w:t>5</w:t>
      </w:r>
      <w:r w:rsidR="003E3332">
        <w:rPr>
          <w:rFonts w:ascii="Times New Roman" w:hAnsi="Times New Roman" w:cs="Times New Roman"/>
          <w:sz w:val="28"/>
          <w:szCs w:val="28"/>
        </w:rPr>
        <w:t>.201</w:t>
      </w:r>
      <w:r w:rsidR="008C0B7E">
        <w:rPr>
          <w:rFonts w:ascii="Times New Roman" w:hAnsi="Times New Roman" w:cs="Times New Roman"/>
          <w:sz w:val="28"/>
          <w:szCs w:val="28"/>
        </w:rPr>
        <w:t>9</w:t>
      </w:r>
      <w:r w:rsidR="003E33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0B7E">
        <w:rPr>
          <w:rFonts w:ascii="Times New Roman" w:hAnsi="Times New Roman" w:cs="Times New Roman"/>
          <w:sz w:val="28"/>
          <w:szCs w:val="28"/>
        </w:rPr>
        <w:t>410</w:t>
      </w:r>
      <w:r w:rsidR="003E3332">
        <w:rPr>
          <w:rFonts w:ascii="Times New Roman" w:hAnsi="Times New Roman" w:cs="Times New Roman"/>
          <w:sz w:val="28"/>
          <w:szCs w:val="28"/>
        </w:rPr>
        <w:t xml:space="preserve"> и </w:t>
      </w:r>
      <w:r w:rsidR="003E3332" w:rsidRPr="00AD1464">
        <w:rPr>
          <w:rFonts w:ascii="Times New Roman" w:hAnsi="Times New Roman" w:cs="Times New Roman"/>
          <w:sz w:val="28"/>
          <w:szCs w:val="28"/>
        </w:rPr>
        <w:t xml:space="preserve">от </w:t>
      </w:r>
      <w:r w:rsidR="008C0B7E">
        <w:rPr>
          <w:rFonts w:ascii="Times New Roman" w:hAnsi="Times New Roman" w:cs="Times New Roman"/>
          <w:sz w:val="28"/>
          <w:szCs w:val="28"/>
        </w:rPr>
        <w:t>1</w:t>
      </w:r>
      <w:r w:rsidR="003E3332" w:rsidRPr="00AD1464">
        <w:rPr>
          <w:rFonts w:ascii="Times New Roman" w:hAnsi="Times New Roman" w:cs="Times New Roman"/>
          <w:sz w:val="28"/>
          <w:szCs w:val="28"/>
        </w:rPr>
        <w:t xml:space="preserve"> </w:t>
      </w:r>
      <w:r w:rsidR="008C0B7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E3332" w:rsidRPr="00AD1464">
        <w:rPr>
          <w:rFonts w:ascii="Times New Roman" w:hAnsi="Times New Roman" w:cs="Times New Roman"/>
          <w:sz w:val="28"/>
          <w:szCs w:val="28"/>
        </w:rPr>
        <w:t xml:space="preserve"> 201</w:t>
      </w:r>
      <w:r w:rsidR="008C0B7E">
        <w:rPr>
          <w:rFonts w:ascii="Times New Roman" w:hAnsi="Times New Roman" w:cs="Times New Roman"/>
          <w:sz w:val="28"/>
          <w:szCs w:val="28"/>
        </w:rPr>
        <w:t>9</w:t>
      </w:r>
      <w:r w:rsidR="003E3332" w:rsidRPr="00AD146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C0B7E">
        <w:rPr>
          <w:rFonts w:ascii="Times New Roman" w:hAnsi="Times New Roman" w:cs="Times New Roman"/>
          <w:sz w:val="28"/>
          <w:szCs w:val="28"/>
        </w:rPr>
        <w:t>407</w:t>
      </w:r>
      <w:r w:rsidR="003E3332" w:rsidRPr="00AD1464">
        <w:rPr>
          <w:rFonts w:ascii="Times New Roman" w:hAnsi="Times New Roman" w:cs="Times New Roman"/>
          <w:sz w:val="28"/>
          <w:szCs w:val="28"/>
        </w:rPr>
        <w:t>.</w:t>
      </w:r>
    </w:p>
    <w:p w:rsidR="008C0B7E" w:rsidRPr="008C0B7E" w:rsidRDefault="00D60C6B" w:rsidP="008C0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</w:r>
      <w:r w:rsidR="008C0B7E" w:rsidRPr="008C0B7E">
        <w:rPr>
          <w:rFonts w:ascii="Times New Roman" w:hAnsi="Times New Roman" w:cs="Times New Roman"/>
          <w:sz w:val="28"/>
          <w:szCs w:val="28"/>
        </w:rPr>
        <w:t>Первоначально бюджет поселения Ботановское  на 2019  год утвержден  решением Совета поселения от 21 декабря 2018 года № 390 со  следующими параметрами:</w:t>
      </w:r>
    </w:p>
    <w:p w:rsidR="008C0B7E" w:rsidRPr="008C0B7E" w:rsidRDefault="008C0B7E" w:rsidP="008C0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7E">
        <w:rPr>
          <w:rFonts w:ascii="Times New Roman" w:hAnsi="Times New Roman" w:cs="Times New Roman"/>
          <w:sz w:val="28"/>
          <w:szCs w:val="28"/>
        </w:rPr>
        <w:tab/>
        <w:t>- объем доходов бюджета поселения – 3180,2тыс. рублей;</w:t>
      </w:r>
    </w:p>
    <w:p w:rsidR="008C0B7E" w:rsidRPr="008C0B7E" w:rsidRDefault="008C0B7E" w:rsidP="008C0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7E">
        <w:rPr>
          <w:rFonts w:ascii="Times New Roman" w:hAnsi="Times New Roman" w:cs="Times New Roman"/>
          <w:sz w:val="28"/>
          <w:szCs w:val="28"/>
        </w:rPr>
        <w:tab/>
        <w:t>- расходы бюджета поселения  - 3180,2 тыс. рублей;</w:t>
      </w:r>
    </w:p>
    <w:p w:rsidR="008C0B7E" w:rsidRPr="008C0B7E" w:rsidRDefault="008C0B7E" w:rsidP="008C0B7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7E">
        <w:rPr>
          <w:rFonts w:ascii="Times New Roman" w:hAnsi="Times New Roman" w:cs="Times New Roman"/>
          <w:sz w:val="28"/>
          <w:szCs w:val="28"/>
        </w:rPr>
        <w:t>- бюджет принят без дефицита.</w:t>
      </w:r>
    </w:p>
    <w:p w:rsidR="008C0B7E" w:rsidRPr="008C0B7E" w:rsidRDefault="008C0B7E" w:rsidP="008C0B7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B7E">
        <w:rPr>
          <w:rFonts w:ascii="Times New Roman" w:eastAsia="Times New Roman" w:hAnsi="Times New Roman" w:cs="Times New Roman"/>
          <w:sz w:val="28"/>
          <w:szCs w:val="28"/>
        </w:rPr>
        <w:t xml:space="preserve">С учетом поправок объем доходов бюджета поселения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4121,7</w:t>
      </w:r>
      <w:r w:rsidRPr="008C0B7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объем расходов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4191,9</w:t>
      </w:r>
      <w:r w:rsidRPr="008C0B7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бюджет сформирован с дефицитом в сумме 70,2 тыс. рублей.</w:t>
      </w:r>
    </w:p>
    <w:p w:rsidR="00D60C6B" w:rsidRPr="001342AD" w:rsidRDefault="00D60C6B" w:rsidP="008C0B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2AD">
        <w:rPr>
          <w:rFonts w:ascii="Times New Roman" w:hAnsi="Times New Roman" w:cs="Times New Roman"/>
          <w:sz w:val="28"/>
          <w:szCs w:val="28"/>
        </w:rPr>
        <w:tab/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По данным отчета об исполнении бюджета доходы составили </w:t>
      </w:r>
      <w:r w:rsidR="008C0B7E">
        <w:rPr>
          <w:rFonts w:ascii="Times New Roman" w:hAnsi="Times New Roman" w:cs="Times New Roman"/>
          <w:sz w:val="28"/>
          <w:szCs w:val="28"/>
        </w:rPr>
        <w:t>1787,2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8C0B7E">
        <w:rPr>
          <w:rFonts w:ascii="Times New Roman" w:hAnsi="Times New Roman" w:cs="Times New Roman"/>
          <w:sz w:val="28"/>
          <w:szCs w:val="28"/>
        </w:rPr>
        <w:t xml:space="preserve"> 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 </w:t>
      </w:r>
      <w:r w:rsidR="008C0B7E">
        <w:rPr>
          <w:rFonts w:ascii="Times New Roman" w:hAnsi="Times New Roman" w:cs="Times New Roman"/>
          <w:sz w:val="28"/>
          <w:szCs w:val="28"/>
        </w:rPr>
        <w:t>43,4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8C0B7E">
        <w:rPr>
          <w:rFonts w:ascii="Times New Roman" w:hAnsi="Times New Roman" w:cs="Times New Roman"/>
          <w:sz w:val="28"/>
          <w:szCs w:val="28"/>
        </w:rPr>
        <w:t>4121,7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 w:rsidR="008C0B7E">
        <w:rPr>
          <w:rFonts w:ascii="Times New Roman" w:hAnsi="Times New Roman" w:cs="Times New Roman"/>
          <w:sz w:val="28"/>
          <w:szCs w:val="28"/>
        </w:rPr>
        <w:t>1574,9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C0B7E">
        <w:rPr>
          <w:rFonts w:ascii="Times New Roman" w:hAnsi="Times New Roman" w:cs="Times New Roman"/>
          <w:sz w:val="28"/>
          <w:szCs w:val="28"/>
        </w:rPr>
        <w:t xml:space="preserve">37,6 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8C0B7E">
        <w:rPr>
          <w:rFonts w:ascii="Times New Roman" w:hAnsi="Times New Roman" w:cs="Times New Roman"/>
          <w:sz w:val="28"/>
          <w:szCs w:val="28"/>
        </w:rPr>
        <w:t>4191,9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C0B7E">
        <w:rPr>
          <w:rFonts w:ascii="Times New Roman" w:hAnsi="Times New Roman" w:cs="Times New Roman"/>
          <w:sz w:val="28"/>
          <w:szCs w:val="28"/>
        </w:rPr>
        <w:t>профицит составил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 – </w:t>
      </w:r>
      <w:r w:rsidR="008C0B7E">
        <w:rPr>
          <w:rFonts w:ascii="Times New Roman" w:hAnsi="Times New Roman" w:cs="Times New Roman"/>
          <w:sz w:val="28"/>
          <w:szCs w:val="28"/>
        </w:rPr>
        <w:t>212,3</w:t>
      </w:r>
      <w:r w:rsidR="008C0B7E" w:rsidRPr="0001473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1342A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C0B7E">
        <w:rPr>
          <w:rFonts w:ascii="Times New Roman" w:hAnsi="Times New Roman" w:cs="Times New Roman"/>
          <w:sz w:val="28"/>
          <w:szCs w:val="28"/>
        </w:rPr>
        <w:t>9</w:t>
      </w:r>
      <w:r w:rsidR="003E3332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8C0B7E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D60C6B" w:rsidRPr="0047258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586">
        <w:rPr>
          <w:rFonts w:ascii="Times New Roman" w:hAnsi="Times New Roman" w:cs="Times New Roman"/>
          <w:sz w:val="28"/>
          <w:szCs w:val="28"/>
        </w:rPr>
        <w:t xml:space="preserve">Таблица № 1 </w:t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</w:r>
      <w:r w:rsidRPr="00472586">
        <w:rPr>
          <w:rFonts w:ascii="Times New Roman" w:hAnsi="Times New Roman" w:cs="Times New Roman"/>
          <w:sz w:val="28"/>
          <w:szCs w:val="28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D60C6B" w:rsidRPr="00472586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60C6B" w:rsidRPr="00EE5089" w:rsidRDefault="00D60C6B" w:rsidP="008C0B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Исполнение за 1</w:t>
            </w:r>
            <w:r w:rsidR="001342AD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полугодии 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C0B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0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0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Отклонение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0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 от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5089"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0B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(гр.4 –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 2)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Отношение 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C0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0C6B"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года  к 1</w:t>
            </w:r>
          </w:p>
          <w:p w:rsidR="00D60C6B" w:rsidRPr="00EE5089" w:rsidRDefault="00EE5089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полугодию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C0B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года (%)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(гр. 4/</w:t>
            </w:r>
          </w:p>
          <w:p w:rsidR="00D60C6B" w:rsidRPr="00EE5089" w:rsidRDefault="00D60C6B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гр. 2)</w:t>
            </w:r>
          </w:p>
        </w:tc>
      </w:tr>
      <w:tr w:rsidR="00D60C6B" w:rsidRPr="005C2F87" w:rsidTr="00336BE2">
        <w:tc>
          <w:tcPr>
            <w:tcW w:w="1809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0C6B" w:rsidRPr="00EE5089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0B7E" w:rsidRPr="005C2F87" w:rsidTr="00336BE2">
        <w:tc>
          <w:tcPr>
            <w:tcW w:w="1809" w:type="dxa"/>
          </w:tcPr>
          <w:p w:rsidR="008C0B7E" w:rsidRPr="00EE5089" w:rsidRDefault="008C0B7E" w:rsidP="00336B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 xml:space="preserve">   Всего доходов</w:t>
            </w:r>
          </w:p>
        </w:tc>
        <w:tc>
          <w:tcPr>
            <w:tcW w:w="1276" w:type="dxa"/>
          </w:tcPr>
          <w:p w:rsidR="008C0B7E" w:rsidRPr="00EE5089" w:rsidRDefault="008C0B7E" w:rsidP="007A14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1615,4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4121,7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1787,2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276" w:type="dxa"/>
          </w:tcPr>
          <w:p w:rsidR="008C0B7E" w:rsidRPr="00EE5089" w:rsidRDefault="008C0B7E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1417" w:type="dxa"/>
          </w:tcPr>
          <w:p w:rsidR="008C0B7E" w:rsidRPr="00EE5089" w:rsidRDefault="008C0B7E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110,6</w:t>
            </w:r>
          </w:p>
        </w:tc>
      </w:tr>
      <w:tr w:rsidR="008C0B7E" w:rsidRPr="005C2F87" w:rsidTr="00336BE2">
        <w:tc>
          <w:tcPr>
            <w:tcW w:w="1809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8C0B7E" w:rsidRPr="00EE5089" w:rsidRDefault="008C0B7E" w:rsidP="007A14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1578,1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4191,9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1574,9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-3,2</w:t>
            </w:r>
          </w:p>
        </w:tc>
        <w:tc>
          <w:tcPr>
            <w:tcW w:w="1417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8C0B7E" w:rsidRPr="005C2F87" w:rsidTr="00336BE2">
        <w:tc>
          <w:tcPr>
            <w:tcW w:w="1809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Дефицит (-),</w:t>
            </w:r>
          </w:p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89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8C0B7E" w:rsidRPr="00EE5089" w:rsidRDefault="008C0B7E" w:rsidP="007A141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276" w:type="dxa"/>
          </w:tcPr>
          <w:p w:rsidR="008C0B7E" w:rsidRPr="00EE5089" w:rsidRDefault="008C0B7E" w:rsidP="008C0B7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-70,2</w:t>
            </w:r>
          </w:p>
        </w:tc>
        <w:tc>
          <w:tcPr>
            <w:tcW w:w="1276" w:type="dxa"/>
          </w:tcPr>
          <w:p w:rsidR="008C0B7E" w:rsidRPr="00EE5089" w:rsidRDefault="008C0B7E" w:rsidP="00EE508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212,3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1417" w:type="dxa"/>
          </w:tcPr>
          <w:p w:rsidR="008C0B7E" w:rsidRPr="00EE5089" w:rsidRDefault="008C0B7E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Default="00D60C6B" w:rsidP="004E28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По сравнению с 1 </w:t>
      </w:r>
      <w:r w:rsidR="008B125A">
        <w:rPr>
          <w:rFonts w:ascii="Times New Roman" w:hAnsi="Times New Roman" w:cs="Times New Roman"/>
          <w:sz w:val="28"/>
          <w:szCs w:val="28"/>
        </w:rPr>
        <w:t>полугодием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C0B7E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651122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651122">
        <w:rPr>
          <w:rFonts w:ascii="Times New Roman" w:hAnsi="Times New Roman" w:cs="Times New Roman"/>
          <w:sz w:val="28"/>
          <w:szCs w:val="28"/>
        </w:rPr>
        <w:t>171,8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51122">
        <w:rPr>
          <w:rFonts w:ascii="Times New Roman" w:hAnsi="Times New Roman" w:cs="Times New Roman"/>
          <w:sz w:val="28"/>
          <w:szCs w:val="28"/>
        </w:rPr>
        <w:t>10,6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расходы </w:t>
      </w:r>
      <w:r w:rsidR="003E3332">
        <w:rPr>
          <w:rFonts w:ascii="Times New Roman" w:hAnsi="Times New Roman" w:cs="Times New Roman"/>
          <w:sz w:val="28"/>
          <w:szCs w:val="28"/>
        </w:rPr>
        <w:t>снизились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651122">
        <w:rPr>
          <w:rFonts w:ascii="Times New Roman" w:hAnsi="Times New Roman" w:cs="Times New Roman"/>
          <w:sz w:val="28"/>
          <w:szCs w:val="28"/>
        </w:rPr>
        <w:t>3,2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651122">
        <w:rPr>
          <w:rFonts w:ascii="Times New Roman" w:hAnsi="Times New Roman" w:cs="Times New Roman"/>
          <w:sz w:val="28"/>
          <w:szCs w:val="28"/>
        </w:rPr>
        <w:t>0,2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за 1 </w:t>
      </w:r>
      <w:r w:rsidR="008B125A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51122">
        <w:rPr>
          <w:rFonts w:ascii="Times New Roman" w:hAnsi="Times New Roman" w:cs="Times New Roman"/>
          <w:sz w:val="28"/>
          <w:szCs w:val="28"/>
        </w:rPr>
        <w:t>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3E3332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651122">
        <w:rPr>
          <w:rFonts w:ascii="Times New Roman" w:hAnsi="Times New Roman" w:cs="Times New Roman"/>
          <w:sz w:val="28"/>
          <w:szCs w:val="28"/>
        </w:rPr>
        <w:t>212,3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</w:t>
      </w:r>
      <w:r w:rsidR="00651122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C2F87">
        <w:rPr>
          <w:rFonts w:ascii="Times New Roman" w:hAnsi="Times New Roman" w:cs="Times New Roman"/>
          <w:sz w:val="28"/>
          <w:szCs w:val="28"/>
        </w:rPr>
        <w:lastRenderedPageBreak/>
        <w:t xml:space="preserve">бюджет исполнен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51122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51122">
        <w:rPr>
          <w:rFonts w:ascii="Times New Roman" w:hAnsi="Times New Roman" w:cs="Times New Roman"/>
          <w:sz w:val="28"/>
          <w:szCs w:val="28"/>
        </w:rPr>
        <w:t>37,3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3E3332">
        <w:rPr>
          <w:rFonts w:ascii="Times New Roman" w:hAnsi="Times New Roman" w:cs="Times New Roman"/>
          <w:sz w:val="28"/>
          <w:szCs w:val="28"/>
        </w:rPr>
        <w:t xml:space="preserve"> </w:t>
      </w:r>
      <w:r w:rsidR="004D0A51">
        <w:rPr>
          <w:rFonts w:ascii="Times New Roman" w:hAnsi="Times New Roman" w:cs="Times New Roman"/>
          <w:sz w:val="28"/>
          <w:szCs w:val="28"/>
        </w:rPr>
        <w:t xml:space="preserve"> </w:t>
      </w:r>
      <w:r w:rsidR="00651122">
        <w:rPr>
          <w:rFonts w:ascii="Times New Roman" w:hAnsi="Times New Roman" w:cs="Times New Roman"/>
          <w:sz w:val="28"/>
          <w:szCs w:val="28"/>
        </w:rPr>
        <w:t xml:space="preserve">Увеличение объемов доходов связано с </w:t>
      </w:r>
      <w:r w:rsidR="004E2883">
        <w:rPr>
          <w:rFonts w:ascii="Times New Roman" w:hAnsi="Times New Roman" w:cs="Times New Roman"/>
          <w:sz w:val="28"/>
          <w:szCs w:val="28"/>
        </w:rPr>
        <w:t>увеличением объема безвозмездных  поступлений.</w:t>
      </w:r>
    </w:p>
    <w:p w:rsidR="004E2883" w:rsidRPr="005C2F87" w:rsidRDefault="004E2883" w:rsidP="004E28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3678" w:rsidRPr="00C33678" w:rsidRDefault="00D60C6B" w:rsidP="00EB1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ab/>
        <w:t xml:space="preserve"> Доходная часть 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 201</w:t>
      </w:r>
      <w:r w:rsidR="004E2883">
        <w:rPr>
          <w:rFonts w:ascii="Times New Roman" w:hAnsi="Times New Roman" w:cs="Times New Roman"/>
          <w:sz w:val="28"/>
          <w:szCs w:val="28"/>
        </w:rPr>
        <w:t xml:space="preserve">9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году  по сравнению с первоначально утвержденными показателями изменена на основании </w:t>
      </w:r>
      <w:r w:rsidR="004D0A51">
        <w:rPr>
          <w:rFonts w:ascii="Times New Roman" w:hAnsi="Times New Roman" w:cs="Times New Roman"/>
          <w:sz w:val="28"/>
          <w:szCs w:val="28"/>
        </w:rPr>
        <w:t xml:space="preserve"> ранее 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D0A51">
        <w:rPr>
          <w:rFonts w:ascii="Times New Roman" w:hAnsi="Times New Roman" w:cs="Times New Roman"/>
          <w:sz w:val="28"/>
          <w:szCs w:val="28"/>
        </w:rPr>
        <w:t>й</w:t>
      </w:r>
      <w:r w:rsidR="00C33678" w:rsidRPr="00C33678">
        <w:rPr>
          <w:rFonts w:ascii="Times New Roman" w:hAnsi="Times New Roman" w:cs="Times New Roman"/>
          <w:sz w:val="28"/>
          <w:szCs w:val="28"/>
        </w:rPr>
        <w:t xml:space="preserve"> </w:t>
      </w:r>
      <w:r w:rsidR="00C33678">
        <w:rPr>
          <w:rFonts w:ascii="Times New Roman" w:hAnsi="Times New Roman" w:cs="Times New Roman"/>
          <w:sz w:val="28"/>
          <w:szCs w:val="28"/>
        </w:rPr>
        <w:t>Совета поселения Ботановское</w:t>
      </w:r>
      <w:r w:rsidR="004D0A51">
        <w:rPr>
          <w:rFonts w:ascii="Times New Roman" w:hAnsi="Times New Roman" w:cs="Times New Roman"/>
          <w:sz w:val="28"/>
          <w:szCs w:val="28"/>
        </w:rPr>
        <w:t>.</w:t>
      </w:r>
    </w:p>
    <w:p w:rsidR="00C3200D" w:rsidRPr="00336BE2" w:rsidRDefault="00D60C6B" w:rsidP="00336BE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DDE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доходам за 1 </w:t>
      </w:r>
      <w:r w:rsidR="00336BE2">
        <w:rPr>
          <w:rFonts w:ascii="Times New Roman" w:hAnsi="Times New Roman" w:cs="Times New Roman"/>
          <w:sz w:val="28"/>
          <w:szCs w:val="28"/>
        </w:rPr>
        <w:t>полугоди</w:t>
      </w:r>
      <w:r w:rsidR="00C3200D">
        <w:rPr>
          <w:rFonts w:ascii="Times New Roman" w:hAnsi="Times New Roman" w:cs="Times New Roman"/>
          <w:sz w:val="28"/>
          <w:szCs w:val="28"/>
        </w:rPr>
        <w:t>е</w:t>
      </w:r>
      <w:r w:rsidRPr="00E75992">
        <w:rPr>
          <w:rFonts w:ascii="Times New Roman" w:hAnsi="Times New Roman" w:cs="Times New Roman"/>
          <w:sz w:val="28"/>
          <w:szCs w:val="28"/>
        </w:rPr>
        <w:t xml:space="preserve">  20</w:t>
      </w:r>
      <w:r w:rsidR="00EB1E3F">
        <w:rPr>
          <w:rFonts w:ascii="Times New Roman" w:hAnsi="Times New Roman" w:cs="Times New Roman"/>
          <w:sz w:val="28"/>
          <w:szCs w:val="28"/>
        </w:rPr>
        <w:t>1</w:t>
      </w:r>
      <w:r w:rsidR="004E2883">
        <w:rPr>
          <w:rFonts w:ascii="Times New Roman" w:hAnsi="Times New Roman" w:cs="Times New Roman"/>
          <w:sz w:val="28"/>
          <w:szCs w:val="28"/>
        </w:rPr>
        <w:t>9</w:t>
      </w:r>
      <w:r w:rsidRPr="00E75992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  <w:r w:rsidRPr="00E75992">
        <w:rPr>
          <w:rFonts w:ascii="Times New Roman" w:hAnsi="Times New Roman" w:cs="Times New Roman"/>
          <w:sz w:val="28"/>
          <w:szCs w:val="28"/>
        </w:rPr>
        <w:tab/>
      </w:r>
    </w:p>
    <w:p w:rsidR="00336BE2" w:rsidRPr="00336BE2" w:rsidRDefault="00336BE2" w:rsidP="00336B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BE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336BE2">
        <w:rPr>
          <w:rFonts w:ascii="Times New Roman" w:eastAsia="Times New Roman" w:hAnsi="Times New Roman" w:cs="Times New Roman"/>
        </w:rPr>
        <w:t xml:space="preserve">Таблица № 2                   </w:t>
      </w:r>
      <w:r w:rsidRPr="00336BE2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336BE2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336BE2" w:rsidRPr="00336BE2" w:rsidRDefault="00336BE2" w:rsidP="004E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4E288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336BE2" w:rsidRPr="00336BE2" w:rsidRDefault="00336BE2" w:rsidP="004E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за 1 полугодие 201</w:t>
            </w:r>
            <w:r w:rsidR="004E288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36BE2" w:rsidRPr="00336BE2" w:rsidRDefault="00336BE2" w:rsidP="004E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4E288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336BE2" w:rsidRPr="00336BE2" w:rsidRDefault="00336BE2" w:rsidP="004E2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за 1 полугоди</w:t>
            </w:r>
            <w:r w:rsidR="00C371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E288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</w:t>
            </w:r>
            <w:r w:rsidR="00EB1E3F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полугодия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E28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года от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полугодия</w:t>
            </w:r>
          </w:p>
          <w:p w:rsidR="00336BE2" w:rsidRPr="00336BE2" w:rsidRDefault="00336BE2" w:rsidP="004E2883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E28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336BE2" w:rsidRPr="00336BE2" w:rsidRDefault="00336BE2" w:rsidP="003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полугодия</w:t>
            </w:r>
          </w:p>
          <w:p w:rsidR="00336BE2" w:rsidRPr="00336BE2" w:rsidRDefault="00336BE2" w:rsidP="00336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E288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4D0A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6BE2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  <w:p w:rsidR="00336BE2" w:rsidRPr="00336BE2" w:rsidRDefault="00336BE2" w:rsidP="00336BE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6BE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531,0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191,0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646,0</w:t>
            </w:r>
          </w:p>
        </w:tc>
        <w:tc>
          <w:tcPr>
            <w:tcW w:w="851" w:type="dxa"/>
          </w:tcPr>
          <w:p w:rsidR="004E2883" w:rsidRPr="00336BE2" w:rsidRDefault="004A7D8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202,1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105,8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налог на имущество физлиц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-12,8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118,1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4E2883" w:rsidRPr="00336BE2" w:rsidRDefault="004E2883" w:rsidP="004E2883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E2883" w:rsidRPr="00336BE2" w:rsidRDefault="00680AE6" w:rsidP="0086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170,8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110,2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248,0</w:t>
            </w:r>
          </w:p>
        </w:tc>
        <w:tc>
          <w:tcPr>
            <w:tcW w:w="851" w:type="dxa"/>
          </w:tcPr>
          <w:p w:rsidR="004E2883" w:rsidRPr="00336BE2" w:rsidRDefault="004A7D8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-153,5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10,1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125,9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-59,5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</w:tcPr>
          <w:p w:rsidR="004E2883" w:rsidRPr="00336BE2" w:rsidRDefault="004A7D81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доходы  от компенсации затрат бюджетов сельских поселений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2883" w:rsidRPr="00336BE2" w:rsidRDefault="004A7D81" w:rsidP="00F514A1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-94,0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686,0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361,8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52,7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894,0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219,4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-142,4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60,6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2646,0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1253,6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3227,7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1567,8</w:t>
            </w:r>
          </w:p>
        </w:tc>
        <w:tc>
          <w:tcPr>
            <w:tcW w:w="850" w:type="dxa"/>
          </w:tcPr>
          <w:p w:rsidR="004E2883" w:rsidRPr="00336BE2" w:rsidRDefault="00680AE6" w:rsidP="0070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314,2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125,1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1998,1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1010,5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2030,4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1027,9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481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субсидии 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254,9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690,1</w:t>
            </w:r>
          </w:p>
        </w:tc>
        <w:tc>
          <w:tcPr>
            <w:tcW w:w="851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333,8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258,8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4,45 раза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256,9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310,7</w:t>
            </w:r>
          </w:p>
        </w:tc>
        <w:tc>
          <w:tcPr>
            <w:tcW w:w="851" w:type="dxa"/>
          </w:tcPr>
          <w:p w:rsidR="004E2883" w:rsidRPr="00336BE2" w:rsidRDefault="004A7D8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1,8 раза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прочие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4E2883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0" w:type="dxa"/>
          </w:tcPr>
          <w:p w:rsidR="004E2883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1" w:type="dxa"/>
          </w:tcPr>
          <w:p w:rsidR="004E2883" w:rsidRPr="00336BE2" w:rsidRDefault="004A7D8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-27,0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4E2883" w:rsidRPr="00336BE2" w:rsidTr="00336BE2">
        <w:trPr>
          <w:gridAfter w:val="1"/>
          <w:wAfter w:w="236" w:type="dxa"/>
        </w:trPr>
        <w:tc>
          <w:tcPr>
            <w:tcW w:w="2802" w:type="dxa"/>
          </w:tcPr>
          <w:p w:rsidR="004E2883" w:rsidRDefault="004E2883" w:rsidP="00865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6C015C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5940">
              <w:rPr>
                <w:rFonts w:ascii="Times New Roman" w:hAnsi="Times New Roman" w:cs="Times New Roman"/>
                <w:sz w:val="24"/>
                <w:szCs w:val="24"/>
              </w:rPr>
              <w:t>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4E2883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E2883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E2883" w:rsidRDefault="004E2883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2883" w:rsidRDefault="004A7D8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850" w:type="dxa"/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2883" w:rsidRPr="00336BE2" w:rsidTr="00336BE2">
        <w:trPr>
          <w:trHeight w:val="309"/>
        </w:trPr>
        <w:tc>
          <w:tcPr>
            <w:tcW w:w="2802" w:type="dxa"/>
          </w:tcPr>
          <w:p w:rsidR="004E2883" w:rsidRPr="00336BE2" w:rsidRDefault="004E2883" w:rsidP="0033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BE2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3332,0</w:t>
            </w:r>
          </w:p>
        </w:tc>
        <w:tc>
          <w:tcPr>
            <w:tcW w:w="992" w:type="dxa"/>
          </w:tcPr>
          <w:p w:rsidR="004E2883" w:rsidRPr="00336BE2" w:rsidRDefault="004E2883" w:rsidP="007A14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1615,4</w:t>
            </w:r>
          </w:p>
        </w:tc>
        <w:tc>
          <w:tcPr>
            <w:tcW w:w="709" w:type="dxa"/>
          </w:tcPr>
          <w:p w:rsidR="004E2883" w:rsidRPr="00336BE2" w:rsidRDefault="004E2883" w:rsidP="007A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850" w:type="dxa"/>
          </w:tcPr>
          <w:p w:rsidR="004E2883" w:rsidRPr="00336BE2" w:rsidRDefault="004E2883" w:rsidP="00F514A1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4121,7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E2883" w:rsidRPr="00336BE2" w:rsidRDefault="004A7D81" w:rsidP="00F51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1787,2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4E2883" w:rsidRPr="00336BE2" w:rsidRDefault="00680AE6" w:rsidP="00F5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4E2883" w:rsidRPr="00336BE2" w:rsidRDefault="00680AE6" w:rsidP="000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E2883" w:rsidRPr="00336BE2" w:rsidRDefault="004E2883" w:rsidP="00336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36BE2" w:rsidRPr="00336BE2" w:rsidRDefault="00336BE2" w:rsidP="00336B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A18" w:rsidRPr="00975A18" w:rsidRDefault="00D60C6B" w:rsidP="00C3367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320EA3">
        <w:rPr>
          <w:rFonts w:ascii="Times New Roman" w:hAnsi="Times New Roman" w:cs="Times New Roman"/>
          <w:sz w:val="28"/>
          <w:szCs w:val="28"/>
        </w:rPr>
        <w:t>219,4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0EA3">
        <w:rPr>
          <w:rFonts w:ascii="Times New Roman" w:hAnsi="Times New Roman" w:cs="Times New Roman"/>
          <w:sz w:val="28"/>
          <w:szCs w:val="28"/>
        </w:rPr>
        <w:t>24,5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320EA3">
        <w:rPr>
          <w:rFonts w:ascii="Times New Roman" w:hAnsi="Times New Roman" w:cs="Times New Roman"/>
          <w:sz w:val="28"/>
          <w:szCs w:val="28"/>
        </w:rPr>
        <w:t>894,0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BC0AC4">
        <w:rPr>
          <w:rFonts w:ascii="Times New Roman" w:hAnsi="Times New Roman" w:cs="Times New Roman"/>
          <w:sz w:val="28"/>
          <w:szCs w:val="28"/>
        </w:rPr>
        <w:t>полугодием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 201</w:t>
      </w:r>
      <w:r w:rsidR="00320EA3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у</w:t>
      </w:r>
      <w:r w:rsidR="00320EA3"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   </w:t>
      </w:r>
      <w:r w:rsidR="00320EA3">
        <w:rPr>
          <w:rFonts w:ascii="Times New Roman" w:hAnsi="Times New Roman" w:cs="Times New Roman"/>
          <w:sz w:val="28"/>
          <w:szCs w:val="28"/>
        </w:rPr>
        <w:t>142,4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20EA3">
        <w:rPr>
          <w:rFonts w:ascii="Times New Roman" w:hAnsi="Times New Roman" w:cs="Times New Roman"/>
          <w:sz w:val="28"/>
          <w:szCs w:val="28"/>
        </w:rPr>
        <w:t>на 39,4 процента.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3DC" w:rsidRDefault="00052ED3" w:rsidP="00975A1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0EA3">
        <w:rPr>
          <w:rFonts w:ascii="Times New Roman" w:hAnsi="Times New Roman" w:cs="Times New Roman"/>
          <w:sz w:val="28"/>
          <w:szCs w:val="28"/>
        </w:rPr>
        <w:t xml:space="preserve">меньшение 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34CF1">
        <w:rPr>
          <w:rFonts w:ascii="Times New Roman" w:hAnsi="Times New Roman" w:cs="Times New Roman"/>
          <w:sz w:val="28"/>
          <w:szCs w:val="28"/>
        </w:rPr>
        <w:t xml:space="preserve"> 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связано с</w:t>
      </w:r>
      <w:r w:rsidR="00320EA3">
        <w:rPr>
          <w:rFonts w:ascii="Times New Roman" w:hAnsi="Times New Roman" w:cs="Times New Roman"/>
          <w:sz w:val="28"/>
          <w:szCs w:val="28"/>
        </w:rPr>
        <w:t xml:space="preserve">о значительным снижением в 2019 году поступлений неналоговых доходов, </w:t>
      </w:r>
      <w:r w:rsidR="00975A18" w:rsidRPr="00975A18">
        <w:rPr>
          <w:rFonts w:ascii="Times New Roman" w:hAnsi="Times New Roman" w:cs="Times New Roman"/>
          <w:sz w:val="28"/>
          <w:szCs w:val="28"/>
        </w:rPr>
        <w:t xml:space="preserve"> </w:t>
      </w:r>
      <w:r w:rsidR="00320EA3">
        <w:rPr>
          <w:rFonts w:ascii="Times New Roman" w:hAnsi="Times New Roman" w:cs="Times New Roman"/>
          <w:sz w:val="28"/>
          <w:szCs w:val="28"/>
        </w:rPr>
        <w:t xml:space="preserve"> на 59,5 тыс. рублей снизились  доходы от сдачи в аренду имущества (в 2018 году поступала дебиторская задолженность за прошлые годы)</w:t>
      </w:r>
      <w:r w:rsidR="009066DF">
        <w:rPr>
          <w:rFonts w:ascii="Times New Roman" w:hAnsi="Times New Roman" w:cs="Times New Roman"/>
          <w:sz w:val="28"/>
          <w:szCs w:val="28"/>
        </w:rPr>
        <w:t xml:space="preserve">, </w:t>
      </w:r>
      <w:r w:rsidR="00320EA3">
        <w:rPr>
          <w:rFonts w:ascii="Times New Roman" w:hAnsi="Times New Roman" w:cs="Times New Roman"/>
          <w:sz w:val="28"/>
          <w:szCs w:val="28"/>
        </w:rPr>
        <w:t xml:space="preserve">не поступали доходы от </w:t>
      </w:r>
      <w:r w:rsidR="00B45305">
        <w:rPr>
          <w:rFonts w:ascii="Times New Roman" w:hAnsi="Times New Roman" w:cs="Times New Roman"/>
          <w:sz w:val="28"/>
          <w:szCs w:val="28"/>
        </w:rPr>
        <w:t>компе</w:t>
      </w:r>
      <w:r w:rsidR="00320EA3">
        <w:rPr>
          <w:rFonts w:ascii="Times New Roman" w:hAnsi="Times New Roman" w:cs="Times New Roman"/>
          <w:sz w:val="28"/>
          <w:szCs w:val="28"/>
        </w:rPr>
        <w:t>нсации затрат бюджета поселения, как это было в 2018 году.</w:t>
      </w:r>
    </w:p>
    <w:p w:rsidR="00C063DC" w:rsidRPr="00C063DC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1 полугоди</w:t>
      </w:r>
      <w:r w:rsidR="004A3283">
        <w:rPr>
          <w:rFonts w:ascii="Times New Roman" w:hAnsi="Times New Roman" w:cs="Times New Roman"/>
          <w:sz w:val="28"/>
          <w:szCs w:val="28"/>
        </w:rPr>
        <w:t>ем</w:t>
      </w:r>
      <w:r w:rsidRPr="00C063DC">
        <w:rPr>
          <w:rFonts w:ascii="Times New Roman" w:hAnsi="Times New Roman" w:cs="Times New Roman"/>
          <w:sz w:val="28"/>
          <w:szCs w:val="28"/>
        </w:rPr>
        <w:t xml:space="preserve"> 20</w:t>
      </w:r>
      <w:r w:rsidR="00320EA3">
        <w:rPr>
          <w:rFonts w:ascii="Times New Roman" w:hAnsi="Times New Roman" w:cs="Times New Roman"/>
          <w:sz w:val="28"/>
          <w:szCs w:val="28"/>
        </w:rPr>
        <w:t>18</w:t>
      </w:r>
      <w:r w:rsidR="009066DF">
        <w:rPr>
          <w:rFonts w:ascii="Times New Roman" w:hAnsi="Times New Roman" w:cs="Times New Roman"/>
          <w:sz w:val="28"/>
          <w:szCs w:val="28"/>
        </w:rPr>
        <w:t xml:space="preserve"> </w:t>
      </w:r>
      <w:r w:rsidR="004F749B">
        <w:rPr>
          <w:rFonts w:ascii="Times New Roman" w:hAnsi="Times New Roman" w:cs="Times New Roman"/>
          <w:sz w:val="28"/>
          <w:szCs w:val="28"/>
        </w:rPr>
        <w:t xml:space="preserve"> </w:t>
      </w:r>
      <w:r w:rsidRPr="00C063DC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</w:p>
    <w:p w:rsidR="003F4D42" w:rsidRDefault="00C063DC" w:rsidP="00C063DC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тыс. руб.   </w:t>
      </w:r>
    </w:p>
    <w:p w:rsidR="00C063DC" w:rsidRPr="005C2F87" w:rsidRDefault="00BF52E1" w:rsidP="003F4D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5BB7A3" wp14:editId="00306C32">
            <wp:extent cx="6119495" cy="2969746"/>
            <wp:effectExtent l="0" t="0" r="14605" b="215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9D6" w:rsidRDefault="00E669D6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68B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FC168B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BF52E1">
        <w:rPr>
          <w:rFonts w:ascii="Times New Roman" w:hAnsi="Times New Roman" w:cs="Times New Roman"/>
          <w:sz w:val="28"/>
          <w:szCs w:val="28"/>
        </w:rPr>
        <w:t>202,1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FC168B">
        <w:rPr>
          <w:rFonts w:ascii="Times New Roman" w:hAnsi="Times New Roman" w:cs="Times New Roman"/>
          <w:sz w:val="28"/>
          <w:szCs w:val="28"/>
        </w:rPr>
        <w:br/>
      </w:r>
      <w:r w:rsidR="00BF52E1">
        <w:rPr>
          <w:rFonts w:ascii="Times New Roman" w:hAnsi="Times New Roman" w:cs="Times New Roman"/>
          <w:sz w:val="28"/>
          <w:szCs w:val="28"/>
        </w:rPr>
        <w:t>31,1</w:t>
      </w:r>
      <w:r w:rsidRPr="00FC168B">
        <w:rPr>
          <w:rFonts w:ascii="Times New Roman" w:hAnsi="Times New Roman" w:cs="Times New Roman"/>
          <w:sz w:val="28"/>
          <w:szCs w:val="28"/>
        </w:rPr>
        <w:t xml:space="preserve"> % к плановым назначениям в сумме </w:t>
      </w:r>
      <w:r w:rsidR="00BF52E1">
        <w:rPr>
          <w:rFonts w:ascii="Times New Roman" w:hAnsi="Times New Roman" w:cs="Times New Roman"/>
          <w:sz w:val="28"/>
          <w:szCs w:val="28"/>
        </w:rPr>
        <w:t>646,0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рублей. К уровню </w:t>
      </w:r>
      <w:r w:rsidRPr="00FC168B">
        <w:rPr>
          <w:rFonts w:ascii="Times New Roman" w:hAnsi="Times New Roman" w:cs="Times New Roman"/>
          <w:sz w:val="28"/>
          <w:szCs w:val="28"/>
        </w:rPr>
        <w:br/>
        <w:t xml:space="preserve">1 </w:t>
      </w:r>
      <w:r w:rsidR="00BC0AC4" w:rsidRPr="00FC168B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FC168B">
        <w:rPr>
          <w:rFonts w:ascii="Times New Roman" w:hAnsi="Times New Roman" w:cs="Times New Roman"/>
          <w:sz w:val="28"/>
          <w:szCs w:val="28"/>
        </w:rPr>
        <w:t xml:space="preserve"> 201</w:t>
      </w:r>
      <w:r w:rsidR="00BF52E1">
        <w:rPr>
          <w:rFonts w:ascii="Times New Roman" w:hAnsi="Times New Roman" w:cs="Times New Roman"/>
          <w:sz w:val="28"/>
          <w:szCs w:val="28"/>
        </w:rPr>
        <w:t>8</w:t>
      </w:r>
      <w:r w:rsidRPr="00FC168B">
        <w:rPr>
          <w:rFonts w:ascii="Times New Roman" w:hAnsi="Times New Roman" w:cs="Times New Roman"/>
          <w:sz w:val="28"/>
          <w:szCs w:val="28"/>
        </w:rPr>
        <w:t xml:space="preserve"> года налоговые доходы </w:t>
      </w:r>
      <w:r w:rsidR="002E6E57">
        <w:rPr>
          <w:rFonts w:ascii="Times New Roman" w:hAnsi="Times New Roman" w:cs="Times New Roman"/>
          <w:sz w:val="28"/>
          <w:szCs w:val="28"/>
        </w:rPr>
        <w:t>увеличились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на </w:t>
      </w:r>
      <w:r w:rsidR="00BF52E1">
        <w:rPr>
          <w:rFonts w:ascii="Times New Roman" w:hAnsi="Times New Roman" w:cs="Times New Roman"/>
          <w:sz w:val="28"/>
          <w:szCs w:val="28"/>
        </w:rPr>
        <w:t>11,1</w:t>
      </w:r>
      <w:r w:rsidRPr="00FC168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52E1">
        <w:rPr>
          <w:rFonts w:ascii="Times New Roman" w:hAnsi="Times New Roman" w:cs="Times New Roman"/>
          <w:sz w:val="28"/>
          <w:szCs w:val="28"/>
        </w:rPr>
        <w:t>5,8</w:t>
      </w:r>
      <w:r w:rsidRPr="00FC168B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поселения </w:t>
      </w:r>
      <w:r w:rsidR="00BB0C0E">
        <w:rPr>
          <w:rFonts w:ascii="Times New Roman" w:hAnsi="Times New Roman" w:cs="Times New Roman"/>
          <w:sz w:val="28"/>
          <w:szCs w:val="28"/>
        </w:rPr>
        <w:t>снизилась</w:t>
      </w:r>
      <w:r w:rsidRPr="00FC168B">
        <w:rPr>
          <w:rFonts w:ascii="Times New Roman" w:hAnsi="Times New Roman" w:cs="Times New Roman"/>
          <w:sz w:val="28"/>
          <w:szCs w:val="28"/>
        </w:rPr>
        <w:t xml:space="preserve"> на </w:t>
      </w:r>
      <w:r w:rsidR="00BB0C0E">
        <w:rPr>
          <w:rFonts w:ascii="Times New Roman" w:hAnsi="Times New Roman" w:cs="Times New Roman"/>
          <w:sz w:val="28"/>
          <w:szCs w:val="28"/>
        </w:rPr>
        <w:t>0,5</w:t>
      </w:r>
      <w:r w:rsidRPr="00FC168B">
        <w:rPr>
          <w:rFonts w:ascii="Times New Roman" w:hAnsi="Times New Roman" w:cs="Times New Roman"/>
          <w:sz w:val="28"/>
          <w:szCs w:val="28"/>
        </w:rPr>
        <w:t xml:space="preserve">  процентных пункта и составила </w:t>
      </w:r>
      <w:r w:rsidR="00AC56A2">
        <w:rPr>
          <w:rFonts w:ascii="Times New Roman" w:hAnsi="Times New Roman" w:cs="Times New Roman"/>
          <w:sz w:val="28"/>
          <w:szCs w:val="28"/>
        </w:rPr>
        <w:t>11,</w:t>
      </w:r>
      <w:r w:rsidR="00BB0C0E">
        <w:rPr>
          <w:rFonts w:ascii="Times New Roman" w:hAnsi="Times New Roman" w:cs="Times New Roman"/>
          <w:sz w:val="28"/>
          <w:szCs w:val="28"/>
        </w:rPr>
        <w:t>3</w:t>
      </w:r>
      <w:r w:rsidRPr="00FC168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05800" w:rsidRDefault="00205800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800" w:rsidRPr="00FC168B" w:rsidRDefault="00205800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отчетном периоде основным источником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являлся </w:t>
      </w:r>
      <w:r>
        <w:rPr>
          <w:rFonts w:ascii="Times New Roman" w:hAnsi="Times New Roman" w:cs="Times New Roman"/>
          <w:sz w:val="28"/>
          <w:szCs w:val="28"/>
        </w:rPr>
        <w:t xml:space="preserve"> земельный </w:t>
      </w:r>
      <w:r w:rsidRPr="005C2F8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 доля которого в налоговых доходах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1 </w:t>
      </w:r>
      <w:r w:rsidR="00BC0AC4">
        <w:rPr>
          <w:rFonts w:ascii="Times New Roman" w:hAnsi="Times New Roman" w:cs="Times New Roman"/>
          <w:sz w:val="28"/>
          <w:szCs w:val="28"/>
        </w:rPr>
        <w:t>полугодием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A141D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56A2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4670E4">
        <w:rPr>
          <w:rFonts w:ascii="Times New Roman" w:hAnsi="Times New Roman" w:cs="Times New Roman"/>
          <w:sz w:val="28"/>
          <w:szCs w:val="28"/>
        </w:rPr>
        <w:t xml:space="preserve">на </w:t>
      </w:r>
      <w:r w:rsidR="007A141D">
        <w:rPr>
          <w:rFonts w:ascii="Times New Roman" w:hAnsi="Times New Roman" w:cs="Times New Roman"/>
          <w:sz w:val="28"/>
          <w:szCs w:val="28"/>
        </w:rPr>
        <w:t>6,9</w:t>
      </w:r>
      <w:r w:rsidR="004670E4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7A141D">
        <w:rPr>
          <w:rFonts w:ascii="Times New Roman" w:hAnsi="Times New Roman" w:cs="Times New Roman"/>
          <w:sz w:val="28"/>
          <w:szCs w:val="28"/>
        </w:rPr>
        <w:t>67,2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%. Объем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налога </w:t>
      </w:r>
      <w:r>
        <w:rPr>
          <w:rFonts w:ascii="Times New Roman" w:hAnsi="Times New Roman" w:cs="Times New Roman"/>
          <w:sz w:val="28"/>
          <w:szCs w:val="28"/>
        </w:rPr>
        <w:t>с организаций и физических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A141D">
        <w:rPr>
          <w:rFonts w:ascii="Times New Roman" w:hAnsi="Times New Roman" w:cs="Times New Roman"/>
          <w:sz w:val="28"/>
          <w:szCs w:val="28"/>
        </w:rPr>
        <w:t>135,9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141D">
        <w:rPr>
          <w:rFonts w:ascii="Times New Roman" w:hAnsi="Times New Roman" w:cs="Times New Roman"/>
          <w:sz w:val="28"/>
          <w:szCs w:val="28"/>
        </w:rPr>
        <w:t>34,1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</w:t>
      </w:r>
      <w:r w:rsidR="004670E4">
        <w:rPr>
          <w:rFonts w:ascii="Times New Roman" w:hAnsi="Times New Roman" w:cs="Times New Roman"/>
          <w:sz w:val="28"/>
          <w:szCs w:val="28"/>
        </w:rPr>
        <w:t xml:space="preserve">,что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больше уровня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</w:t>
      </w:r>
      <w:r w:rsidR="004670E4">
        <w:rPr>
          <w:rFonts w:ascii="Times New Roman" w:hAnsi="Times New Roman" w:cs="Times New Roman"/>
          <w:sz w:val="28"/>
          <w:szCs w:val="28"/>
        </w:rPr>
        <w:t>1</w:t>
      </w:r>
      <w:r w:rsidR="007A141D">
        <w:rPr>
          <w:rFonts w:ascii="Times New Roman" w:hAnsi="Times New Roman" w:cs="Times New Roman"/>
          <w:sz w:val="28"/>
          <w:szCs w:val="28"/>
        </w:rPr>
        <w:t>8</w:t>
      </w:r>
      <w:r w:rsidR="00AC56A2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A141D">
        <w:rPr>
          <w:rFonts w:ascii="Times New Roman" w:hAnsi="Times New Roman" w:cs="Times New Roman"/>
          <w:sz w:val="28"/>
          <w:szCs w:val="28"/>
        </w:rPr>
        <w:t>20,8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141D">
        <w:rPr>
          <w:rFonts w:ascii="Times New Roman" w:hAnsi="Times New Roman" w:cs="Times New Roman"/>
          <w:sz w:val="28"/>
          <w:szCs w:val="28"/>
        </w:rPr>
        <w:t>18,1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A141D">
        <w:rPr>
          <w:rFonts w:ascii="Times New Roman" w:hAnsi="Times New Roman" w:cs="Times New Roman"/>
          <w:sz w:val="28"/>
          <w:szCs w:val="28"/>
        </w:rPr>
        <w:t>процента</w:t>
      </w:r>
      <w:r w:rsidRPr="005C2F87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7A141D">
        <w:rPr>
          <w:rFonts w:ascii="Times New Roman" w:hAnsi="Times New Roman" w:cs="Times New Roman"/>
          <w:sz w:val="28"/>
          <w:szCs w:val="28"/>
        </w:rPr>
        <w:t>9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поступление налога на доходы физических лиц составило </w:t>
      </w:r>
      <w:r w:rsidR="007A141D">
        <w:rPr>
          <w:rFonts w:ascii="Times New Roman" w:hAnsi="Times New Roman" w:cs="Times New Roman"/>
          <w:sz w:val="28"/>
          <w:szCs w:val="28"/>
        </w:rPr>
        <w:t>58,6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141D">
        <w:rPr>
          <w:rFonts w:ascii="Times New Roman" w:hAnsi="Times New Roman" w:cs="Times New Roman"/>
          <w:sz w:val="28"/>
          <w:szCs w:val="28"/>
        </w:rPr>
        <w:t>44,7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от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4670E4">
        <w:rPr>
          <w:rFonts w:ascii="Times New Roman" w:hAnsi="Times New Roman" w:cs="Times New Roman"/>
          <w:sz w:val="28"/>
          <w:szCs w:val="28"/>
        </w:rPr>
        <w:t xml:space="preserve"> годового показателя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A141D">
        <w:rPr>
          <w:rFonts w:ascii="Times New Roman" w:hAnsi="Times New Roman" w:cs="Times New Roman"/>
          <w:sz w:val="28"/>
          <w:szCs w:val="28"/>
        </w:rPr>
        <w:t>131,0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C2F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Доля</w:t>
      </w:r>
      <w:r w:rsidR="004670E4">
        <w:rPr>
          <w:rFonts w:ascii="Times New Roman" w:hAnsi="Times New Roman" w:cs="Times New Roman"/>
          <w:sz w:val="28"/>
          <w:szCs w:val="28"/>
        </w:rPr>
        <w:t xml:space="preserve"> НДФЛ</w:t>
      </w:r>
      <w:r>
        <w:rPr>
          <w:rFonts w:ascii="Times New Roman" w:hAnsi="Times New Roman" w:cs="Times New Roman"/>
          <w:sz w:val="28"/>
          <w:szCs w:val="28"/>
        </w:rPr>
        <w:t xml:space="preserve"> в налоговых доходах  по сравнению с 1</w:t>
      </w:r>
      <w:r w:rsidR="00205800">
        <w:rPr>
          <w:rFonts w:ascii="Times New Roman" w:hAnsi="Times New Roman" w:cs="Times New Roman"/>
          <w:sz w:val="28"/>
          <w:szCs w:val="28"/>
        </w:rPr>
        <w:t xml:space="preserve">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полугодием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A141D">
        <w:rPr>
          <w:rFonts w:ascii="Times New Roman" w:hAnsi="Times New Roman" w:cs="Times New Roman"/>
          <w:sz w:val="28"/>
          <w:szCs w:val="28"/>
        </w:rPr>
        <w:t>8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A7A16">
        <w:rPr>
          <w:rFonts w:ascii="Times New Roman" w:hAnsi="Times New Roman" w:cs="Times New Roman"/>
          <w:sz w:val="28"/>
          <w:szCs w:val="28"/>
        </w:rPr>
        <w:t>возросла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A7A16">
        <w:rPr>
          <w:rFonts w:ascii="Times New Roman" w:hAnsi="Times New Roman" w:cs="Times New Roman"/>
          <w:sz w:val="28"/>
          <w:szCs w:val="28"/>
        </w:rPr>
        <w:t>1,0</w:t>
      </w:r>
      <w:r w:rsidR="00AC56A2">
        <w:rPr>
          <w:rFonts w:ascii="Times New Roman" w:hAnsi="Times New Roman" w:cs="Times New Roman"/>
          <w:sz w:val="28"/>
          <w:szCs w:val="28"/>
        </w:rPr>
        <w:t xml:space="preserve"> </w:t>
      </w:r>
      <w:r w:rsidR="00BC0A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составила</w:t>
      </w:r>
      <w:r w:rsidR="00AC56A2">
        <w:rPr>
          <w:rFonts w:ascii="Times New Roman" w:hAnsi="Times New Roman" w:cs="Times New Roman"/>
          <w:sz w:val="28"/>
          <w:szCs w:val="28"/>
        </w:rPr>
        <w:t xml:space="preserve"> 2</w:t>
      </w:r>
      <w:r w:rsidR="008A7A16">
        <w:rPr>
          <w:rFonts w:ascii="Times New Roman" w:hAnsi="Times New Roman" w:cs="Times New Roman"/>
          <w:sz w:val="28"/>
          <w:szCs w:val="28"/>
        </w:rPr>
        <w:t>9</w:t>
      </w:r>
      <w:r w:rsidR="00467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 Объем поступления налога на доходы физических лиц больше уровня 1 </w:t>
      </w:r>
      <w:r w:rsidR="00BC0AC4">
        <w:rPr>
          <w:rFonts w:ascii="Times New Roman" w:hAnsi="Times New Roman" w:cs="Times New Roman"/>
          <w:sz w:val="28"/>
          <w:szCs w:val="28"/>
        </w:rPr>
        <w:t xml:space="preserve">полугодия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8A7A16">
        <w:rPr>
          <w:rFonts w:ascii="Times New Roman" w:hAnsi="Times New Roman" w:cs="Times New Roman"/>
          <w:sz w:val="28"/>
          <w:szCs w:val="28"/>
        </w:rPr>
        <w:t xml:space="preserve">8 года </w:t>
      </w:r>
      <w:r w:rsidR="004670E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A16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A7A16">
        <w:rPr>
          <w:rFonts w:ascii="Times New Roman" w:hAnsi="Times New Roman" w:cs="Times New Roman"/>
          <w:sz w:val="28"/>
          <w:szCs w:val="28"/>
        </w:rPr>
        <w:t>9,5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0E4" w:rsidRPr="005C2F87" w:rsidRDefault="004670E4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сумме </w:t>
      </w:r>
      <w:r w:rsidR="008A7A16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8A7A16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процента от годовых бюджетных назначений в размере </w:t>
      </w:r>
      <w:r w:rsidR="008A7A16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Доля налога по сравнению с аналогичным периодом прошлого года </w:t>
      </w:r>
      <w:r w:rsidR="00AC56A2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A16">
        <w:rPr>
          <w:rFonts w:ascii="Times New Roman" w:hAnsi="Times New Roman" w:cs="Times New Roman"/>
          <w:sz w:val="28"/>
          <w:szCs w:val="28"/>
        </w:rPr>
        <w:t xml:space="preserve"> на 6,8 % </w:t>
      </w:r>
      <w:r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8A7A16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 xml:space="preserve"> процента. По сравнению с 1 полугодием 201</w:t>
      </w:r>
      <w:r w:rsidR="008A7A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объем нало</w:t>
      </w:r>
      <w:r w:rsidR="00AC56A2">
        <w:rPr>
          <w:rFonts w:ascii="Times New Roman" w:hAnsi="Times New Roman" w:cs="Times New Roman"/>
          <w:sz w:val="28"/>
          <w:szCs w:val="28"/>
        </w:rPr>
        <w:t>га на имущество физических лиц снизился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C56A2">
        <w:rPr>
          <w:rFonts w:ascii="Times New Roman" w:hAnsi="Times New Roman" w:cs="Times New Roman"/>
          <w:sz w:val="28"/>
          <w:szCs w:val="28"/>
        </w:rPr>
        <w:t xml:space="preserve"> </w:t>
      </w:r>
      <w:r w:rsidR="008A7A16">
        <w:rPr>
          <w:rFonts w:ascii="Times New Roman" w:hAnsi="Times New Roman" w:cs="Times New Roman"/>
          <w:sz w:val="28"/>
          <w:szCs w:val="28"/>
        </w:rPr>
        <w:t>12,8</w:t>
      </w:r>
      <w:r w:rsidR="00AC5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A7A16">
        <w:rPr>
          <w:rFonts w:ascii="Times New Roman" w:hAnsi="Times New Roman" w:cs="Times New Roman"/>
          <w:sz w:val="28"/>
          <w:szCs w:val="28"/>
        </w:rPr>
        <w:t xml:space="preserve"> (78,1процента).</w:t>
      </w:r>
    </w:p>
    <w:p w:rsidR="00975A18" w:rsidRDefault="00D60C6B" w:rsidP="0022246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пошлина исполнена на </w:t>
      </w:r>
      <w:r w:rsidR="008A7A16">
        <w:rPr>
          <w:rFonts w:ascii="Times New Roman" w:hAnsi="Times New Roman" w:cs="Times New Roman"/>
          <w:sz w:val="28"/>
          <w:szCs w:val="28"/>
        </w:rPr>
        <w:t>33,3</w:t>
      </w:r>
      <w:r w:rsidR="00975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8A7A16">
        <w:rPr>
          <w:rFonts w:ascii="Times New Roman" w:hAnsi="Times New Roman" w:cs="Times New Roman"/>
          <w:sz w:val="28"/>
          <w:szCs w:val="28"/>
        </w:rPr>
        <w:t>4</w:t>
      </w:r>
      <w:r w:rsidR="004670E4">
        <w:rPr>
          <w:rFonts w:ascii="Times New Roman" w:hAnsi="Times New Roman" w:cs="Times New Roman"/>
          <w:sz w:val="28"/>
          <w:szCs w:val="28"/>
        </w:rPr>
        <w:t>,</w:t>
      </w:r>
      <w:r w:rsidR="00AC56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сравнении с аналогичным периодом 201</w:t>
      </w:r>
      <w:r w:rsidR="008A7A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AC56A2">
        <w:rPr>
          <w:rFonts w:ascii="Times New Roman" w:hAnsi="Times New Roman" w:cs="Times New Roman"/>
          <w:sz w:val="28"/>
          <w:szCs w:val="28"/>
        </w:rPr>
        <w:t>снижение</w:t>
      </w:r>
      <w:r w:rsidR="004670E4">
        <w:rPr>
          <w:rFonts w:ascii="Times New Roman" w:hAnsi="Times New Roman" w:cs="Times New Roman"/>
          <w:sz w:val="28"/>
          <w:szCs w:val="28"/>
        </w:rPr>
        <w:t xml:space="preserve"> объема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A7A16">
        <w:rPr>
          <w:rFonts w:ascii="Times New Roman" w:hAnsi="Times New Roman" w:cs="Times New Roman"/>
          <w:sz w:val="28"/>
          <w:szCs w:val="28"/>
        </w:rPr>
        <w:t>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A7A16">
        <w:rPr>
          <w:rFonts w:ascii="Times New Roman" w:hAnsi="Times New Roman" w:cs="Times New Roman"/>
          <w:sz w:val="28"/>
          <w:szCs w:val="28"/>
        </w:rPr>
        <w:t>33,4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22463">
        <w:rPr>
          <w:rFonts w:ascii="Times New Roman" w:hAnsi="Times New Roman" w:cs="Times New Roman"/>
          <w:sz w:val="28"/>
          <w:szCs w:val="28"/>
        </w:rPr>
        <w:t xml:space="preserve"> Доля данного доходного источника не велика и составила в 1 полугодии  201</w:t>
      </w:r>
      <w:r w:rsidR="008A7A16">
        <w:rPr>
          <w:rFonts w:ascii="Times New Roman" w:hAnsi="Times New Roman" w:cs="Times New Roman"/>
          <w:sz w:val="28"/>
          <w:szCs w:val="28"/>
        </w:rPr>
        <w:t>9</w:t>
      </w:r>
      <w:r w:rsidR="002224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7A16">
        <w:rPr>
          <w:rFonts w:ascii="Times New Roman" w:hAnsi="Times New Roman" w:cs="Times New Roman"/>
          <w:sz w:val="28"/>
          <w:szCs w:val="28"/>
        </w:rPr>
        <w:t>2,0</w:t>
      </w:r>
      <w:r w:rsidR="0022246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3F4D4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i/>
          <w:sz w:val="28"/>
          <w:szCs w:val="28"/>
        </w:rPr>
        <w:t xml:space="preserve">Неналоговые доходы </w:t>
      </w:r>
      <w:r w:rsidRPr="005C2F87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8A7A16">
        <w:rPr>
          <w:rFonts w:ascii="Times New Roman" w:hAnsi="Times New Roman" w:cs="Times New Roman"/>
          <w:sz w:val="28"/>
          <w:szCs w:val="28"/>
        </w:rPr>
        <w:t>17,3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A7A16">
        <w:rPr>
          <w:rFonts w:ascii="Times New Roman" w:hAnsi="Times New Roman" w:cs="Times New Roman"/>
          <w:sz w:val="28"/>
          <w:szCs w:val="28"/>
        </w:rPr>
        <w:t>7,0</w:t>
      </w:r>
      <w:r w:rsidR="00AC56A2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плановым назначениям в сумме </w:t>
      </w:r>
      <w:r w:rsidR="008A7A16">
        <w:rPr>
          <w:rFonts w:ascii="Times New Roman" w:hAnsi="Times New Roman" w:cs="Times New Roman"/>
          <w:sz w:val="28"/>
          <w:szCs w:val="28"/>
        </w:rPr>
        <w:t>248,0</w:t>
      </w:r>
      <w:r w:rsidR="003F4D4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4140" w:rsidRDefault="00D60C6B" w:rsidP="000D414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3F4D42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8A7A16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неналоговы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8A7A16">
        <w:rPr>
          <w:rFonts w:ascii="Times New Roman" w:hAnsi="Times New Roman" w:cs="Times New Roman"/>
          <w:sz w:val="28"/>
          <w:szCs w:val="28"/>
        </w:rPr>
        <w:t>снизилось</w:t>
      </w:r>
      <w:r w:rsidR="003F4D42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</w:t>
      </w:r>
      <w:r w:rsidR="008A7A16">
        <w:rPr>
          <w:rFonts w:ascii="Times New Roman" w:hAnsi="Times New Roman" w:cs="Times New Roman"/>
          <w:sz w:val="28"/>
          <w:szCs w:val="28"/>
        </w:rPr>
        <w:t>153,5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A7A16">
        <w:rPr>
          <w:rFonts w:ascii="Times New Roman" w:hAnsi="Times New Roman" w:cs="Times New Roman"/>
          <w:sz w:val="28"/>
          <w:szCs w:val="28"/>
        </w:rPr>
        <w:t>на 89,9 %</w:t>
      </w:r>
      <w:r w:rsidR="00AC56A2">
        <w:rPr>
          <w:rFonts w:ascii="Times New Roman" w:hAnsi="Times New Roman" w:cs="Times New Roman"/>
          <w:sz w:val="28"/>
          <w:szCs w:val="28"/>
        </w:rPr>
        <w:t>,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их доля в общих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A7A16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процент</w:t>
      </w:r>
      <w:r w:rsidR="00FC168B">
        <w:rPr>
          <w:rFonts w:ascii="Times New Roman" w:hAnsi="Times New Roman" w:cs="Times New Roman"/>
          <w:sz w:val="28"/>
          <w:szCs w:val="28"/>
        </w:rPr>
        <w:t>, в том числе</w:t>
      </w:r>
      <w:r w:rsidR="000D4140">
        <w:rPr>
          <w:rFonts w:ascii="Times New Roman" w:hAnsi="Times New Roman" w:cs="Times New Roman"/>
          <w:sz w:val="28"/>
          <w:szCs w:val="28"/>
        </w:rPr>
        <w:t>:</w:t>
      </w:r>
    </w:p>
    <w:p w:rsidR="00D60C6B" w:rsidRPr="005C2F87" w:rsidRDefault="000D4140" w:rsidP="000D414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 доходы от </w:t>
      </w:r>
      <w:r>
        <w:rPr>
          <w:rFonts w:ascii="Times New Roman" w:hAnsi="Times New Roman" w:cs="Times New Roman"/>
          <w:sz w:val="28"/>
          <w:szCs w:val="28"/>
        </w:rPr>
        <w:t>сдачи в аренду имущества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и муниципальной собственности, исполнены в сумме </w:t>
      </w:r>
      <w:r w:rsidR="008A7A16">
        <w:rPr>
          <w:rFonts w:ascii="Times New Roman" w:hAnsi="Times New Roman" w:cs="Times New Roman"/>
          <w:sz w:val="28"/>
          <w:szCs w:val="28"/>
        </w:rPr>
        <w:t>17,3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7A16">
        <w:rPr>
          <w:rFonts w:ascii="Times New Roman" w:hAnsi="Times New Roman" w:cs="Times New Roman"/>
          <w:sz w:val="28"/>
          <w:szCs w:val="28"/>
        </w:rPr>
        <w:t>25,4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% к плановым назначениям</w:t>
      </w:r>
      <w:r w:rsidR="003F4D4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A7A16">
        <w:rPr>
          <w:rFonts w:ascii="Times New Roman" w:hAnsi="Times New Roman" w:cs="Times New Roman"/>
          <w:sz w:val="28"/>
          <w:szCs w:val="28"/>
        </w:rPr>
        <w:t>68,0</w:t>
      </w:r>
      <w:r w:rsidR="00222463">
        <w:rPr>
          <w:rFonts w:ascii="Times New Roman" w:hAnsi="Times New Roman" w:cs="Times New Roman"/>
          <w:sz w:val="28"/>
          <w:szCs w:val="28"/>
        </w:rPr>
        <w:t xml:space="preserve"> </w:t>
      </w:r>
      <w:r w:rsidR="003F4D4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A7A16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 объема поступлений аналогичного периода прошлого года на </w:t>
      </w:r>
      <w:r w:rsidR="008A7A16">
        <w:rPr>
          <w:rFonts w:ascii="Times New Roman" w:hAnsi="Times New Roman" w:cs="Times New Roman"/>
          <w:sz w:val="28"/>
          <w:szCs w:val="28"/>
        </w:rPr>
        <w:t>59,5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A7A16">
        <w:rPr>
          <w:rFonts w:ascii="Times New Roman" w:hAnsi="Times New Roman" w:cs="Times New Roman"/>
          <w:sz w:val="28"/>
          <w:szCs w:val="28"/>
        </w:rPr>
        <w:t>на 77,5 процентов. Значительное снижение размеров арендной платы по сравнению с прошлым годом объясняется тем, что в прошлом году поступила задолженность по арендной плате за предыдущие годы от ООО «Теплосервис»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69D6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0D4140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бюджетов сельских поселений </w:t>
      </w:r>
      <w:r w:rsidR="008A7A16">
        <w:rPr>
          <w:rFonts w:ascii="Times New Roman" w:hAnsi="Times New Roman" w:cs="Times New Roman"/>
          <w:sz w:val="28"/>
          <w:szCs w:val="28"/>
        </w:rPr>
        <w:t xml:space="preserve">в первом полугодии 2019 года в бюджет поселения не поступали. </w:t>
      </w:r>
    </w:p>
    <w:p w:rsidR="00A306A7" w:rsidRDefault="00A306A7" w:rsidP="00A3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 xml:space="preserve">   </w:t>
      </w:r>
      <w:r w:rsidRPr="00CD5CDD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CD5CD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5CDD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</w:t>
      </w:r>
      <w:r w:rsidRPr="0095710D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Pr="00CD5CDD">
        <w:rPr>
          <w:rFonts w:ascii="Times New Roman" w:hAnsi="Times New Roman" w:cs="Times New Roman"/>
          <w:sz w:val="28"/>
          <w:szCs w:val="28"/>
        </w:rPr>
        <w:t>года, следующего за отчетным периодом, то есть  в 4 квартале текущего года.</w:t>
      </w:r>
    </w:p>
    <w:p w:rsidR="00A306A7" w:rsidRPr="00CD5CDD" w:rsidRDefault="00A306A7" w:rsidP="00A3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9D6" w:rsidRPr="005C2F87" w:rsidRDefault="00E669D6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9D6" w:rsidRDefault="003D29EE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29EE">
        <w:rPr>
          <w:rFonts w:ascii="Times New Roman" w:hAnsi="Times New Roman" w:cs="Times New Roman"/>
          <w:i/>
          <w:sz w:val="28"/>
          <w:szCs w:val="28"/>
        </w:rPr>
        <w:t xml:space="preserve">          Безвозмездные поступления.</w:t>
      </w:r>
    </w:p>
    <w:p w:rsidR="00E669D6" w:rsidRPr="003D29EE" w:rsidRDefault="00E669D6" w:rsidP="003D29E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29EE" w:rsidRP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8A7A16">
        <w:rPr>
          <w:rFonts w:ascii="Times New Roman" w:hAnsi="Times New Roman" w:cs="Times New Roman"/>
          <w:sz w:val="28"/>
          <w:szCs w:val="28"/>
        </w:rPr>
        <w:t xml:space="preserve">1567,8 </w:t>
      </w:r>
      <w:r w:rsidRPr="003D29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A7A16">
        <w:rPr>
          <w:rFonts w:ascii="Times New Roman" w:hAnsi="Times New Roman" w:cs="Times New Roman"/>
          <w:sz w:val="28"/>
          <w:szCs w:val="28"/>
        </w:rPr>
        <w:t>48,6</w:t>
      </w:r>
      <w:r w:rsidRPr="003D29E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8A7A16">
        <w:rPr>
          <w:rFonts w:ascii="Times New Roman" w:hAnsi="Times New Roman" w:cs="Times New Roman"/>
          <w:sz w:val="28"/>
          <w:szCs w:val="28"/>
        </w:rPr>
        <w:t>3227,7</w:t>
      </w:r>
      <w:r w:rsidRPr="003D29EE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201</w:t>
      </w:r>
      <w:r w:rsidR="008A7A16">
        <w:rPr>
          <w:rFonts w:ascii="Times New Roman" w:hAnsi="Times New Roman" w:cs="Times New Roman"/>
          <w:sz w:val="28"/>
          <w:szCs w:val="28"/>
        </w:rPr>
        <w:t>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8A7A16">
        <w:rPr>
          <w:rFonts w:ascii="Times New Roman" w:hAnsi="Times New Roman" w:cs="Times New Roman"/>
          <w:sz w:val="28"/>
          <w:szCs w:val="28"/>
        </w:rPr>
        <w:t>увеличились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8A7A16">
        <w:rPr>
          <w:rFonts w:ascii="Times New Roman" w:hAnsi="Times New Roman" w:cs="Times New Roman"/>
          <w:sz w:val="28"/>
          <w:szCs w:val="28"/>
        </w:rPr>
        <w:t>314,2</w:t>
      </w:r>
      <w:r w:rsidR="000D4140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D77306">
        <w:rPr>
          <w:rFonts w:ascii="Times New Roman" w:hAnsi="Times New Roman" w:cs="Times New Roman"/>
          <w:sz w:val="28"/>
          <w:szCs w:val="28"/>
        </w:rPr>
        <w:t>87,7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</w:t>
      </w:r>
      <w:r w:rsidR="00222463">
        <w:rPr>
          <w:rFonts w:ascii="Times New Roman" w:hAnsi="Times New Roman" w:cs="Times New Roman"/>
          <w:sz w:val="28"/>
          <w:szCs w:val="28"/>
        </w:rPr>
        <w:t>1</w:t>
      </w:r>
      <w:r w:rsidR="00D77306">
        <w:rPr>
          <w:rFonts w:ascii="Times New Roman" w:hAnsi="Times New Roman" w:cs="Times New Roman"/>
          <w:sz w:val="28"/>
          <w:szCs w:val="28"/>
        </w:rPr>
        <w:t>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 </w:t>
      </w:r>
    </w:p>
    <w:p w:rsidR="00E669D6" w:rsidRDefault="000C059E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4B1422">
        <w:rPr>
          <w:rFonts w:ascii="Times New Roman" w:hAnsi="Times New Roman" w:cs="Times New Roman"/>
          <w:sz w:val="28"/>
          <w:szCs w:val="28"/>
        </w:rPr>
        <w:t>тыс. руб.</w:t>
      </w:r>
    </w:p>
    <w:p w:rsidR="006827A7" w:rsidRDefault="006827A7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A95A95" wp14:editId="5304DCAC">
            <wp:extent cx="6119495" cy="3642391"/>
            <wp:effectExtent l="0" t="0" r="1460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69D6" w:rsidRDefault="00E669D6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29EE" w:rsidRPr="003D29EE" w:rsidRDefault="004B1422" w:rsidP="004B14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 В отчетном периоде дотации из 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D29EE" w:rsidRPr="003D29EE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 образованиям поступили  в сумме </w:t>
      </w:r>
      <w:r w:rsidR="00441B2C">
        <w:rPr>
          <w:rFonts w:ascii="Times New Roman" w:hAnsi="Times New Roman" w:cs="Times New Roman"/>
          <w:sz w:val="28"/>
          <w:szCs w:val="28"/>
        </w:rPr>
        <w:t>1027,9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700C1">
        <w:rPr>
          <w:rFonts w:ascii="Times New Roman" w:hAnsi="Times New Roman" w:cs="Times New Roman"/>
          <w:sz w:val="28"/>
          <w:szCs w:val="28"/>
        </w:rPr>
        <w:t>50,6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41B2C">
        <w:rPr>
          <w:rFonts w:ascii="Times New Roman" w:hAnsi="Times New Roman" w:cs="Times New Roman"/>
          <w:sz w:val="28"/>
          <w:szCs w:val="28"/>
        </w:rPr>
        <w:t>2030,4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По сравнению с 1 полугодием 201</w:t>
      </w:r>
      <w:r w:rsidR="00441B2C">
        <w:rPr>
          <w:rFonts w:ascii="Times New Roman" w:hAnsi="Times New Roman" w:cs="Times New Roman"/>
          <w:sz w:val="28"/>
          <w:szCs w:val="28"/>
        </w:rPr>
        <w:t>8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года </w:t>
      </w:r>
      <w:r w:rsidR="00984EF1">
        <w:rPr>
          <w:rFonts w:ascii="Times New Roman" w:hAnsi="Times New Roman" w:cs="Times New Roman"/>
          <w:sz w:val="28"/>
          <w:szCs w:val="28"/>
        </w:rPr>
        <w:t>дотац</w:t>
      </w:r>
      <w:r w:rsidR="006700C1">
        <w:rPr>
          <w:rFonts w:ascii="Times New Roman" w:hAnsi="Times New Roman" w:cs="Times New Roman"/>
          <w:sz w:val="28"/>
          <w:szCs w:val="28"/>
        </w:rPr>
        <w:t>ии</w:t>
      </w:r>
      <w:r w:rsidR="00984EF1">
        <w:rPr>
          <w:rFonts w:ascii="Times New Roman" w:hAnsi="Times New Roman" w:cs="Times New Roman"/>
          <w:sz w:val="28"/>
          <w:szCs w:val="28"/>
        </w:rPr>
        <w:t xml:space="preserve"> </w:t>
      </w:r>
      <w:r w:rsidR="00441B2C">
        <w:rPr>
          <w:rFonts w:ascii="Times New Roman" w:hAnsi="Times New Roman" w:cs="Times New Roman"/>
          <w:sz w:val="28"/>
          <w:szCs w:val="28"/>
        </w:rPr>
        <w:t>увеличились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441B2C">
        <w:rPr>
          <w:rFonts w:ascii="Times New Roman" w:hAnsi="Times New Roman" w:cs="Times New Roman"/>
          <w:sz w:val="28"/>
          <w:szCs w:val="28"/>
        </w:rPr>
        <w:t>17,4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41B2C">
        <w:rPr>
          <w:rFonts w:ascii="Times New Roman" w:hAnsi="Times New Roman" w:cs="Times New Roman"/>
          <w:sz w:val="28"/>
          <w:szCs w:val="28"/>
        </w:rPr>
        <w:t>1,7</w:t>
      </w:r>
      <w:r w:rsidRPr="003D29EE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Доля дотаций в общем объеме безвозмездных поступлений составила </w:t>
      </w:r>
      <w:r w:rsidR="00441B2C">
        <w:rPr>
          <w:rFonts w:ascii="Times New Roman" w:hAnsi="Times New Roman" w:cs="Times New Roman"/>
          <w:sz w:val="28"/>
          <w:szCs w:val="28"/>
        </w:rPr>
        <w:t>65,5</w:t>
      </w:r>
      <w:r w:rsidR="003D29EE" w:rsidRPr="003D29E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67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9EE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</w:t>
      </w:r>
      <w:r w:rsidR="00441B2C">
        <w:rPr>
          <w:rFonts w:ascii="Times New Roman" w:hAnsi="Times New Roman" w:cs="Times New Roman"/>
          <w:sz w:val="28"/>
          <w:szCs w:val="28"/>
        </w:rPr>
        <w:t>46,4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1B2C">
        <w:rPr>
          <w:rFonts w:ascii="Times New Roman" w:hAnsi="Times New Roman" w:cs="Times New Roman"/>
          <w:sz w:val="28"/>
          <w:szCs w:val="28"/>
        </w:rPr>
        <w:t>50,2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41B2C">
        <w:rPr>
          <w:rFonts w:ascii="Times New Roman" w:hAnsi="Times New Roman" w:cs="Times New Roman"/>
          <w:sz w:val="28"/>
          <w:szCs w:val="28"/>
        </w:rPr>
        <w:t>92,5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</w:t>
      </w:r>
      <w:r w:rsidR="008F5621">
        <w:rPr>
          <w:rFonts w:ascii="Times New Roman" w:hAnsi="Times New Roman" w:cs="Times New Roman"/>
          <w:sz w:val="28"/>
          <w:szCs w:val="28"/>
        </w:rPr>
        <w:t>е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1 полугодия  текущего года поступила субвенция на осуществление первичного воинского учета</w:t>
      </w:r>
      <w:r w:rsidR="00441B2C">
        <w:rPr>
          <w:rFonts w:ascii="Times New Roman" w:hAnsi="Times New Roman" w:cs="Times New Roman"/>
          <w:sz w:val="28"/>
          <w:szCs w:val="28"/>
        </w:rPr>
        <w:t xml:space="preserve"> в сумме 46,0 тыс. рублей и субвенция на выполнение передаваемых полномочий  субъектов РФ в сумме 0,4 тыс. рублей. </w:t>
      </w:r>
      <w:r w:rsidR="008F5621" w:rsidRPr="003D29EE">
        <w:rPr>
          <w:rFonts w:ascii="Times New Roman" w:hAnsi="Times New Roman" w:cs="Times New Roman"/>
          <w:sz w:val="28"/>
          <w:szCs w:val="28"/>
        </w:rPr>
        <w:t>По сравнению с 1 полугодием</w:t>
      </w:r>
      <w:r w:rsidR="00205800">
        <w:rPr>
          <w:rFonts w:ascii="Times New Roman" w:hAnsi="Times New Roman" w:cs="Times New Roman"/>
          <w:sz w:val="28"/>
          <w:szCs w:val="28"/>
        </w:rPr>
        <w:t xml:space="preserve">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201</w:t>
      </w:r>
      <w:r w:rsidR="00441B2C">
        <w:rPr>
          <w:rFonts w:ascii="Times New Roman" w:hAnsi="Times New Roman" w:cs="Times New Roman"/>
          <w:sz w:val="28"/>
          <w:szCs w:val="28"/>
        </w:rPr>
        <w:t xml:space="preserve">8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года субвенция </w:t>
      </w:r>
      <w:r w:rsidR="006700C1">
        <w:rPr>
          <w:rFonts w:ascii="Times New Roman" w:hAnsi="Times New Roman" w:cs="Times New Roman"/>
          <w:sz w:val="28"/>
          <w:szCs w:val="28"/>
        </w:rPr>
        <w:t>выросла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441B2C">
        <w:rPr>
          <w:rFonts w:ascii="Times New Roman" w:hAnsi="Times New Roman" w:cs="Times New Roman"/>
          <w:sz w:val="28"/>
          <w:szCs w:val="28"/>
        </w:rPr>
        <w:t>3,6</w:t>
      </w:r>
      <w:r w:rsidR="006700C1">
        <w:rPr>
          <w:rFonts w:ascii="Times New Roman" w:hAnsi="Times New Roman" w:cs="Times New Roman"/>
          <w:sz w:val="28"/>
          <w:szCs w:val="28"/>
        </w:rPr>
        <w:t xml:space="preserve"> </w:t>
      </w:r>
      <w:r w:rsidR="008F5621" w:rsidRPr="003D29EE">
        <w:rPr>
          <w:rFonts w:ascii="Times New Roman" w:hAnsi="Times New Roman" w:cs="Times New Roman"/>
          <w:sz w:val="28"/>
          <w:szCs w:val="28"/>
        </w:rPr>
        <w:t>тыс. рублей, или на</w:t>
      </w:r>
      <w:r w:rsidR="006700C1">
        <w:rPr>
          <w:rFonts w:ascii="Times New Roman" w:hAnsi="Times New Roman" w:cs="Times New Roman"/>
          <w:sz w:val="28"/>
          <w:szCs w:val="28"/>
        </w:rPr>
        <w:t xml:space="preserve"> </w:t>
      </w:r>
      <w:r w:rsidR="00441B2C">
        <w:rPr>
          <w:rFonts w:ascii="Times New Roman" w:hAnsi="Times New Roman" w:cs="Times New Roman"/>
          <w:sz w:val="28"/>
          <w:szCs w:val="28"/>
        </w:rPr>
        <w:t>8,4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8F5621" w:rsidRPr="003D29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41B2C">
        <w:rPr>
          <w:rFonts w:ascii="Times New Roman" w:hAnsi="Times New Roman" w:cs="Times New Roman"/>
          <w:sz w:val="28"/>
          <w:szCs w:val="28"/>
        </w:rPr>
        <w:t>а</w:t>
      </w:r>
      <w:r w:rsidR="008F5621" w:rsidRPr="003D29EE">
        <w:rPr>
          <w:rFonts w:ascii="Times New Roman" w:hAnsi="Times New Roman" w:cs="Times New Roman"/>
          <w:sz w:val="28"/>
          <w:szCs w:val="28"/>
        </w:rPr>
        <w:t>. Доля субвенций в общем объеме безво</w:t>
      </w:r>
      <w:r w:rsidR="008F5621">
        <w:rPr>
          <w:rFonts w:ascii="Times New Roman" w:hAnsi="Times New Roman" w:cs="Times New Roman"/>
          <w:sz w:val="28"/>
          <w:szCs w:val="28"/>
        </w:rPr>
        <w:t xml:space="preserve">змездных поступлений составила  </w:t>
      </w:r>
      <w:r w:rsidR="00441B2C">
        <w:rPr>
          <w:rFonts w:ascii="Times New Roman" w:hAnsi="Times New Roman" w:cs="Times New Roman"/>
          <w:sz w:val="28"/>
          <w:szCs w:val="28"/>
        </w:rPr>
        <w:t>3,0</w:t>
      </w:r>
      <w:r w:rsidR="008F5621">
        <w:rPr>
          <w:rFonts w:ascii="Times New Roman" w:hAnsi="Times New Roman" w:cs="Times New Roman"/>
          <w:sz w:val="28"/>
          <w:szCs w:val="28"/>
        </w:rPr>
        <w:t xml:space="preserve"> </w:t>
      </w:r>
      <w:r w:rsidR="008F5621" w:rsidRPr="003D29EE">
        <w:rPr>
          <w:rFonts w:ascii="Times New Roman" w:hAnsi="Times New Roman" w:cs="Times New Roman"/>
          <w:sz w:val="28"/>
          <w:szCs w:val="28"/>
        </w:rPr>
        <w:t>процента.</w:t>
      </w:r>
    </w:p>
    <w:p w:rsidR="004D3A7D" w:rsidRPr="003D29EE" w:rsidRDefault="008F5621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 xml:space="preserve">бсидии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образований поступили в сумме </w:t>
      </w:r>
      <w:r w:rsidR="00441B2C">
        <w:rPr>
          <w:rFonts w:ascii="Times New Roman" w:hAnsi="Times New Roman" w:cs="Times New Roman"/>
          <w:sz w:val="28"/>
          <w:szCs w:val="28"/>
        </w:rPr>
        <w:t>333,8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1B2C">
        <w:rPr>
          <w:rFonts w:ascii="Times New Roman" w:hAnsi="Times New Roman" w:cs="Times New Roman"/>
          <w:sz w:val="28"/>
          <w:szCs w:val="28"/>
        </w:rPr>
        <w:t>48,4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41B2C">
        <w:rPr>
          <w:rFonts w:ascii="Times New Roman" w:hAnsi="Times New Roman" w:cs="Times New Roman"/>
          <w:sz w:val="28"/>
          <w:szCs w:val="28"/>
        </w:rPr>
        <w:t>690,1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441B2C">
        <w:rPr>
          <w:rFonts w:ascii="Times New Roman" w:hAnsi="Times New Roman" w:cs="Times New Roman"/>
          <w:sz w:val="28"/>
          <w:szCs w:val="28"/>
        </w:rPr>
        <w:t>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20C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3D29EE">
        <w:rPr>
          <w:rFonts w:ascii="Times New Roman" w:hAnsi="Times New Roman" w:cs="Times New Roman"/>
          <w:sz w:val="28"/>
          <w:szCs w:val="28"/>
        </w:rPr>
        <w:t xml:space="preserve"> су</w:t>
      </w:r>
      <w:r>
        <w:rPr>
          <w:rFonts w:ascii="Times New Roman" w:hAnsi="Times New Roman" w:cs="Times New Roman"/>
          <w:sz w:val="28"/>
          <w:szCs w:val="28"/>
        </w:rPr>
        <w:t xml:space="preserve">бсидии </w:t>
      </w:r>
      <w:r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441B2C">
        <w:rPr>
          <w:rFonts w:ascii="Times New Roman" w:hAnsi="Times New Roman" w:cs="Times New Roman"/>
          <w:sz w:val="28"/>
          <w:szCs w:val="28"/>
        </w:rPr>
        <w:t>увеличился</w:t>
      </w:r>
      <w:r w:rsidR="006C120C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на </w:t>
      </w:r>
      <w:r w:rsidR="00441B2C">
        <w:rPr>
          <w:rFonts w:ascii="Times New Roman" w:hAnsi="Times New Roman" w:cs="Times New Roman"/>
          <w:sz w:val="28"/>
          <w:szCs w:val="28"/>
        </w:rPr>
        <w:t>258,8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1B2C">
        <w:rPr>
          <w:rFonts w:ascii="Times New Roman" w:hAnsi="Times New Roman" w:cs="Times New Roman"/>
          <w:sz w:val="28"/>
          <w:szCs w:val="28"/>
        </w:rPr>
        <w:t>в 4,45 раза</w:t>
      </w:r>
      <w:r w:rsidRPr="003D29EE">
        <w:rPr>
          <w:rFonts w:ascii="Times New Roman" w:hAnsi="Times New Roman" w:cs="Times New Roman"/>
          <w:sz w:val="28"/>
          <w:szCs w:val="28"/>
        </w:rPr>
        <w:t xml:space="preserve">. Доля </w:t>
      </w:r>
      <w:r w:rsidRPr="004D3A7D">
        <w:rPr>
          <w:rFonts w:ascii="Times New Roman" w:hAnsi="Times New Roman" w:cs="Times New Roman"/>
          <w:sz w:val="28"/>
          <w:szCs w:val="28"/>
        </w:rPr>
        <w:t>суб</w:t>
      </w:r>
      <w:r w:rsidR="0063630B" w:rsidRPr="004D3A7D">
        <w:rPr>
          <w:rFonts w:ascii="Times New Roman" w:hAnsi="Times New Roman" w:cs="Times New Roman"/>
          <w:sz w:val="28"/>
          <w:szCs w:val="28"/>
        </w:rPr>
        <w:t>сидий</w:t>
      </w:r>
      <w:r w:rsidRPr="004D3A7D">
        <w:rPr>
          <w:rFonts w:ascii="Times New Roman" w:hAnsi="Times New Roman" w:cs="Times New Roman"/>
          <w:sz w:val="28"/>
          <w:szCs w:val="28"/>
        </w:rPr>
        <w:t xml:space="preserve"> в общем объеме безвозмездных поступлений составила  </w:t>
      </w:r>
      <w:r w:rsidR="00441B2C" w:rsidRPr="004D3A7D">
        <w:rPr>
          <w:rFonts w:ascii="Times New Roman" w:hAnsi="Times New Roman" w:cs="Times New Roman"/>
          <w:sz w:val="28"/>
          <w:szCs w:val="28"/>
        </w:rPr>
        <w:t>21,3</w:t>
      </w:r>
      <w:r w:rsidRPr="004D3A7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41B2C" w:rsidRPr="004D3A7D">
        <w:rPr>
          <w:rFonts w:ascii="Times New Roman" w:hAnsi="Times New Roman" w:cs="Times New Roman"/>
          <w:sz w:val="28"/>
          <w:szCs w:val="28"/>
        </w:rPr>
        <w:t>а</w:t>
      </w:r>
      <w:r w:rsidRPr="004D3A7D">
        <w:rPr>
          <w:rFonts w:ascii="Times New Roman" w:hAnsi="Times New Roman" w:cs="Times New Roman"/>
          <w:sz w:val="28"/>
          <w:szCs w:val="28"/>
        </w:rPr>
        <w:t>.</w:t>
      </w:r>
      <w:r w:rsidR="004D3A7D">
        <w:rPr>
          <w:rFonts w:ascii="Times New Roman" w:hAnsi="Times New Roman" w:cs="Times New Roman"/>
          <w:sz w:val="28"/>
          <w:szCs w:val="28"/>
        </w:rPr>
        <w:t xml:space="preserve"> За 1 полугодие поступили субсидии на реализацию проекта «Народный бюджет» в сумме 140,0 тыс. рублей, на оформление земельных участков -167,3 тыс. рублей, на организацию уличного освещения -26,5 тыс. рублей.</w:t>
      </w:r>
    </w:p>
    <w:p w:rsidR="004D3A7D" w:rsidRDefault="003D29EE" w:rsidP="00984EF1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 xml:space="preserve">     Иные межбюджетные трансферты  в 1 полугодии 201</w:t>
      </w:r>
      <w:r w:rsidR="00280257">
        <w:rPr>
          <w:rFonts w:ascii="Times New Roman" w:hAnsi="Times New Roman" w:cs="Times New Roman"/>
          <w:sz w:val="28"/>
          <w:szCs w:val="28"/>
        </w:rPr>
        <w:t>9</w:t>
      </w:r>
      <w:r w:rsidR="0063630B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80257">
        <w:rPr>
          <w:rFonts w:ascii="Times New Roman" w:hAnsi="Times New Roman" w:cs="Times New Roman"/>
          <w:sz w:val="28"/>
          <w:szCs w:val="28"/>
        </w:rPr>
        <w:t>134,7</w:t>
      </w:r>
      <w:r w:rsidR="0063630B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0257">
        <w:rPr>
          <w:rFonts w:ascii="Times New Roman" w:hAnsi="Times New Roman" w:cs="Times New Roman"/>
          <w:sz w:val="28"/>
          <w:szCs w:val="28"/>
        </w:rPr>
        <w:t>43,3</w:t>
      </w:r>
      <w:r w:rsidRPr="003D29E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280257">
        <w:rPr>
          <w:rFonts w:ascii="Times New Roman" w:hAnsi="Times New Roman" w:cs="Times New Roman"/>
          <w:sz w:val="28"/>
          <w:szCs w:val="28"/>
        </w:rPr>
        <w:t>310,7</w:t>
      </w:r>
      <w:r w:rsidR="00984EF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3D29EE">
        <w:rPr>
          <w:rFonts w:ascii="Times New Roman" w:hAnsi="Times New Roman" w:cs="Times New Roman"/>
          <w:sz w:val="28"/>
          <w:szCs w:val="28"/>
        </w:rPr>
        <w:t xml:space="preserve"> Доля иных межбюджетных трансфертов в общем объеме безвозмездных поступлений составила </w:t>
      </w:r>
      <w:r w:rsidR="00280257">
        <w:rPr>
          <w:rFonts w:ascii="Times New Roman" w:hAnsi="Times New Roman" w:cs="Times New Roman"/>
          <w:sz w:val="28"/>
          <w:szCs w:val="28"/>
        </w:rPr>
        <w:t xml:space="preserve">8,6 </w:t>
      </w:r>
      <w:r w:rsidRPr="003D29EE">
        <w:rPr>
          <w:rFonts w:ascii="Times New Roman" w:hAnsi="Times New Roman" w:cs="Times New Roman"/>
          <w:sz w:val="28"/>
          <w:szCs w:val="28"/>
        </w:rPr>
        <w:t>процента.</w:t>
      </w:r>
      <w:r w:rsidR="004D3A7D">
        <w:rPr>
          <w:rFonts w:ascii="Times New Roman" w:hAnsi="Times New Roman" w:cs="Times New Roman"/>
          <w:sz w:val="28"/>
          <w:szCs w:val="28"/>
        </w:rPr>
        <w:t xml:space="preserve"> Поступили иные межбюджетные трансферты из бюджета района на содержание дорог в сумме 108,4 тыс. рублей, на администрирование дорожной деятельности в сумме 3,5 тыс. рублей, на повышение заработной платы до минимального  размера -22,8 тыс. рублей.</w:t>
      </w:r>
      <w:r w:rsidRPr="003D29EE">
        <w:rPr>
          <w:rFonts w:ascii="Times New Roman" w:hAnsi="Times New Roman" w:cs="Times New Roman"/>
          <w:sz w:val="28"/>
          <w:szCs w:val="28"/>
        </w:rPr>
        <w:t xml:space="preserve">    </w:t>
      </w:r>
      <w:r w:rsidR="0063630B" w:rsidRPr="003D29EE">
        <w:rPr>
          <w:rFonts w:ascii="Times New Roman" w:hAnsi="Times New Roman" w:cs="Times New Roman"/>
          <w:sz w:val="28"/>
          <w:szCs w:val="28"/>
        </w:rPr>
        <w:t>По сравнению с 1 полугодием 201</w:t>
      </w:r>
      <w:r w:rsidR="00280257">
        <w:rPr>
          <w:rFonts w:ascii="Times New Roman" w:hAnsi="Times New Roman" w:cs="Times New Roman"/>
          <w:sz w:val="28"/>
          <w:szCs w:val="28"/>
        </w:rPr>
        <w:t>8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5C13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 </w:t>
      </w:r>
      <w:r w:rsidR="0063630B">
        <w:rPr>
          <w:rFonts w:ascii="Times New Roman" w:hAnsi="Times New Roman" w:cs="Times New Roman"/>
          <w:sz w:val="28"/>
          <w:szCs w:val="28"/>
        </w:rPr>
        <w:t>ины</w:t>
      </w:r>
      <w:r w:rsidR="00565C13">
        <w:rPr>
          <w:rFonts w:ascii="Times New Roman" w:hAnsi="Times New Roman" w:cs="Times New Roman"/>
          <w:sz w:val="28"/>
          <w:szCs w:val="28"/>
        </w:rPr>
        <w:t>х</w:t>
      </w:r>
      <w:r w:rsidR="0063630B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565C13">
        <w:rPr>
          <w:rFonts w:ascii="Times New Roman" w:hAnsi="Times New Roman" w:cs="Times New Roman"/>
          <w:sz w:val="28"/>
          <w:szCs w:val="28"/>
        </w:rPr>
        <w:t>х</w:t>
      </w:r>
      <w:r w:rsidR="0063630B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565C13">
        <w:rPr>
          <w:rFonts w:ascii="Times New Roman" w:hAnsi="Times New Roman" w:cs="Times New Roman"/>
          <w:sz w:val="28"/>
          <w:szCs w:val="28"/>
        </w:rPr>
        <w:t xml:space="preserve">ов </w:t>
      </w:r>
      <w:r w:rsidR="0028025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на </w:t>
      </w:r>
      <w:r w:rsidR="00280257">
        <w:rPr>
          <w:rFonts w:ascii="Times New Roman" w:hAnsi="Times New Roman" w:cs="Times New Roman"/>
          <w:sz w:val="28"/>
          <w:szCs w:val="28"/>
        </w:rPr>
        <w:t xml:space="preserve">61,5 </w:t>
      </w:r>
      <w:r w:rsidR="0063630B" w:rsidRPr="003D29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80257">
        <w:rPr>
          <w:rFonts w:ascii="Times New Roman" w:hAnsi="Times New Roman" w:cs="Times New Roman"/>
          <w:sz w:val="28"/>
          <w:szCs w:val="28"/>
        </w:rPr>
        <w:t>в 1,8 раза. Увеличение иных межбюджетных трансфертов связано с увеличением затрат на содержание дорог в зимний период, так как  поселение выполняет полномочия по содержанию дорог  и администрированию дорожной деятельности в соответствии с заключенным с администрацией района Соглашением.</w:t>
      </w:r>
    </w:p>
    <w:p w:rsidR="00A306A7" w:rsidRPr="003D29EE" w:rsidRDefault="0063630B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в 1 полугодии 201</w:t>
      </w:r>
      <w:r w:rsidR="00280257">
        <w:rPr>
          <w:rFonts w:ascii="Times New Roman" w:hAnsi="Times New Roman" w:cs="Times New Roman"/>
          <w:sz w:val="28"/>
          <w:szCs w:val="28"/>
        </w:rPr>
        <w:t>9</w:t>
      </w:r>
      <w:r w:rsidR="00565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составили </w:t>
      </w:r>
      <w:r w:rsidR="00280257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0257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 xml:space="preserve"> процента к утвержденным годовым назначениям в сумме </w:t>
      </w:r>
      <w:r w:rsidR="00280257">
        <w:rPr>
          <w:rFonts w:ascii="Times New Roman" w:hAnsi="Times New Roman" w:cs="Times New Roman"/>
          <w:sz w:val="28"/>
          <w:szCs w:val="28"/>
        </w:rPr>
        <w:t>104,0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D75EE">
        <w:rPr>
          <w:rFonts w:ascii="Times New Roman" w:hAnsi="Times New Roman" w:cs="Times New Roman"/>
          <w:sz w:val="28"/>
          <w:szCs w:val="28"/>
        </w:rPr>
        <w:t xml:space="preserve"> </w:t>
      </w:r>
      <w:r w:rsidR="00565C13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размер прочих безвозмездных поступлений </w:t>
      </w:r>
      <w:r w:rsidR="00280257">
        <w:rPr>
          <w:rFonts w:ascii="Times New Roman" w:hAnsi="Times New Roman" w:cs="Times New Roman"/>
          <w:sz w:val="28"/>
          <w:szCs w:val="28"/>
        </w:rPr>
        <w:t>снизился</w:t>
      </w:r>
      <w:r w:rsidR="00565C13">
        <w:rPr>
          <w:rFonts w:ascii="Times New Roman" w:hAnsi="Times New Roman" w:cs="Times New Roman"/>
          <w:sz w:val="28"/>
          <w:szCs w:val="28"/>
        </w:rPr>
        <w:t xml:space="preserve"> на </w:t>
      </w:r>
      <w:r w:rsidR="00280257">
        <w:rPr>
          <w:rFonts w:ascii="Times New Roman" w:hAnsi="Times New Roman" w:cs="Times New Roman"/>
          <w:sz w:val="28"/>
          <w:szCs w:val="28"/>
        </w:rPr>
        <w:t xml:space="preserve">27,0 </w:t>
      </w:r>
      <w:r w:rsidR="00565C13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280257">
        <w:rPr>
          <w:rFonts w:ascii="Times New Roman" w:hAnsi="Times New Roman" w:cs="Times New Roman"/>
          <w:sz w:val="28"/>
          <w:szCs w:val="28"/>
        </w:rPr>
        <w:t>51,9</w:t>
      </w:r>
      <w:r w:rsidR="00565C13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D75EE">
        <w:rPr>
          <w:rFonts w:ascii="Times New Roman" w:hAnsi="Times New Roman" w:cs="Times New Roman"/>
          <w:sz w:val="28"/>
          <w:szCs w:val="28"/>
        </w:rPr>
        <w:t xml:space="preserve"> </w:t>
      </w:r>
      <w:r w:rsidR="00565C13">
        <w:rPr>
          <w:rFonts w:ascii="Times New Roman" w:hAnsi="Times New Roman" w:cs="Times New Roman"/>
          <w:sz w:val="28"/>
          <w:szCs w:val="28"/>
        </w:rPr>
        <w:t xml:space="preserve"> Доля </w:t>
      </w:r>
      <w:r w:rsidR="007D75EE">
        <w:rPr>
          <w:rFonts w:ascii="Times New Roman" w:hAnsi="Times New Roman" w:cs="Times New Roman"/>
          <w:sz w:val="28"/>
          <w:szCs w:val="28"/>
        </w:rPr>
        <w:t xml:space="preserve">прочих безвозмездных поступлений в общем объеме безвозмездных поступлений составила </w:t>
      </w:r>
      <w:r w:rsidR="00280257">
        <w:rPr>
          <w:rFonts w:ascii="Times New Roman" w:hAnsi="Times New Roman" w:cs="Times New Roman"/>
          <w:sz w:val="28"/>
          <w:szCs w:val="28"/>
        </w:rPr>
        <w:t xml:space="preserve">1,6 </w:t>
      </w:r>
      <w:r w:rsidR="007D75EE">
        <w:rPr>
          <w:rFonts w:ascii="Times New Roman" w:hAnsi="Times New Roman" w:cs="Times New Roman"/>
          <w:sz w:val="28"/>
          <w:szCs w:val="28"/>
        </w:rPr>
        <w:t>процента.</w:t>
      </w:r>
      <w:r w:rsidR="00565C13">
        <w:rPr>
          <w:rFonts w:ascii="Times New Roman" w:hAnsi="Times New Roman" w:cs="Times New Roman"/>
          <w:sz w:val="28"/>
          <w:szCs w:val="28"/>
        </w:rPr>
        <w:t xml:space="preserve"> Пожертвования поступили  от ООО «Монза» на реализацию проекта «Народный бюджет».</w:t>
      </w:r>
    </w:p>
    <w:p w:rsidR="00D60C6B" w:rsidRDefault="003D29E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9EE">
        <w:rPr>
          <w:rFonts w:ascii="Times New Roman" w:hAnsi="Times New Roman" w:cs="Times New Roman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201</w:t>
      </w:r>
      <w:r w:rsidR="00280257">
        <w:rPr>
          <w:rFonts w:ascii="Times New Roman" w:hAnsi="Times New Roman" w:cs="Times New Roman"/>
          <w:sz w:val="28"/>
          <w:szCs w:val="28"/>
        </w:rPr>
        <w:t>8</w:t>
      </w:r>
      <w:r w:rsidRPr="003D29EE">
        <w:rPr>
          <w:rFonts w:ascii="Times New Roman" w:hAnsi="Times New Roman" w:cs="Times New Roman"/>
          <w:sz w:val="28"/>
          <w:szCs w:val="28"/>
        </w:rPr>
        <w:t xml:space="preserve"> года, а также на   01 января и  01 июля 201</w:t>
      </w:r>
      <w:r w:rsidR="00280257">
        <w:rPr>
          <w:rFonts w:ascii="Times New Roman" w:hAnsi="Times New Roman" w:cs="Times New Roman"/>
          <w:sz w:val="28"/>
          <w:szCs w:val="28"/>
        </w:rPr>
        <w:t>9</w:t>
      </w:r>
      <w:r w:rsidR="007D75EE">
        <w:rPr>
          <w:rFonts w:ascii="Times New Roman" w:hAnsi="Times New Roman" w:cs="Times New Roman"/>
          <w:sz w:val="28"/>
          <w:szCs w:val="28"/>
        </w:rPr>
        <w:t xml:space="preserve"> </w:t>
      </w:r>
      <w:r w:rsidRPr="003D29EE">
        <w:rPr>
          <w:rFonts w:ascii="Times New Roman" w:hAnsi="Times New Roman" w:cs="Times New Roman"/>
          <w:sz w:val="28"/>
          <w:szCs w:val="28"/>
        </w:rPr>
        <w:t>года.</w:t>
      </w:r>
    </w:p>
    <w:p w:rsidR="000C059E" w:rsidRPr="003D29EE" w:rsidRDefault="000C059E" w:rsidP="003D29E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  <w:r w:rsidRPr="00984EF1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D60C6B" w:rsidRPr="00984EF1" w:rsidRDefault="00D60C6B" w:rsidP="00D60C6B">
      <w:pPr>
        <w:pStyle w:val="ab"/>
        <w:spacing w:after="0"/>
        <w:ind w:firstLine="709"/>
        <w:contextualSpacing/>
        <w:jc w:val="both"/>
        <w:rPr>
          <w:sz w:val="28"/>
          <w:szCs w:val="28"/>
        </w:rPr>
      </w:pPr>
    </w:p>
    <w:p w:rsidR="00D60C6B" w:rsidRPr="00984EF1" w:rsidRDefault="00694D8E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  <w:r w:rsidR="00D60C6B" w:rsidRPr="00984E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85"/>
        <w:gridCol w:w="958"/>
        <w:gridCol w:w="1053"/>
        <w:gridCol w:w="12"/>
        <w:gridCol w:w="1061"/>
      </w:tblGrid>
      <w:tr w:rsidR="00984EF1" w:rsidRPr="00984EF1" w:rsidTr="003D29EE">
        <w:trPr>
          <w:trHeight w:val="404"/>
        </w:trPr>
        <w:tc>
          <w:tcPr>
            <w:tcW w:w="3652" w:type="dxa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Объем задолженности плательщиков по состоянию на:</w:t>
            </w:r>
          </w:p>
        </w:tc>
        <w:tc>
          <w:tcPr>
            <w:tcW w:w="1065" w:type="dxa"/>
            <w:gridSpan w:val="2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  <w:p w:rsidR="00D60C6B" w:rsidRPr="00984EF1" w:rsidRDefault="00D60C6B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графы</w:t>
            </w:r>
          </w:p>
          <w:p w:rsidR="00D60C6B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C6B"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от графы 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EF1" w:rsidRPr="00984EF1" w:rsidTr="003D29EE">
        <w:trPr>
          <w:trHeight w:val="1063"/>
        </w:trPr>
        <w:tc>
          <w:tcPr>
            <w:tcW w:w="3652" w:type="dxa"/>
            <w:vMerge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802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01.01.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025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3D29EE" w:rsidRPr="00984EF1" w:rsidRDefault="007D75EE" w:rsidP="007D75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3D29EE" w:rsidRPr="00984EF1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802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958" w:type="dxa"/>
          </w:tcPr>
          <w:p w:rsidR="003D29EE" w:rsidRPr="00984EF1" w:rsidRDefault="003D29EE" w:rsidP="007D75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02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29EE" w:rsidRPr="00984EF1" w:rsidRDefault="003D29EE" w:rsidP="003D29EE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vMerge/>
          </w:tcPr>
          <w:p w:rsidR="003D29EE" w:rsidRPr="00984EF1" w:rsidRDefault="003D29EE" w:rsidP="00336BE2">
            <w:pPr>
              <w:spacing w:after="0" w:line="240" w:lineRule="auto"/>
              <w:ind w:firstLine="1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EF1" w:rsidRPr="00984EF1" w:rsidTr="003D29EE">
        <w:trPr>
          <w:trHeight w:val="316"/>
        </w:trPr>
        <w:tc>
          <w:tcPr>
            <w:tcW w:w="3652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5" w:type="dxa"/>
          </w:tcPr>
          <w:p w:rsidR="003D29EE" w:rsidRPr="00984EF1" w:rsidRDefault="003D29EE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3D29EE" w:rsidRPr="00984EF1" w:rsidRDefault="0009674D" w:rsidP="003D2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  <w:gridSpan w:val="2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3D29EE" w:rsidRPr="00984EF1" w:rsidRDefault="003D29EE" w:rsidP="0033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306A7" w:rsidRPr="00984EF1" w:rsidTr="003D29EE">
        <w:tc>
          <w:tcPr>
            <w:tcW w:w="3652" w:type="dxa"/>
          </w:tcPr>
          <w:p w:rsidR="00A306A7" w:rsidRPr="00984EF1" w:rsidRDefault="00A306A7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</w:tcPr>
          <w:p w:rsidR="00A306A7" w:rsidRPr="00A306A7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06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58" w:type="dxa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65" w:type="dxa"/>
            <w:gridSpan w:val="2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</w:t>
            </w:r>
          </w:p>
        </w:tc>
        <w:tc>
          <w:tcPr>
            <w:tcW w:w="1061" w:type="dxa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</w:tr>
      <w:tr w:rsidR="00A306A7" w:rsidRPr="00984EF1" w:rsidTr="003D29EE">
        <w:tc>
          <w:tcPr>
            <w:tcW w:w="3652" w:type="dxa"/>
          </w:tcPr>
          <w:p w:rsidR="00A306A7" w:rsidRPr="00984EF1" w:rsidRDefault="00A306A7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  <w:tc>
          <w:tcPr>
            <w:tcW w:w="1134" w:type="dxa"/>
          </w:tcPr>
          <w:p w:rsidR="00A306A7" w:rsidRPr="00A306A7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06A7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885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58" w:type="dxa"/>
          </w:tcPr>
          <w:p w:rsidR="00A306A7" w:rsidRPr="00984EF1" w:rsidRDefault="00DB6E73" w:rsidP="00610D4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065" w:type="dxa"/>
            <w:gridSpan w:val="2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-10,0</w:t>
            </w:r>
          </w:p>
        </w:tc>
        <w:tc>
          <w:tcPr>
            <w:tcW w:w="1061" w:type="dxa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A306A7" w:rsidRPr="00984EF1" w:rsidTr="003D29EE">
        <w:tc>
          <w:tcPr>
            <w:tcW w:w="3652" w:type="dxa"/>
          </w:tcPr>
          <w:p w:rsidR="00A306A7" w:rsidRPr="00984EF1" w:rsidRDefault="00A306A7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93,4</w:t>
            </w:r>
          </w:p>
        </w:tc>
        <w:tc>
          <w:tcPr>
            <w:tcW w:w="1134" w:type="dxa"/>
          </w:tcPr>
          <w:p w:rsidR="00A306A7" w:rsidRPr="00A306A7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06A7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885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958" w:type="dxa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053" w:type="dxa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-27,0</w:t>
            </w:r>
          </w:p>
        </w:tc>
        <w:tc>
          <w:tcPr>
            <w:tcW w:w="1073" w:type="dxa"/>
            <w:gridSpan w:val="2"/>
          </w:tcPr>
          <w:p w:rsidR="00DB6E73" w:rsidRPr="00984EF1" w:rsidRDefault="00DB6E73" w:rsidP="00DB6E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  <w:tr w:rsidR="00A306A7" w:rsidRPr="00984EF1" w:rsidTr="00100B7A">
        <w:trPr>
          <w:trHeight w:val="1092"/>
        </w:trPr>
        <w:tc>
          <w:tcPr>
            <w:tcW w:w="3652" w:type="dxa"/>
          </w:tcPr>
          <w:p w:rsidR="00A306A7" w:rsidRPr="00984EF1" w:rsidRDefault="00A306A7" w:rsidP="00336BE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и перерасчеты по отмененным налогам </w:t>
            </w:r>
          </w:p>
        </w:tc>
        <w:tc>
          <w:tcPr>
            <w:tcW w:w="1134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306A7" w:rsidRPr="00A306A7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06A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85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58" w:type="dxa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53" w:type="dxa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73" w:type="dxa"/>
            <w:gridSpan w:val="2"/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306A7" w:rsidRPr="00984EF1" w:rsidTr="003D29EE">
        <w:tc>
          <w:tcPr>
            <w:tcW w:w="3652" w:type="dxa"/>
          </w:tcPr>
          <w:p w:rsidR="00A306A7" w:rsidRPr="00984EF1" w:rsidRDefault="00A306A7" w:rsidP="00336BE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4E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125,6</w:t>
            </w:r>
          </w:p>
        </w:tc>
        <w:tc>
          <w:tcPr>
            <w:tcW w:w="1134" w:type="dxa"/>
          </w:tcPr>
          <w:p w:rsidR="00A306A7" w:rsidRPr="00A306A7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06A7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A306A7" w:rsidRPr="00984EF1" w:rsidRDefault="00A306A7" w:rsidP="000326D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-37,1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A306A7" w:rsidRPr="00984EF1" w:rsidRDefault="00DB6E73" w:rsidP="00336B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</w:tbl>
    <w:p w:rsidR="00D60C6B" w:rsidRPr="00984EF1" w:rsidRDefault="00D60C6B" w:rsidP="00D60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7E0D" w:rsidRDefault="00607E0D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B6E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6E73"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  В рамках вышеприведенного анализа  наблюдается  </w:t>
      </w:r>
      <w:r w:rsidR="00DB6E73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DB6E73"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 w:rsidR="00DB6E7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B6E73"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 w:rsidR="00DB6E73">
        <w:rPr>
          <w:rFonts w:ascii="Times New Roman" w:hAnsi="Times New Roman" w:cs="Times New Roman"/>
          <w:color w:val="000000"/>
          <w:sz w:val="28"/>
          <w:szCs w:val="28"/>
        </w:rPr>
        <w:t>37,1</w:t>
      </w:r>
      <w:r w:rsidR="00DB6E73" w:rsidRPr="0001473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на </w:t>
      </w:r>
      <w:r w:rsidR="00DB6E73">
        <w:rPr>
          <w:rFonts w:ascii="Times New Roman" w:hAnsi="Times New Roman" w:cs="Times New Roman"/>
          <w:color w:val="000000"/>
          <w:sz w:val="28"/>
          <w:szCs w:val="28"/>
        </w:rPr>
        <w:t xml:space="preserve">29,5 </w:t>
      </w:r>
      <w:r w:rsidR="00DB6E73" w:rsidRPr="00014734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B6E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а 01.07. 201</w:t>
      </w:r>
      <w:r w:rsidR="00DB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70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>ри сравнении недоимки  с аналогичным периодом прошлого года  наблюдается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1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59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на </w:t>
      </w:r>
      <w:r w:rsidR="00DB6E73">
        <w:rPr>
          <w:rFonts w:ascii="Times New Roman" w:eastAsia="Times New Roman" w:hAnsi="Times New Roman" w:cs="Times New Roman"/>
          <w:color w:val="000000"/>
          <w:sz w:val="28"/>
          <w:szCs w:val="28"/>
        </w:rPr>
        <w:t>13,8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326D4">
        <w:rPr>
          <w:rFonts w:ascii="Times New Roman" w:eastAsia="Times New Roman" w:hAnsi="Times New Roman" w:cs="Times New Roman"/>
          <w:color w:val="000000"/>
          <w:sz w:val="28"/>
          <w:szCs w:val="28"/>
        </w:rPr>
        <w:t>21,7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100B7A" w:rsidRPr="00607E0D" w:rsidRDefault="00100B7A" w:rsidP="00607E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по налогу на доходы физических лиц </w:t>
      </w:r>
      <w:r w:rsidR="000326D4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0,</w:t>
      </w:r>
      <w:r w:rsidR="000326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</w:t>
      </w:r>
      <w:r w:rsidR="000326D4">
        <w:rPr>
          <w:rFonts w:ascii="Times New Roman" w:eastAsia="Times New Roman" w:hAnsi="Times New Roman" w:cs="Times New Roman"/>
          <w:color w:val="000000"/>
          <w:sz w:val="28"/>
          <w:szCs w:val="28"/>
        </w:rPr>
        <w:t>на 100,0 %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 </w:t>
      </w:r>
      <w:r w:rsidR="000326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326D4">
        <w:rPr>
          <w:rFonts w:ascii="Times New Roman" w:eastAsia="Times New Roman" w:hAnsi="Times New Roman" w:cs="Times New Roman"/>
          <w:color w:val="000000"/>
          <w:sz w:val="28"/>
          <w:szCs w:val="28"/>
        </w:rPr>
        <w:t>5,1</w:t>
      </w:r>
      <w:r w:rsidR="00100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326D4">
        <w:rPr>
          <w:rFonts w:ascii="Times New Roman" w:eastAsia="Times New Roman" w:hAnsi="Times New Roman" w:cs="Times New Roman"/>
          <w:color w:val="000000"/>
          <w:sz w:val="28"/>
          <w:szCs w:val="28"/>
        </w:rPr>
        <w:t>38,6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</w:t>
      </w:r>
      <w:r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7E0D" w:rsidRPr="00607E0D" w:rsidRDefault="00607E0D" w:rsidP="00607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E0D">
        <w:rPr>
          <w:rFonts w:ascii="Times New Roman" w:eastAsia="Times New Roman" w:hAnsi="Times New Roman" w:cs="Times New Roman"/>
          <w:sz w:val="28"/>
          <w:szCs w:val="28"/>
        </w:rPr>
        <w:t>- по земельному налогу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 xml:space="preserve"> рост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8,9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17,7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3A7D" w:rsidRDefault="00501644" w:rsidP="004D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Из имеющихся данных на 01.07.201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9</w:t>
      </w:r>
      <w:r w:rsidR="00100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>года следует, что наибольший удельный вес в структуре недоимки по платежам  составляет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E0D">
        <w:rPr>
          <w:rFonts w:ascii="Times New Roman" w:eastAsia="Times New Roman" w:hAnsi="Times New Roman" w:cs="Times New Roman"/>
          <w:sz w:val="28"/>
          <w:szCs w:val="28"/>
        </w:rPr>
        <w:t>земельный налог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76,4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% от общей суммы недоимки, на втором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 xml:space="preserve"> и последнем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месте  задолженность</w:t>
      </w:r>
      <w:r w:rsidR="00607E0D"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5D521D" w:rsidRPr="005D521D">
        <w:rPr>
          <w:rFonts w:ascii="Times New Roman" w:hAnsi="Times New Roman" w:cs="Times New Roman"/>
          <w:sz w:val="28"/>
          <w:szCs w:val="28"/>
        </w:rPr>
        <w:t xml:space="preserve"> </w:t>
      </w:r>
      <w:r w:rsidR="005D521D">
        <w:rPr>
          <w:rFonts w:ascii="Times New Roman" w:hAnsi="Times New Roman" w:cs="Times New Roman"/>
          <w:sz w:val="28"/>
          <w:szCs w:val="28"/>
        </w:rPr>
        <w:t>н</w:t>
      </w:r>
      <w:r w:rsidR="005D521D" w:rsidRPr="00984EF1">
        <w:rPr>
          <w:rFonts w:ascii="Times New Roman" w:hAnsi="Times New Roman" w:cs="Times New Roman"/>
          <w:sz w:val="28"/>
          <w:szCs w:val="28"/>
        </w:rPr>
        <w:t>алог</w:t>
      </w:r>
      <w:r w:rsidR="005D521D">
        <w:rPr>
          <w:rFonts w:ascii="Times New Roman" w:hAnsi="Times New Roman" w:cs="Times New Roman"/>
          <w:sz w:val="28"/>
          <w:szCs w:val="28"/>
        </w:rPr>
        <w:t>у</w:t>
      </w:r>
      <w:r w:rsidR="005D521D" w:rsidRPr="00984EF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607E0D" w:rsidRPr="00607E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23,6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5D521D" w:rsidRPr="005D521D">
        <w:rPr>
          <w:sz w:val="28"/>
          <w:szCs w:val="28"/>
        </w:rPr>
        <w:t xml:space="preserve"> </w:t>
      </w:r>
      <w:r w:rsidR="005D521D" w:rsidRPr="00100B7A">
        <w:rPr>
          <w:rFonts w:ascii="Times New Roman" w:hAnsi="Times New Roman" w:cs="Times New Roman"/>
          <w:sz w:val="28"/>
          <w:szCs w:val="28"/>
        </w:rPr>
        <w:t>от общей</w:t>
      </w:r>
      <w:r w:rsidR="005D521D">
        <w:rPr>
          <w:sz w:val="28"/>
          <w:szCs w:val="28"/>
        </w:rPr>
        <w:t xml:space="preserve"> </w:t>
      </w:r>
      <w:r w:rsidR="005D521D" w:rsidRPr="005D521D">
        <w:rPr>
          <w:rFonts w:ascii="Times New Roman" w:hAnsi="Times New Roman" w:cs="Times New Roman"/>
          <w:sz w:val="28"/>
          <w:szCs w:val="28"/>
        </w:rPr>
        <w:t>суммы  недоимки</w:t>
      </w:r>
      <w:r w:rsidR="00607E0D" w:rsidRPr="00607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800" w:rsidRDefault="00205800" w:rsidP="004D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A7D" w:rsidRPr="0013238C" w:rsidRDefault="004D3A7D" w:rsidP="004D3A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238C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0326D4" w:rsidRPr="0013238C" w:rsidRDefault="000326D4" w:rsidP="00D60C6B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521D" w:rsidRPr="0013238C" w:rsidRDefault="00D60C6B" w:rsidP="005D52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38C">
        <w:rPr>
          <w:rFonts w:ascii="Times New Roman" w:hAnsi="Times New Roman" w:cs="Times New Roman"/>
          <w:sz w:val="28"/>
          <w:szCs w:val="28"/>
        </w:rPr>
        <w:tab/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>Расходы бюджета поселения за 1 полугодие  201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года  исполнены в сумме 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1574,9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. рублей, или 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37,6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4191,9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 тыс. рублей.  По сравнению с 1 полугодием 20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8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года  расходы </w:t>
      </w:r>
      <w:r w:rsidR="0013238C" w:rsidRPr="001323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0D6E">
        <w:rPr>
          <w:rFonts w:ascii="Times New Roman" w:eastAsia="Times New Roman" w:hAnsi="Times New Roman" w:cs="Times New Roman"/>
          <w:sz w:val="28"/>
          <w:szCs w:val="28"/>
        </w:rPr>
        <w:t xml:space="preserve">меньшились 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3,2</w:t>
      </w:r>
      <w:r w:rsidR="001157D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0326D4">
        <w:rPr>
          <w:rFonts w:ascii="Times New Roman" w:eastAsia="Times New Roman" w:hAnsi="Times New Roman" w:cs="Times New Roman"/>
          <w:sz w:val="28"/>
          <w:szCs w:val="28"/>
        </w:rPr>
        <w:t>0,2</w:t>
      </w:r>
      <w:r w:rsidR="005D521D" w:rsidRPr="0013238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</w:p>
    <w:p w:rsidR="005D521D" w:rsidRPr="0013238C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полугодием 201</w:t>
      </w:r>
      <w:r w:rsidR="000326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</w:t>
      </w:r>
      <w:r w:rsidRPr="0013238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отражена на следующей диаграмме:</w:t>
      </w:r>
      <w:r w:rsidRPr="001323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5D521D" w:rsidRDefault="005D521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 тыс. руб.</w:t>
      </w:r>
    </w:p>
    <w:p w:rsidR="00205800" w:rsidRDefault="00205800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5800" w:rsidRDefault="00205800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05800" w:rsidRPr="00C068E9" w:rsidRDefault="00205800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C068E9" w:rsidRDefault="00C068E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4D3A7D" w:rsidRDefault="004D3A7D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</w:p>
    <w:p w:rsidR="00C068E9" w:rsidRDefault="00057B69" w:rsidP="005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1789C62D" wp14:editId="0BAAC989">
            <wp:extent cx="6119495" cy="3562179"/>
            <wp:effectExtent l="0" t="0" r="14605" b="1968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11291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Наибольший удельный вес в расходах бюджета поселения занимают расходы  по раздел</w:t>
      </w:r>
      <w:r w:rsidR="00D06224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«Общегосударственные вопросы» - </w:t>
      </w:r>
      <w:r w:rsidR="00057B69">
        <w:rPr>
          <w:rFonts w:ascii="Times New Roman" w:eastAsia="Times New Roman" w:hAnsi="Times New Roman" w:cs="Times New Roman"/>
          <w:sz w:val="28"/>
          <w:szCs w:val="28"/>
        </w:rPr>
        <w:t>71,0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%,</w:t>
      </w:r>
      <w:r w:rsidR="00057B69">
        <w:rPr>
          <w:rFonts w:ascii="Times New Roman" w:eastAsia="Times New Roman" w:hAnsi="Times New Roman" w:cs="Times New Roman"/>
          <w:sz w:val="28"/>
          <w:szCs w:val="28"/>
        </w:rPr>
        <w:t xml:space="preserve"> «Национальная экономика» - 10,4 %,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>Социальная политика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>7,5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%, «Жилищно-коммунальное хозяйство»- 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>7,0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>%. На  долю расходов по разделам «Национальная оборона»,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9E505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«Физическая культура и спорт» приходится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>4,1</w:t>
      </w:r>
      <w:r w:rsidR="00915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процента. </w:t>
      </w:r>
    </w:p>
    <w:p w:rsidR="009E505E" w:rsidRPr="00C068E9" w:rsidRDefault="009E505E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</w:rPr>
      </w:pP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        Структура  расходов бюджета поселения за 1 полугодие 201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C068E9">
        <w:rPr>
          <w:rFonts w:ascii="Times New Roman" w:eastAsia="Times New Roman" w:hAnsi="Times New Roman" w:cs="Times New Roman"/>
          <w:sz w:val="28"/>
          <w:szCs w:val="28"/>
        </w:rPr>
        <w:t xml:space="preserve"> года отражена на диаграмме:   </w:t>
      </w:r>
    </w:p>
    <w:p w:rsidR="005D521D" w:rsidRPr="0013238C" w:rsidRDefault="00224009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28B8943A" wp14:editId="48AB2394">
            <wp:extent cx="6119495" cy="3266594"/>
            <wp:effectExtent l="0" t="0" r="14605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521D" w:rsidRPr="0013238C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5D521D" w:rsidRPr="00AC31B3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В течение отчетного периода не производились расходы, предусмотренны</w:t>
      </w:r>
      <w:r w:rsidR="008079C4" w:rsidRPr="00AC31B3">
        <w:rPr>
          <w:rFonts w:ascii="Times New Roman" w:eastAsia="Times New Roman" w:hAnsi="Times New Roman" w:cs="Times New Roman"/>
          <w:sz w:val="28"/>
          <w:szCs w:val="28"/>
        </w:rPr>
        <w:t>е решением о бюджете, по раздел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079C4" w:rsidRPr="00AC3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1D" w:rsidRPr="00AC31B3" w:rsidRDefault="005D521D" w:rsidP="00AC31B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данн</w:t>
      </w:r>
      <w:r w:rsidR="00D36978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D3697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>на мероприятия по обеспечению пожарной безопасности.</w:t>
      </w:r>
    </w:p>
    <w:p w:rsidR="005D521D" w:rsidRPr="00AC31B3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По  всем разделам классификации расходов  уровень исполнения к годовым назначениям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ниже 50,0 %, наиболее низкий уровень исполнения  по разделу «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="00AC31B3" w:rsidRPr="00AC31B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составил всего лишь </w:t>
      </w:r>
      <w:r w:rsidR="00224009">
        <w:rPr>
          <w:rFonts w:ascii="Times New Roman" w:eastAsia="Times New Roman" w:hAnsi="Times New Roman" w:cs="Times New Roman"/>
          <w:sz w:val="28"/>
          <w:szCs w:val="28"/>
        </w:rPr>
        <w:t>13,2</w:t>
      </w:r>
      <w:r w:rsidR="00C839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69179E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</w:t>
      </w:r>
      <w:r w:rsidR="00E1129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7DA" w:rsidRDefault="00694D8E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4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</w:t>
      </w:r>
      <w:r w:rsidR="006D185F" w:rsidRPr="006D185F">
        <w:rPr>
          <w:rFonts w:ascii="Times New Roman" w:eastAsia="Times New Roman" w:hAnsi="Times New Roman" w:cs="Times New Roman"/>
        </w:rPr>
        <w:tab/>
      </w:r>
      <w:r w:rsidR="006D185F" w:rsidRPr="006D185F">
        <w:rPr>
          <w:rFonts w:ascii="Times New Roman" w:eastAsia="Times New Roman" w:hAnsi="Times New Roman" w:cs="Times New Roman"/>
        </w:rPr>
        <w:tab/>
        <w:t xml:space="preserve">                тыс. руб.</w:t>
      </w:r>
    </w:p>
    <w:p w:rsidR="000326D4" w:rsidRDefault="000326D4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26D4" w:rsidRPr="006D185F" w:rsidRDefault="000326D4" w:rsidP="006D185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224009" w:rsidRPr="006D185F" w:rsidTr="000D7085">
        <w:trPr>
          <w:trHeight w:val="2561"/>
        </w:trPr>
        <w:tc>
          <w:tcPr>
            <w:tcW w:w="2273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 в   1 полугодии</w:t>
            </w:r>
          </w:p>
          <w:p w:rsidR="006D185F" w:rsidRPr="006D185F" w:rsidRDefault="006D185F" w:rsidP="0035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</w:t>
            </w:r>
            <w:r w:rsidR="001157DA">
              <w:rPr>
                <w:rFonts w:ascii="Times New Roman" w:eastAsia="Calibri" w:hAnsi="Times New Roman" w:cs="Times New Roman"/>
              </w:rPr>
              <w:t>1</w:t>
            </w:r>
            <w:r w:rsidR="00357539">
              <w:rPr>
                <w:rFonts w:ascii="Times New Roman" w:eastAsia="Calibri" w:hAnsi="Times New Roman" w:cs="Times New Roman"/>
              </w:rPr>
              <w:t>8</w:t>
            </w:r>
            <w:r w:rsidR="00D40D6E">
              <w:rPr>
                <w:rFonts w:ascii="Times New Roman" w:eastAsia="Calibri" w:hAnsi="Times New Roman" w:cs="Times New Roman"/>
              </w:rPr>
              <w:t xml:space="preserve"> </w:t>
            </w: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323" w:type="dxa"/>
          </w:tcPr>
          <w:p w:rsidR="006D185F" w:rsidRPr="006D185F" w:rsidRDefault="006D185F" w:rsidP="0035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Утверждено в бюджете на 201</w:t>
            </w:r>
            <w:r w:rsidR="00357539">
              <w:rPr>
                <w:rFonts w:ascii="Times New Roman" w:eastAsia="Times New Roman" w:hAnsi="Times New Roman" w:cs="Times New Roman"/>
              </w:rPr>
              <w:t xml:space="preserve">9 </w:t>
            </w:r>
            <w:r w:rsidRPr="006D18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6D185F" w:rsidRPr="006D185F" w:rsidRDefault="001157DA" w:rsidP="0035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6D185F" w:rsidRPr="006D185F">
              <w:rPr>
                <w:rFonts w:ascii="Times New Roman" w:eastAsia="Calibri" w:hAnsi="Times New Roman" w:cs="Times New Roman"/>
              </w:rPr>
              <w:t>олугодии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57539">
              <w:rPr>
                <w:rFonts w:ascii="Times New Roman" w:eastAsia="Calibri" w:hAnsi="Times New Roman" w:cs="Times New Roman"/>
              </w:rPr>
              <w:t xml:space="preserve"> </w:t>
            </w:r>
            <w:r w:rsidR="006D185F" w:rsidRPr="006D185F">
              <w:rPr>
                <w:rFonts w:ascii="Times New Roman" w:eastAsia="Calibri" w:hAnsi="Times New Roman" w:cs="Times New Roman"/>
              </w:rPr>
              <w:t xml:space="preserve"> 201</w:t>
            </w:r>
            <w:r w:rsidR="00357539">
              <w:rPr>
                <w:rFonts w:ascii="Times New Roman" w:eastAsia="Calibri" w:hAnsi="Times New Roman" w:cs="Times New Roman"/>
              </w:rPr>
              <w:t>9</w:t>
            </w:r>
            <w:r w:rsidR="003A3DA4">
              <w:rPr>
                <w:rFonts w:ascii="Times New Roman" w:eastAsia="Calibri" w:hAnsi="Times New Roman" w:cs="Times New Roman"/>
              </w:rPr>
              <w:t xml:space="preserve"> </w:t>
            </w:r>
            <w:r w:rsidR="006D185F"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277" w:type="dxa"/>
          </w:tcPr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 xml:space="preserve">Процент 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 201</w:t>
            </w:r>
            <w:r w:rsidR="00357539">
              <w:rPr>
                <w:rFonts w:ascii="Times New Roman" w:eastAsia="Calibri" w:hAnsi="Times New Roman" w:cs="Times New Roman"/>
              </w:rPr>
              <w:t>9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 от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 201</w:t>
            </w:r>
            <w:r w:rsidR="00357539">
              <w:rPr>
                <w:rFonts w:ascii="Times New Roman" w:eastAsia="Calibri" w:hAnsi="Times New Roman" w:cs="Times New Roman"/>
              </w:rPr>
              <w:t>8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  <w:p w:rsidR="006D185F" w:rsidRPr="006D185F" w:rsidRDefault="006D185F" w:rsidP="006D1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</w:tcPr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Исполнено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к уровню 1</w:t>
            </w:r>
          </w:p>
          <w:p w:rsidR="006D185F" w:rsidRPr="006D185F" w:rsidRDefault="006D185F" w:rsidP="006D1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полугодия</w:t>
            </w:r>
          </w:p>
          <w:p w:rsidR="006D185F" w:rsidRPr="006D185F" w:rsidRDefault="006D185F" w:rsidP="0035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Calibri" w:hAnsi="Times New Roman" w:cs="Times New Roman"/>
              </w:rPr>
              <w:t>201</w:t>
            </w:r>
            <w:r w:rsidR="00357539">
              <w:rPr>
                <w:rFonts w:ascii="Times New Roman" w:eastAsia="Calibri" w:hAnsi="Times New Roman" w:cs="Times New Roman"/>
              </w:rPr>
              <w:t>8</w:t>
            </w:r>
            <w:r w:rsidR="00D40D6E">
              <w:rPr>
                <w:rFonts w:ascii="Times New Roman" w:eastAsia="Calibri" w:hAnsi="Times New Roman" w:cs="Times New Roman"/>
              </w:rPr>
              <w:t xml:space="preserve"> </w:t>
            </w:r>
            <w:r w:rsidRPr="006D185F">
              <w:rPr>
                <w:rFonts w:ascii="Times New Roman" w:eastAsia="Calibri" w:hAnsi="Times New Roman" w:cs="Times New Roman"/>
              </w:rPr>
              <w:t>года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1227,0</w:t>
            </w:r>
          </w:p>
        </w:tc>
        <w:tc>
          <w:tcPr>
            <w:tcW w:w="1323" w:type="dxa"/>
          </w:tcPr>
          <w:p w:rsidR="00357539" w:rsidRPr="006D185F" w:rsidRDefault="00357539" w:rsidP="000D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2397,8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1118,7</w:t>
            </w:r>
          </w:p>
        </w:tc>
        <w:tc>
          <w:tcPr>
            <w:tcW w:w="1277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-108,3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91,2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в том числе, резервный фонд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92,1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1277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113,6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95,5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357539" w:rsidRPr="006D185F" w:rsidRDefault="00357539" w:rsidP="003A3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-1,5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68,2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443,8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164,1</w:t>
            </w:r>
          </w:p>
        </w:tc>
        <w:tc>
          <w:tcPr>
            <w:tcW w:w="1277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37,0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95,9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2,4 раза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838,8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110,8</w:t>
            </w:r>
          </w:p>
        </w:tc>
        <w:tc>
          <w:tcPr>
            <w:tcW w:w="1277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1212" w:type="dxa"/>
          </w:tcPr>
          <w:p w:rsidR="00357539" w:rsidRPr="006D185F" w:rsidRDefault="00357539" w:rsidP="0010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124,6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77" w:type="dxa"/>
          </w:tcPr>
          <w:p w:rsidR="00357539" w:rsidRPr="006D185F" w:rsidRDefault="00357539" w:rsidP="00357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21,1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106,1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244,0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118,2</w:t>
            </w:r>
          </w:p>
        </w:tc>
        <w:tc>
          <w:tcPr>
            <w:tcW w:w="1277" w:type="dxa"/>
          </w:tcPr>
          <w:p w:rsidR="00357539" w:rsidRPr="006D185F" w:rsidRDefault="00357539" w:rsidP="000D7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12,1</w:t>
            </w:r>
          </w:p>
        </w:tc>
        <w:tc>
          <w:tcPr>
            <w:tcW w:w="1212" w:type="dxa"/>
          </w:tcPr>
          <w:p w:rsidR="00357539" w:rsidRPr="006D185F" w:rsidRDefault="00357539" w:rsidP="001012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111,4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185F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45,9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1277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-29,2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36,4</w:t>
            </w:r>
          </w:p>
        </w:tc>
      </w:tr>
      <w:tr w:rsidR="00224009" w:rsidRPr="006D185F" w:rsidTr="000D7085">
        <w:tc>
          <w:tcPr>
            <w:tcW w:w="2273" w:type="dxa"/>
          </w:tcPr>
          <w:p w:rsidR="00357539" w:rsidRPr="006D185F" w:rsidRDefault="00357539" w:rsidP="006D1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D185F"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357539" w:rsidRPr="006D185F" w:rsidRDefault="00357539" w:rsidP="00054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1578,1</w:t>
            </w:r>
          </w:p>
        </w:tc>
        <w:tc>
          <w:tcPr>
            <w:tcW w:w="1323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4191,9</w:t>
            </w:r>
          </w:p>
        </w:tc>
        <w:tc>
          <w:tcPr>
            <w:tcW w:w="1212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1574,9</w:t>
            </w:r>
          </w:p>
        </w:tc>
        <w:tc>
          <w:tcPr>
            <w:tcW w:w="1277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37,6</w:t>
            </w:r>
          </w:p>
        </w:tc>
        <w:tc>
          <w:tcPr>
            <w:tcW w:w="1344" w:type="dxa"/>
          </w:tcPr>
          <w:p w:rsidR="00357539" w:rsidRPr="006D185F" w:rsidRDefault="0035753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-3,2</w:t>
            </w:r>
          </w:p>
        </w:tc>
        <w:tc>
          <w:tcPr>
            <w:tcW w:w="1212" w:type="dxa"/>
          </w:tcPr>
          <w:p w:rsidR="00357539" w:rsidRPr="006D185F" w:rsidRDefault="00057B69" w:rsidP="006D1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99,8</w:t>
            </w:r>
          </w:p>
        </w:tc>
      </w:tr>
    </w:tbl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«Общегосударственные вопросы»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исполнены  в сумме 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1118,7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46,7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2397,8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. По сравнению с 1 полугодием  201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меньшились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108,3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8,8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%).    Средства направлены: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высшего должностного лица – 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245,3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- на функционирование администрации – 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772,7</w:t>
      </w:r>
      <w:r w:rsidR="00AD146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>- на межбюджетные трансферты по осуществлению  полномочий по в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нутреннему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>контролю –</w:t>
      </w:r>
      <w:r w:rsidR="004D3A7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,4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7F7D" w:rsidRPr="00B04F44" w:rsidRDefault="00167F7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на межбюджетные трансферты по осуществлению  полномочий по внешнему муниципальному финансовому 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 xml:space="preserve">контролю – </w:t>
      </w:r>
      <w:r>
        <w:rPr>
          <w:rFonts w:ascii="Times New Roman" w:eastAsia="Times New Roman" w:hAnsi="Times New Roman" w:cs="Times New Roman"/>
          <w:sz w:val="28"/>
          <w:szCs w:val="28"/>
        </w:rPr>
        <w:t>23,4 тыс. рублей;</w:t>
      </w:r>
    </w:p>
    <w:p w:rsidR="00B04F44" w:rsidRPr="00B04F44" w:rsidRDefault="00406395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D521D" w:rsidRPr="00B04F44">
        <w:rPr>
          <w:rFonts w:ascii="Times New Roman" w:eastAsia="Times New Roman" w:hAnsi="Times New Roman" w:cs="Times New Roman"/>
          <w:sz w:val="28"/>
          <w:szCs w:val="28"/>
        </w:rPr>
        <w:t xml:space="preserve"> други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D521D" w:rsidRPr="00B04F44">
        <w:rPr>
          <w:rFonts w:ascii="Times New Roman" w:eastAsia="Times New Roman" w:hAnsi="Times New Roman" w:cs="Times New Roman"/>
          <w:sz w:val="28"/>
          <w:szCs w:val="28"/>
        </w:rPr>
        <w:t xml:space="preserve"> общегосударственны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D521D" w:rsidRPr="00B04F44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167F7D">
        <w:rPr>
          <w:rFonts w:ascii="Times New Roman" w:eastAsia="Times New Roman" w:hAnsi="Times New Roman" w:cs="Times New Roman"/>
          <w:sz w:val="28"/>
          <w:szCs w:val="28"/>
        </w:rPr>
        <w:t xml:space="preserve">ам 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лено 3,0 тыс. рублей на уплату ч</w:t>
      </w:r>
      <w:r w:rsidR="00054E14">
        <w:rPr>
          <w:rFonts w:ascii="Times New Roman" w:eastAsia="Times New Roman" w:hAnsi="Times New Roman" w:cs="Times New Roman"/>
          <w:sz w:val="28"/>
          <w:szCs w:val="28"/>
        </w:rPr>
        <w:t>ленского взноса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 xml:space="preserve"> в Ассоциацию «Совет муниципальных образований», </w:t>
      </w:r>
      <w:r w:rsidR="004D3A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3,9 тыс. рублей – на межбюджетные трансферты  на осуществление полномочий по ведению бухгалтерского учета и составлению отчетности</w:t>
      </w:r>
      <w:r w:rsidR="004D3A7D">
        <w:rPr>
          <w:rFonts w:ascii="Times New Roman" w:eastAsia="Times New Roman" w:hAnsi="Times New Roman" w:cs="Times New Roman"/>
          <w:sz w:val="28"/>
          <w:szCs w:val="28"/>
        </w:rPr>
        <w:t>, 10,0 тыс. рублей – на оценку муниципального имущества.</w:t>
      </w:r>
    </w:p>
    <w:p w:rsidR="005D521D" w:rsidRPr="005D521D" w:rsidRDefault="00B04F44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Средства резервного фонда </w:t>
      </w:r>
      <w:r w:rsidR="006208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>дминистрации поселения в 1 полугодии  не расходовались.</w:t>
      </w:r>
    </w:p>
    <w:p w:rsidR="005D521D" w:rsidRPr="005D521D" w:rsidRDefault="005D521D" w:rsidP="005D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      «</w:t>
      </w: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>Национальная оборона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46,0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49,9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бюджетным назначениям в сумме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92,1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 полугодием  201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года расходы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 увеличились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5,5</w:t>
      </w:r>
      <w:r w:rsid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13,6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- средства по данному разделу в 1 полугодии не расходовались.</w:t>
      </w:r>
    </w:p>
    <w:p w:rsidR="00A06558" w:rsidRPr="005D521D" w:rsidRDefault="00A06558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558">
        <w:rPr>
          <w:rFonts w:ascii="Times New Roman" w:eastAsia="Times New Roman" w:hAnsi="Times New Roman" w:cs="Times New Roman"/>
          <w:i/>
          <w:sz w:val="28"/>
          <w:szCs w:val="28"/>
        </w:rPr>
        <w:t>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расходы исполнены в сумме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164,1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37,0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 xml:space="preserve">443,8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Pr="00A06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По сравнению с 1 полугодием  201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="00B5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 xml:space="preserve">95,9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>тыс. рублей (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 xml:space="preserve">в 2,4 раза).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данному разделу средства направлялись на  содержание  дорог в зимнее время</w:t>
      </w:r>
      <w:r w:rsidR="00BA1291">
        <w:rPr>
          <w:rFonts w:ascii="Times New Roman" w:eastAsia="Times New Roman" w:hAnsi="Times New Roman" w:cs="Times New Roman"/>
          <w:sz w:val="28"/>
          <w:szCs w:val="28"/>
        </w:rPr>
        <w:t xml:space="preserve"> в  сумме 108,4 тыс. рублей  и на проведение кадастровых работ по оформлению земельных участков из земель с/х назначения (паи) -55,7 тыс. рублей.</w:t>
      </w:r>
    </w:p>
    <w:p w:rsidR="00406395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«Жилищно-коммунальное хозяйство»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составили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110,8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13,2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% к годовым назначениям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838,8</w:t>
      </w:r>
      <w:r w:rsidR="00070F9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. Вся сумма израсходована по </w:t>
      </w:r>
      <w:r w:rsidRPr="00406395">
        <w:rPr>
          <w:rFonts w:ascii="Times New Roman" w:eastAsia="Times New Roman" w:hAnsi="Times New Roman" w:cs="Times New Roman"/>
          <w:sz w:val="28"/>
          <w:szCs w:val="28"/>
        </w:rPr>
        <w:t xml:space="preserve">  подразделу «Благоустройство»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39C3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4FBF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оплату уличного освещения на территории поселения</w:t>
      </w:r>
      <w:r w:rsidR="00406395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78,0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E739C3" w:rsidRDefault="00FB4FBF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дворника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27,1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рублей;</w:t>
      </w:r>
    </w:p>
    <w:p w:rsidR="00FB4FBF" w:rsidRDefault="00FB4FBF" w:rsidP="005E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ГСМ для окашивания общественной территории поселения –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1,9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5E6AA4" w:rsidRDefault="005E6AA4" w:rsidP="005E6A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 xml:space="preserve"> краски для покраски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детск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игров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z w:val="28"/>
          <w:szCs w:val="28"/>
        </w:rPr>
        <w:t>площад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ок д. Игумницево и д. Гаврилково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3,8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5D521D" w:rsidRPr="005D521D" w:rsidRDefault="005D521D" w:rsidP="005D5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1 полугодием   201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8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величились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21,9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24,6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21D" w:rsidRPr="005D521D" w:rsidRDefault="005D521D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«Образование»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расходы в 1 полугодии 201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составили 0,3 тыс. рублей на приобретение одноразовой посуды для детей в День победы на митинге.</w:t>
      </w:r>
    </w:p>
    <w:p w:rsidR="005D521D" w:rsidRPr="005D521D" w:rsidRDefault="006277F2" w:rsidP="005D52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D521D" w:rsidRPr="005D521D">
        <w:rPr>
          <w:rFonts w:ascii="Times New Roman" w:eastAsia="Times New Roman" w:hAnsi="Times New Roman" w:cs="Times New Roman"/>
          <w:i/>
          <w:sz w:val="28"/>
          <w:szCs w:val="28"/>
        </w:rPr>
        <w:t>«Социальная политика»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</w:rPr>
        <w:t>118,2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eastAsia="Times New Roman" w:hAnsi="Times New Roman" w:cs="Times New Roman"/>
          <w:sz w:val="28"/>
          <w:szCs w:val="28"/>
        </w:rPr>
        <w:t>48,4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>% к годовым назначениям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244,0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>. По сравнению с 1 полугодием  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 года расходы </w:t>
      </w:r>
      <w:r w:rsidR="00FB4FBF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eastAsia="Times New Roman" w:hAnsi="Times New Roman" w:cs="Times New Roman"/>
          <w:sz w:val="28"/>
          <w:szCs w:val="28"/>
        </w:rPr>
        <w:t>12,1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 w:cs="Times New Roman"/>
          <w:sz w:val="28"/>
          <w:szCs w:val="28"/>
        </w:rPr>
        <w:t>на 11,4 %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 доплаты к пенсиям муниципальны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служащи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м и бывшей Главе поселения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 xml:space="preserve"> направлено </w:t>
      </w:r>
      <w:r>
        <w:rPr>
          <w:rFonts w:ascii="Times New Roman" w:eastAsia="Times New Roman" w:hAnsi="Times New Roman" w:cs="Times New Roman"/>
          <w:sz w:val="28"/>
          <w:szCs w:val="28"/>
        </w:rPr>
        <w:t>118,2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21D" w:rsidRPr="005D521D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5E6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618" w:rsidRDefault="005D521D" w:rsidP="007C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21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16,7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21,4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% к годовым назначениям в сумме </w:t>
      </w:r>
      <w:r w:rsidR="004F5F84">
        <w:rPr>
          <w:rFonts w:ascii="Times New Roman" w:eastAsia="Times New Roman" w:hAnsi="Times New Roman" w:cs="Times New Roman"/>
          <w:sz w:val="28"/>
          <w:szCs w:val="28"/>
        </w:rPr>
        <w:t>78,0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тыс. рублей. По сравнению с 1 полугодием   201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года расходы у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меньшилис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 на  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9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 xml:space="preserve">,2 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тыс. рублей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на 63,6%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D521D">
        <w:rPr>
          <w:rFonts w:ascii="Times New Roman" w:eastAsia="Times New Roman" w:hAnsi="Times New Roman" w:cs="Times New Roman"/>
          <w:sz w:val="28"/>
          <w:szCs w:val="28"/>
        </w:rPr>
        <w:t xml:space="preserve"> Средства направлены на 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проведение занятий в волейбольной секции в сумме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12,2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3,2</w:t>
      </w:r>
      <w:r w:rsidR="00BE65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направлено на приобретение ГСМ для доставки участников соревнований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277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2FB8">
        <w:rPr>
          <w:rFonts w:ascii="Times New Roman" w:eastAsia="Times New Roman" w:hAnsi="Times New Roman" w:cs="Times New Roman"/>
          <w:sz w:val="28"/>
          <w:szCs w:val="28"/>
        </w:rPr>
        <w:t>,3 тыс. рублей – на питание участников соревнований.</w:t>
      </w:r>
    </w:p>
    <w:p w:rsidR="007C6326" w:rsidRDefault="00792618" w:rsidP="007C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Приложении 2 к постановлению от 17.07.2019 года №33 допущена по строке «Итого расходов» арифметическая ошибка. Следует цифру «37,8» заменить цифрой «37,6».</w:t>
      </w:r>
      <w:r w:rsidR="005D521D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="005F6B5C"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F6B5C" w:rsidRPr="007C6326" w:rsidRDefault="005F6B5C" w:rsidP="007C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632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за 1 </w:t>
      </w:r>
      <w:r w:rsidR="004A003F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277F2">
        <w:rPr>
          <w:rFonts w:ascii="Times New Roman" w:hAnsi="Times New Roman" w:cs="Times New Roman"/>
          <w:sz w:val="28"/>
          <w:szCs w:val="28"/>
        </w:rPr>
        <w:t xml:space="preserve">9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Информация в отношении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C2F87">
        <w:rPr>
          <w:rFonts w:ascii="Times New Roman" w:hAnsi="Times New Roman" w:cs="Times New Roman"/>
          <w:sz w:val="28"/>
          <w:szCs w:val="28"/>
        </w:rPr>
        <w:t>представлена  следующими данными.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</w:t>
      </w:r>
      <w:r w:rsidR="006277F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составило </w:t>
      </w:r>
      <w:r w:rsidR="006277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ед.,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32FB8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277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C2F87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на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277F2">
        <w:rPr>
          <w:rFonts w:ascii="Times New Roman" w:hAnsi="Times New Roman" w:cs="Times New Roman"/>
          <w:sz w:val="28"/>
          <w:szCs w:val="28"/>
        </w:rPr>
        <w:t>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в сравнении с 01 </w:t>
      </w:r>
      <w:r w:rsidR="00C00F2E">
        <w:rPr>
          <w:rFonts w:ascii="Times New Roman" w:hAnsi="Times New Roman" w:cs="Times New Roman"/>
          <w:sz w:val="28"/>
          <w:szCs w:val="28"/>
        </w:rPr>
        <w:t>июля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6277F2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года</w:t>
      </w:r>
      <w:r w:rsidR="00B32FB8">
        <w:rPr>
          <w:rFonts w:ascii="Times New Roman" w:hAnsi="Times New Roman" w:cs="Times New Roman"/>
          <w:sz w:val="28"/>
          <w:szCs w:val="28"/>
        </w:rPr>
        <w:t xml:space="preserve"> уменьшилась на  1  шт. единицу. 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2. Объем расходов на оплату труда работников органов местного самоуправления составил: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C66DEB">
        <w:rPr>
          <w:rFonts w:ascii="Times New Roman" w:hAnsi="Times New Roman" w:cs="Times New Roman"/>
          <w:sz w:val="28"/>
          <w:szCs w:val="28"/>
        </w:rPr>
        <w:t>8</w:t>
      </w:r>
      <w:r w:rsidR="004A003F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C66DEB">
        <w:rPr>
          <w:rFonts w:ascii="Times New Roman" w:hAnsi="Times New Roman" w:cs="Times New Roman"/>
          <w:sz w:val="28"/>
          <w:szCs w:val="28"/>
        </w:rPr>
        <w:t>687,1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- за 1 </w:t>
      </w:r>
      <w:r w:rsidR="00A670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C66DEB">
        <w:rPr>
          <w:rFonts w:ascii="Times New Roman" w:hAnsi="Times New Roman" w:cs="Times New Roman"/>
          <w:sz w:val="28"/>
          <w:szCs w:val="28"/>
        </w:rPr>
        <w:t>9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C66DEB">
        <w:rPr>
          <w:rFonts w:ascii="Times New Roman" w:hAnsi="Times New Roman" w:cs="Times New Roman"/>
          <w:sz w:val="28"/>
          <w:szCs w:val="28"/>
        </w:rPr>
        <w:t>540,9</w:t>
      </w:r>
      <w:r w:rsidRPr="005C2F8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Произошло</w:t>
      </w:r>
      <w:r w:rsidR="00C66DEB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расходов на оплату труда работников  органов местного самоуправления в сравнении с аналогичным периодом прошлого года на </w:t>
      </w:r>
      <w:r w:rsidR="00C66DEB">
        <w:rPr>
          <w:rFonts w:ascii="Times New Roman" w:hAnsi="Times New Roman" w:cs="Times New Roman"/>
          <w:sz w:val="28"/>
          <w:szCs w:val="28"/>
        </w:rPr>
        <w:t>146,2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6DEB">
        <w:rPr>
          <w:rFonts w:ascii="Times New Roman" w:hAnsi="Times New Roman" w:cs="Times New Roman"/>
          <w:sz w:val="28"/>
          <w:szCs w:val="28"/>
        </w:rPr>
        <w:t>21,3</w:t>
      </w:r>
      <w:r w:rsidR="00B32FB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1568AE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C66DEB">
        <w:rPr>
          <w:rFonts w:ascii="Times New Roman" w:hAnsi="Times New Roman" w:cs="Times New Roman"/>
          <w:sz w:val="28"/>
          <w:szCs w:val="28"/>
        </w:rPr>
        <w:t>уменьшением штатной численности на 1 штатную единицу</w:t>
      </w:r>
      <w:r w:rsidR="001568AE">
        <w:rPr>
          <w:rFonts w:ascii="Times New Roman" w:hAnsi="Times New Roman" w:cs="Times New Roman"/>
          <w:sz w:val="28"/>
          <w:szCs w:val="28"/>
        </w:rPr>
        <w:t>.</w:t>
      </w:r>
      <w:r w:rsidR="003C0981" w:rsidRPr="003C0981">
        <w:rPr>
          <w:sz w:val="28"/>
          <w:szCs w:val="28"/>
        </w:rPr>
        <w:t xml:space="preserve"> </w:t>
      </w:r>
      <w:r w:rsidR="003C0981" w:rsidRPr="003C0981">
        <w:rPr>
          <w:rFonts w:ascii="Times New Roman" w:hAnsi="Times New Roman" w:cs="Times New Roman"/>
          <w:sz w:val="28"/>
          <w:szCs w:val="28"/>
        </w:rPr>
        <w:t>Доля расходов на оплату труда работников аппарата управления в общей сумме расходов бюджета поселения за 1 полугодие  201</w:t>
      </w:r>
      <w:r w:rsidR="00C66DEB">
        <w:rPr>
          <w:rFonts w:ascii="Times New Roman" w:hAnsi="Times New Roman" w:cs="Times New Roman"/>
          <w:sz w:val="28"/>
          <w:szCs w:val="28"/>
        </w:rPr>
        <w:t>9</w:t>
      </w:r>
      <w:r w:rsidR="003C0981" w:rsidRPr="003C0981">
        <w:rPr>
          <w:rFonts w:ascii="Times New Roman" w:hAnsi="Times New Roman" w:cs="Times New Roman"/>
          <w:sz w:val="28"/>
          <w:szCs w:val="28"/>
        </w:rPr>
        <w:t xml:space="preserve">  года составила  </w:t>
      </w:r>
      <w:r w:rsidR="00C66DEB">
        <w:rPr>
          <w:rFonts w:ascii="Times New Roman" w:hAnsi="Times New Roman" w:cs="Times New Roman"/>
          <w:sz w:val="28"/>
          <w:szCs w:val="28"/>
        </w:rPr>
        <w:t>34,3</w:t>
      </w:r>
      <w:r w:rsidR="003C0981" w:rsidRPr="003C0981">
        <w:rPr>
          <w:rFonts w:ascii="Times New Roman" w:hAnsi="Times New Roman" w:cs="Times New Roman"/>
          <w:sz w:val="28"/>
          <w:szCs w:val="28"/>
        </w:rPr>
        <w:t xml:space="preserve">  процента от общего объема расходов</w:t>
      </w:r>
      <w:r w:rsidR="003C0981">
        <w:rPr>
          <w:rFonts w:ascii="Times New Roman" w:hAnsi="Times New Roman" w:cs="Times New Roman"/>
          <w:sz w:val="28"/>
          <w:szCs w:val="28"/>
        </w:rPr>
        <w:t>.</w:t>
      </w: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60C6B" w:rsidRPr="005C2F87" w:rsidRDefault="00D60C6B" w:rsidP="00D60C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В течение отчетного пе</w:t>
      </w:r>
      <w:r>
        <w:rPr>
          <w:rFonts w:ascii="Times New Roman" w:hAnsi="Times New Roman" w:cs="Times New Roman"/>
          <w:sz w:val="28"/>
          <w:szCs w:val="28"/>
        </w:rPr>
        <w:t>риода первоначально утвержден</w:t>
      </w:r>
      <w:r w:rsidRPr="005C2F87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дефицита</w:t>
      </w:r>
      <w:r w:rsidRPr="005C2F87">
        <w:rPr>
          <w:rFonts w:ascii="Times New Roman" w:hAnsi="Times New Roman" w:cs="Times New Roman"/>
          <w:sz w:val="28"/>
          <w:szCs w:val="28"/>
        </w:rPr>
        <w:t>. В течение 1</w:t>
      </w:r>
      <w:r w:rsidR="003F0111">
        <w:rPr>
          <w:rFonts w:ascii="Times New Roman" w:hAnsi="Times New Roman" w:cs="Times New Roman"/>
          <w:sz w:val="28"/>
          <w:szCs w:val="28"/>
        </w:rPr>
        <w:t xml:space="preserve"> </w:t>
      </w:r>
      <w:r w:rsidR="00A66F2D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1C3F44">
        <w:rPr>
          <w:rFonts w:ascii="Times New Roman" w:hAnsi="Times New Roman" w:cs="Times New Roman"/>
          <w:sz w:val="28"/>
          <w:szCs w:val="28"/>
        </w:rPr>
        <w:t xml:space="preserve">9 </w:t>
      </w:r>
      <w:r w:rsidRPr="005C2F87">
        <w:rPr>
          <w:rFonts w:ascii="Times New Roman" w:hAnsi="Times New Roman" w:cs="Times New Roman"/>
          <w:sz w:val="28"/>
          <w:szCs w:val="28"/>
        </w:rPr>
        <w:t xml:space="preserve">года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17B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C2F87">
        <w:rPr>
          <w:rFonts w:ascii="Times New Roman" w:hAnsi="Times New Roman" w:cs="Times New Roman"/>
          <w:sz w:val="28"/>
          <w:szCs w:val="28"/>
        </w:rPr>
        <w:t>изменени</w:t>
      </w:r>
      <w:r w:rsidR="00B935B2">
        <w:rPr>
          <w:rFonts w:ascii="Times New Roman" w:hAnsi="Times New Roman" w:cs="Times New Roman"/>
          <w:sz w:val="28"/>
          <w:szCs w:val="28"/>
        </w:rPr>
        <w:t xml:space="preserve">я </w:t>
      </w:r>
      <w:r w:rsidR="003C0981">
        <w:rPr>
          <w:rFonts w:ascii="Times New Roman" w:hAnsi="Times New Roman" w:cs="Times New Roman"/>
          <w:sz w:val="28"/>
          <w:szCs w:val="28"/>
        </w:rPr>
        <w:t>в решение  от 2</w:t>
      </w:r>
      <w:r w:rsidR="001C3F44">
        <w:rPr>
          <w:rFonts w:ascii="Times New Roman" w:hAnsi="Times New Roman" w:cs="Times New Roman"/>
          <w:sz w:val="28"/>
          <w:szCs w:val="28"/>
        </w:rPr>
        <w:t>1</w:t>
      </w:r>
      <w:r w:rsidR="003C0981">
        <w:rPr>
          <w:rFonts w:ascii="Times New Roman" w:hAnsi="Times New Roman" w:cs="Times New Roman"/>
          <w:sz w:val="28"/>
          <w:szCs w:val="28"/>
        </w:rPr>
        <w:t>.12.201</w:t>
      </w:r>
      <w:r w:rsidR="001C3F44">
        <w:rPr>
          <w:rFonts w:ascii="Times New Roman" w:hAnsi="Times New Roman" w:cs="Times New Roman"/>
          <w:sz w:val="28"/>
          <w:szCs w:val="28"/>
        </w:rPr>
        <w:t>8</w:t>
      </w:r>
      <w:r w:rsidR="003C0981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1C3F44">
        <w:rPr>
          <w:rFonts w:ascii="Times New Roman" w:hAnsi="Times New Roman" w:cs="Times New Roman"/>
          <w:sz w:val="28"/>
          <w:szCs w:val="28"/>
        </w:rPr>
        <w:t>90</w:t>
      </w:r>
      <w:r w:rsidR="003C0981">
        <w:rPr>
          <w:rFonts w:ascii="Times New Roman" w:hAnsi="Times New Roman" w:cs="Times New Roman"/>
          <w:sz w:val="28"/>
          <w:szCs w:val="28"/>
        </w:rPr>
        <w:t xml:space="preserve"> </w:t>
      </w:r>
      <w:r w:rsidR="003C0981" w:rsidRPr="005C2F87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C0981">
        <w:rPr>
          <w:rFonts w:ascii="Times New Roman" w:hAnsi="Times New Roman" w:cs="Times New Roman"/>
          <w:sz w:val="28"/>
          <w:szCs w:val="28"/>
        </w:rPr>
        <w:t>поселения</w:t>
      </w:r>
      <w:r w:rsidR="003C0981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3C0981"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="003C0981" w:rsidRPr="005C2F87">
        <w:rPr>
          <w:rFonts w:ascii="Times New Roman" w:hAnsi="Times New Roman" w:cs="Times New Roman"/>
          <w:sz w:val="28"/>
          <w:szCs w:val="28"/>
        </w:rPr>
        <w:t>на 201</w:t>
      </w:r>
      <w:r w:rsidR="001C3F44">
        <w:rPr>
          <w:rFonts w:ascii="Times New Roman" w:hAnsi="Times New Roman" w:cs="Times New Roman"/>
          <w:sz w:val="28"/>
          <w:szCs w:val="28"/>
        </w:rPr>
        <w:t>9</w:t>
      </w:r>
      <w:r w:rsidR="003C0981"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3C098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1C3F44">
        <w:rPr>
          <w:rFonts w:ascii="Times New Roman" w:hAnsi="Times New Roman" w:cs="Times New Roman"/>
          <w:sz w:val="28"/>
          <w:szCs w:val="28"/>
        </w:rPr>
        <w:t>20</w:t>
      </w:r>
      <w:r w:rsidR="003C0981">
        <w:rPr>
          <w:rFonts w:ascii="Times New Roman" w:hAnsi="Times New Roman" w:cs="Times New Roman"/>
          <w:sz w:val="28"/>
          <w:szCs w:val="28"/>
        </w:rPr>
        <w:t xml:space="preserve"> и 202</w:t>
      </w:r>
      <w:r w:rsidR="001C3F44">
        <w:rPr>
          <w:rFonts w:ascii="Times New Roman" w:hAnsi="Times New Roman" w:cs="Times New Roman"/>
          <w:sz w:val="28"/>
          <w:szCs w:val="28"/>
        </w:rPr>
        <w:t>1</w:t>
      </w:r>
      <w:r w:rsidR="003C098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C0981" w:rsidRPr="005C2F87">
        <w:rPr>
          <w:rFonts w:ascii="Times New Roman" w:hAnsi="Times New Roman" w:cs="Times New Roman"/>
          <w:sz w:val="28"/>
          <w:szCs w:val="28"/>
        </w:rPr>
        <w:t xml:space="preserve">» </w:t>
      </w:r>
      <w:r w:rsidR="003C0981">
        <w:rPr>
          <w:rFonts w:ascii="Times New Roman" w:hAnsi="Times New Roman" w:cs="Times New Roman"/>
          <w:sz w:val="28"/>
          <w:szCs w:val="28"/>
        </w:rPr>
        <w:t xml:space="preserve"> четыре раза  </w:t>
      </w:r>
      <w:r w:rsidR="001C3F44">
        <w:rPr>
          <w:rFonts w:ascii="Times New Roman" w:hAnsi="Times New Roman" w:cs="Times New Roman"/>
          <w:sz w:val="28"/>
          <w:szCs w:val="28"/>
        </w:rPr>
        <w:t xml:space="preserve">  решениями  Совета поселения от 11.01.2019 года №395, от 27.02.2019 года №403, от 24.05.2019 года № 410 и </w:t>
      </w:r>
      <w:r w:rsidR="001C3F44" w:rsidRPr="00AD1464">
        <w:rPr>
          <w:rFonts w:ascii="Times New Roman" w:hAnsi="Times New Roman" w:cs="Times New Roman"/>
          <w:sz w:val="28"/>
          <w:szCs w:val="28"/>
        </w:rPr>
        <w:t xml:space="preserve">от </w:t>
      </w:r>
      <w:r w:rsidR="001C3F44">
        <w:rPr>
          <w:rFonts w:ascii="Times New Roman" w:hAnsi="Times New Roman" w:cs="Times New Roman"/>
          <w:sz w:val="28"/>
          <w:szCs w:val="28"/>
        </w:rPr>
        <w:t>1</w:t>
      </w:r>
      <w:r w:rsidR="001C3F44" w:rsidRPr="00AD1464">
        <w:rPr>
          <w:rFonts w:ascii="Times New Roman" w:hAnsi="Times New Roman" w:cs="Times New Roman"/>
          <w:sz w:val="28"/>
          <w:szCs w:val="28"/>
        </w:rPr>
        <w:t xml:space="preserve"> </w:t>
      </w:r>
      <w:r w:rsidR="001C3F4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1C3F44" w:rsidRPr="00AD1464">
        <w:rPr>
          <w:rFonts w:ascii="Times New Roman" w:hAnsi="Times New Roman" w:cs="Times New Roman"/>
          <w:sz w:val="28"/>
          <w:szCs w:val="28"/>
        </w:rPr>
        <w:t xml:space="preserve"> 201</w:t>
      </w:r>
      <w:r w:rsidR="001C3F44">
        <w:rPr>
          <w:rFonts w:ascii="Times New Roman" w:hAnsi="Times New Roman" w:cs="Times New Roman"/>
          <w:sz w:val="28"/>
          <w:szCs w:val="28"/>
        </w:rPr>
        <w:t>9</w:t>
      </w:r>
      <w:r w:rsidR="001C3F44" w:rsidRPr="00AD146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3F44">
        <w:rPr>
          <w:rFonts w:ascii="Times New Roman" w:hAnsi="Times New Roman" w:cs="Times New Roman"/>
          <w:sz w:val="28"/>
          <w:szCs w:val="28"/>
        </w:rPr>
        <w:t>407</w:t>
      </w:r>
      <w:r w:rsidR="003C0981">
        <w:rPr>
          <w:rFonts w:ascii="Times New Roman" w:hAnsi="Times New Roman" w:cs="Times New Roman"/>
          <w:sz w:val="28"/>
          <w:szCs w:val="28"/>
        </w:rPr>
        <w:t xml:space="preserve">, </w:t>
      </w:r>
      <w:r w:rsidR="00B935B2">
        <w:rPr>
          <w:rFonts w:ascii="Times New Roman" w:hAnsi="Times New Roman" w:cs="Times New Roman"/>
          <w:sz w:val="28"/>
          <w:szCs w:val="28"/>
        </w:rPr>
        <w:t>в результате чего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 дефицит в ра</w:t>
      </w:r>
      <w:r w:rsidR="003F0111">
        <w:rPr>
          <w:rFonts w:ascii="Times New Roman" w:hAnsi="Times New Roman" w:cs="Times New Roman"/>
          <w:sz w:val="28"/>
          <w:szCs w:val="28"/>
        </w:rPr>
        <w:t xml:space="preserve">змере </w:t>
      </w:r>
      <w:r w:rsidR="001C3F44">
        <w:rPr>
          <w:rFonts w:ascii="Times New Roman" w:hAnsi="Times New Roman" w:cs="Times New Roman"/>
          <w:sz w:val="28"/>
          <w:szCs w:val="28"/>
        </w:rPr>
        <w:t>70,2</w:t>
      </w:r>
      <w:r w:rsidR="003F0111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C3F44">
        <w:rPr>
          <w:rFonts w:ascii="Times New Roman" w:hAnsi="Times New Roman" w:cs="Times New Roman"/>
          <w:sz w:val="28"/>
          <w:szCs w:val="28"/>
        </w:rPr>
        <w:t>7,9</w:t>
      </w:r>
      <w:r w:rsidR="003C0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01.01.201</w:t>
      </w:r>
      <w:r w:rsidR="001C3F44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D60C6B" w:rsidRPr="005C2F87" w:rsidRDefault="00D60C6B" w:rsidP="00D60C6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Источниками внутреннего финансирования дефицита 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 xml:space="preserve">   является изменение остатков средств на счетах по учету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C6B" w:rsidRPr="005C2F87" w:rsidRDefault="00D60C6B" w:rsidP="00D60C6B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46271"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1C3F44">
        <w:rPr>
          <w:rFonts w:ascii="Times New Roman" w:hAnsi="Times New Roman" w:cs="Times New Roman"/>
          <w:sz w:val="28"/>
          <w:szCs w:val="28"/>
        </w:rPr>
        <w:t>9</w:t>
      </w:r>
      <w:r w:rsidR="003C0981">
        <w:rPr>
          <w:rFonts w:ascii="Times New Roman" w:hAnsi="Times New Roman" w:cs="Times New Roman"/>
          <w:sz w:val="28"/>
          <w:szCs w:val="28"/>
        </w:rPr>
        <w:t xml:space="preserve">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3C0981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1C3F44">
        <w:rPr>
          <w:rFonts w:ascii="Times New Roman" w:hAnsi="Times New Roman" w:cs="Times New Roman"/>
          <w:sz w:val="28"/>
          <w:szCs w:val="28"/>
        </w:rPr>
        <w:t>212,3</w:t>
      </w:r>
      <w:r w:rsidR="003C0981">
        <w:rPr>
          <w:rFonts w:ascii="Times New Roman" w:hAnsi="Times New Roman" w:cs="Times New Roman"/>
          <w:sz w:val="28"/>
          <w:szCs w:val="28"/>
        </w:rPr>
        <w:t xml:space="preserve"> </w:t>
      </w:r>
      <w:r w:rsidR="00746271">
        <w:rPr>
          <w:rFonts w:ascii="Times New Roman" w:hAnsi="Times New Roman" w:cs="Times New Roman"/>
          <w:sz w:val="28"/>
          <w:szCs w:val="28"/>
        </w:rPr>
        <w:t>тыс. рублей.</w:t>
      </w:r>
    </w:p>
    <w:p w:rsidR="00D60C6B" w:rsidRPr="005C2F87" w:rsidRDefault="00D60C6B" w:rsidP="00D60C6B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60C6B" w:rsidRPr="005C2F87" w:rsidRDefault="00D60C6B" w:rsidP="00D60C6B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F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</w:p>
    <w:p w:rsidR="00D60C6B" w:rsidRPr="005C2F87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0981" w:rsidRPr="0058616D" w:rsidRDefault="003C0981" w:rsidP="003C09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</w:rPr>
        <w:t>Решением Совета поселения Ботановское от 2</w:t>
      </w:r>
      <w:r w:rsidR="001C3F44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декабря 201</w:t>
      </w:r>
      <w:r w:rsidR="001C3F44"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 № 3</w:t>
      </w:r>
      <w:r w:rsidR="001C3F44">
        <w:rPr>
          <w:rFonts w:ascii="Times New Roman" w:eastAsia="Times New Roman" w:hAnsi="Times New Roman" w:cs="Times New Roman"/>
          <w:snapToGrid w:val="0"/>
          <w:sz w:val="28"/>
          <w:szCs w:val="28"/>
        </w:rPr>
        <w:t>90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установлен верхний предел муниципального внутреннего долга поселения по состоянию на 1 января 20</w:t>
      </w:r>
      <w:r w:rsidR="001C3F44">
        <w:rPr>
          <w:rFonts w:ascii="Times New Roman" w:eastAsia="Times New Roman" w:hAnsi="Times New Roman" w:cs="Times New Roman"/>
          <w:snapToGrid w:val="0"/>
          <w:sz w:val="28"/>
          <w:szCs w:val="28"/>
        </w:rPr>
        <w:t>20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 в сумме  200,0 тыс. рублей (</w:t>
      </w:r>
      <w:r w:rsidR="001C3F44">
        <w:rPr>
          <w:rFonts w:ascii="Times New Roman" w:eastAsia="Times New Roman" w:hAnsi="Times New Roman" w:cs="Times New Roman"/>
          <w:snapToGrid w:val="0"/>
          <w:sz w:val="28"/>
          <w:szCs w:val="28"/>
        </w:rPr>
        <w:t>22,4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%). </w:t>
      </w:r>
    </w:p>
    <w:p w:rsidR="001C3F44" w:rsidRPr="0058616D" w:rsidRDefault="001C3F44" w:rsidP="001C3F4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16D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616D">
        <w:rPr>
          <w:rFonts w:ascii="Times New Roman" w:hAnsi="Times New Roman" w:cs="Times New Roman"/>
          <w:sz w:val="28"/>
          <w:szCs w:val="28"/>
        </w:rPr>
        <w:t xml:space="preserve">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1C3F44" w:rsidRPr="0058616D" w:rsidRDefault="001C3F44" w:rsidP="001C3F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8616D">
        <w:rPr>
          <w:rFonts w:ascii="Times New Roman" w:hAnsi="Times New Roman" w:cs="Times New Roman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>
        <w:rPr>
          <w:rFonts w:ascii="Times New Roman" w:hAnsi="Times New Roman" w:cs="Times New Roman"/>
          <w:spacing w:val="1"/>
          <w:sz w:val="28"/>
          <w:szCs w:val="28"/>
        </w:rPr>
        <w:t>9</w:t>
      </w:r>
      <w:r w:rsidRPr="0058616D">
        <w:rPr>
          <w:rFonts w:ascii="Times New Roman" w:hAnsi="Times New Roman" w:cs="Times New Roman"/>
          <w:spacing w:val="1"/>
          <w:sz w:val="28"/>
          <w:szCs w:val="28"/>
        </w:rPr>
        <w:t xml:space="preserve"> году не запланировано.</w:t>
      </w:r>
    </w:p>
    <w:p w:rsidR="001C3F44" w:rsidRPr="00014734" w:rsidRDefault="001C3F44" w:rsidP="001C3F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Pr="005C2F87" w:rsidRDefault="00D60C6B" w:rsidP="00D60C6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0C6B" w:rsidRDefault="00D60C6B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  <w:r w:rsidRPr="003A362D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Кредиторская задолженность поселения </w:t>
      </w:r>
    </w:p>
    <w:p w:rsidR="00746271" w:rsidRPr="003A362D" w:rsidRDefault="00746271" w:rsidP="00D60C6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</w:t>
      </w:r>
      <w:r w:rsidR="001C3F44" w:rsidRPr="00407C58">
        <w:rPr>
          <w:rFonts w:ascii="Times New Roman" w:hAnsi="Times New Roman" w:cs="Times New Roman"/>
          <w:sz w:val="28"/>
          <w:szCs w:val="28"/>
        </w:rPr>
        <w:t>Объем кредиторской задолженности  получателей средств бюджета  поселения  по состоянию на 01.01.201</w:t>
      </w:r>
      <w:r w:rsidR="001C3F44">
        <w:rPr>
          <w:rFonts w:ascii="Times New Roman" w:hAnsi="Times New Roman" w:cs="Times New Roman"/>
          <w:sz w:val="28"/>
          <w:szCs w:val="28"/>
        </w:rPr>
        <w:t>9</w:t>
      </w:r>
      <w:r w:rsidR="001C3F44" w:rsidRPr="00407C58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1C3F44">
        <w:rPr>
          <w:rFonts w:ascii="Times New Roman" w:hAnsi="Times New Roman" w:cs="Times New Roman"/>
          <w:sz w:val="28"/>
          <w:szCs w:val="28"/>
        </w:rPr>
        <w:t>273,3</w:t>
      </w:r>
      <w:r w:rsidR="001C3F44" w:rsidRPr="00407C58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 w:rsidR="001C3F44">
        <w:rPr>
          <w:rFonts w:ascii="Times New Roman" w:hAnsi="Times New Roman" w:cs="Times New Roman"/>
          <w:sz w:val="28"/>
          <w:szCs w:val="28"/>
        </w:rPr>
        <w:t>8</w:t>
      </w:r>
      <w:r w:rsidR="001C3F44" w:rsidRPr="00407C58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состав</w:t>
      </w:r>
      <w:r w:rsidR="001C3F44">
        <w:rPr>
          <w:rFonts w:ascii="Times New Roman" w:hAnsi="Times New Roman" w:cs="Times New Roman"/>
          <w:sz w:val="28"/>
          <w:szCs w:val="28"/>
        </w:rPr>
        <w:t>лял</w:t>
      </w:r>
      <w:r w:rsidR="001C3F44" w:rsidRPr="00407C58">
        <w:rPr>
          <w:rFonts w:ascii="Times New Roman" w:hAnsi="Times New Roman" w:cs="Times New Roman"/>
          <w:sz w:val="28"/>
          <w:szCs w:val="28"/>
        </w:rPr>
        <w:t xml:space="preserve"> </w:t>
      </w:r>
      <w:r w:rsidR="001C3F44">
        <w:rPr>
          <w:rFonts w:ascii="Times New Roman" w:hAnsi="Times New Roman" w:cs="Times New Roman"/>
          <w:sz w:val="28"/>
          <w:szCs w:val="28"/>
        </w:rPr>
        <w:t>314,8</w:t>
      </w:r>
      <w:r w:rsidR="001C3F44" w:rsidRPr="00407C58">
        <w:rPr>
          <w:rFonts w:ascii="Times New Roman" w:hAnsi="Times New Roman" w:cs="Times New Roman"/>
          <w:sz w:val="28"/>
          <w:szCs w:val="28"/>
        </w:rPr>
        <w:t xml:space="preserve"> тыс. рублей.  По сравнению с 201</w:t>
      </w:r>
      <w:r w:rsidR="001C3F44">
        <w:rPr>
          <w:rFonts w:ascii="Times New Roman" w:hAnsi="Times New Roman" w:cs="Times New Roman"/>
          <w:sz w:val="28"/>
          <w:szCs w:val="28"/>
        </w:rPr>
        <w:t>8</w:t>
      </w:r>
      <w:r w:rsidR="001C3F44" w:rsidRPr="00407C58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="001C3F44">
        <w:rPr>
          <w:rFonts w:ascii="Times New Roman" w:hAnsi="Times New Roman" w:cs="Times New Roman"/>
          <w:i/>
          <w:sz w:val="28"/>
          <w:szCs w:val="28"/>
        </w:rPr>
        <w:t>снизился</w:t>
      </w:r>
      <w:r w:rsidR="001C3F44" w:rsidRPr="00407C58">
        <w:rPr>
          <w:rFonts w:ascii="Times New Roman" w:hAnsi="Times New Roman" w:cs="Times New Roman"/>
          <w:sz w:val="28"/>
          <w:szCs w:val="28"/>
        </w:rPr>
        <w:t xml:space="preserve">   на </w:t>
      </w:r>
      <w:r w:rsidR="001C3F44">
        <w:rPr>
          <w:rFonts w:ascii="Times New Roman" w:hAnsi="Times New Roman" w:cs="Times New Roman"/>
          <w:sz w:val="28"/>
          <w:szCs w:val="28"/>
        </w:rPr>
        <w:t>41,5 тыс. рублей, или на 13,2 процента</w:t>
      </w:r>
      <w:r w:rsidR="001C3F44" w:rsidRPr="00407C58">
        <w:rPr>
          <w:rFonts w:ascii="Times New Roman" w:hAnsi="Times New Roman" w:cs="Times New Roman"/>
          <w:sz w:val="28"/>
          <w:szCs w:val="28"/>
        </w:rPr>
        <w:t xml:space="preserve">. </w:t>
      </w:r>
      <w:r w:rsidR="001C3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C6B" w:rsidRPr="003A362D" w:rsidRDefault="00D60C6B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2D">
        <w:rPr>
          <w:rFonts w:ascii="Times New Roman" w:hAnsi="Times New Roman" w:cs="Times New Roman"/>
          <w:sz w:val="28"/>
          <w:szCs w:val="28"/>
        </w:rPr>
        <w:t xml:space="preserve">          Объем  кредиторской задолженности по состоянию на </w:t>
      </w:r>
      <w:r w:rsidR="00C07A8F">
        <w:rPr>
          <w:rFonts w:ascii="Times New Roman" w:hAnsi="Times New Roman" w:cs="Times New Roman"/>
          <w:sz w:val="28"/>
          <w:szCs w:val="28"/>
        </w:rPr>
        <w:t xml:space="preserve"> 01.07.201</w:t>
      </w:r>
      <w:r w:rsidR="001C3F44">
        <w:rPr>
          <w:rFonts w:ascii="Times New Roman" w:hAnsi="Times New Roman" w:cs="Times New Roman"/>
          <w:sz w:val="28"/>
          <w:szCs w:val="28"/>
        </w:rPr>
        <w:t>9</w:t>
      </w:r>
      <w:r w:rsidR="00C07A8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C3F44">
        <w:rPr>
          <w:rFonts w:ascii="Times New Roman" w:hAnsi="Times New Roman" w:cs="Times New Roman"/>
          <w:sz w:val="28"/>
          <w:szCs w:val="28"/>
        </w:rPr>
        <w:t>27,9</w:t>
      </w:r>
      <w:r w:rsidR="00C07A8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3A362D">
        <w:rPr>
          <w:rFonts w:ascii="Times New Roman" w:hAnsi="Times New Roman" w:cs="Times New Roman"/>
          <w:sz w:val="28"/>
          <w:szCs w:val="28"/>
        </w:rPr>
        <w:t xml:space="preserve"> </w:t>
      </w:r>
      <w:r w:rsidR="00C07A8F">
        <w:rPr>
          <w:rFonts w:ascii="Times New Roman" w:hAnsi="Times New Roman" w:cs="Times New Roman"/>
          <w:sz w:val="28"/>
          <w:szCs w:val="28"/>
        </w:rPr>
        <w:t>что меньше показателя 1 полугодия 201</w:t>
      </w:r>
      <w:r w:rsidR="001C3F44">
        <w:rPr>
          <w:rFonts w:ascii="Times New Roman" w:hAnsi="Times New Roman" w:cs="Times New Roman"/>
          <w:sz w:val="28"/>
          <w:szCs w:val="28"/>
        </w:rPr>
        <w:t>8</w:t>
      </w:r>
      <w:r w:rsidR="00C07A8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C3F44">
        <w:rPr>
          <w:rFonts w:ascii="Times New Roman" w:hAnsi="Times New Roman" w:cs="Times New Roman"/>
          <w:sz w:val="28"/>
          <w:szCs w:val="28"/>
        </w:rPr>
        <w:t>188,5</w:t>
      </w:r>
      <w:r w:rsidR="00C07A8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3A362D">
        <w:rPr>
          <w:rFonts w:ascii="Times New Roman" w:hAnsi="Times New Roman" w:cs="Times New Roman"/>
          <w:sz w:val="28"/>
          <w:szCs w:val="28"/>
        </w:rPr>
        <w:t>в том числе</w:t>
      </w:r>
      <w:r w:rsidR="00152B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3F44" w:rsidRDefault="001C3F44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3F44">
        <w:rPr>
          <w:rFonts w:ascii="Times New Roman" w:hAnsi="Times New Roman" w:cs="Times New Roman"/>
          <w:sz w:val="28"/>
          <w:szCs w:val="28"/>
        </w:rPr>
        <w:t>ывоз мусора с кладбища д. Карповское -6,0 тыс. рублей</w:t>
      </w:r>
    </w:p>
    <w:p w:rsidR="00D60C6B" w:rsidRPr="001C3F44" w:rsidRDefault="001C3F44" w:rsidP="00D60C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F44">
        <w:rPr>
          <w:rFonts w:ascii="Times New Roman" w:hAnsi="Times New Roman" w:cs="Times New Roman"/>
          <w:sz w:val="28"/>
          <w:szCs w:val="28"/>
        </w:rPr>
        <w:t>прочие работы и услуги</w:t>
      </w:r>
      <w:r w:rsidR="00D60C6B" w:rsidRPr="001C3F44">
        <w:rPr>
          <w:rFonts w:ascii="Times New Roman" w:hAnsi="Times New Roman" w:cs="Times New Roman"/>
          <w:sz w:val="28"/>
          <w:szCs w:val="28"/>
        </w:rPr>
        <w:t xml:space="preserve"> – </w:t>
      </w:r>
      <w:r w:rsidRPr="001C3F44">
        <w:rPr>
          <w:rFonts w:ascii="Times New Roman" w:hAnsi="Times New Roman" w:cs="Times New Roman"/>
          <w:sz w:val="28"/>
          <w:szCs w:val="28"/>
        </w:rPr>
        <w:t>21,9</w:t>
      </w:r>
      <w:r w:rsidR="00D60C6B" w:rsidRPr="001C3F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C3F44">
        <w:rPr>
          <w:rFonts w:ascii="Times New Roman" w:hAnsi="Times New Roman" w:cs="Times New Roman"/>
          <w:sz w:val="28"/>
          <w:szCs w:val="28"/>
        </w:rPr>
        <w:t>.</w:t>
      </w:r>
      <w:r w:rsidR="00D60C6B" w:rsidRPr="001C3F4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0C6B" w:rsidRPr="00FA5DF7" w:rsidRDefault="00450990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Объем дебиторской задолженности на 01.07.201</w:t>
      </w:r>
      <w:r w:rsidR="001C3F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1C3F44">
        <w:rPr>
          <w:rFonts w:ascii="Times New Roman" w:hAnsi="Times New Roman" w:cs="Times New Roman"/>
          <w:sz w:val="28"/>
          <w:szCs w:val="28"/>
        </w:rPr>
        <w:t>273,1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26C9">
        <w:rPr>
          <w:rFonts w:ascii="Times New Roman" w:hAnsi="Times New Roman" w:cs="Times New Roman"/>
          <w:sz w:val="28"/>
          <w:szCs w:val="28"/>
        </w:rPr>
        <w:t xml:space="preserve">, в том числе арендная плата </w:t>
      </w:r>
      <w:r>
        <w:rPr>
          <w:rFonts w:ascii="Times New Roman" w:hAnsi="Times New Roman" w:cs="Times New Roman"/>
          <w:sz w:val="28"/>
          <w:szCs w:val="28"/>
        </w:rPr>
        <w:t xml:space="preserve"> за аренду муниципального имущества (помещения)</w:t>
      </w:r>
      <w:r w:rsidR="00DF26C9">
        <w:rPr>
          <w:rFonts w:ascii="Times New Roman" w:hAnsi="Times New Roman" w:cs="Times New Roman"/>
          <w:sz w:val="28"/>
          <w:szCs w:val="28"/>
        </w:rPr>
        <w:t xml:space="preserve"> по договору с Междуреченск</w:t>
      </w:r>
      <w:r w:rsidR="001C3F44">
        <w:rPr>
          <w:rFonts w:ascii="Times New Roman" w:hAnsi="Times New Roman" w:cs="Times New Roman"/>
          <w:sz w:val="28"/>
          <w:szCs w:val="28"/>
        </w:rPr>
        <w:t>ое</w:t>
      </w:r>
      <w:r w:rsidR="00DF26C9">
        <w:rPr>
          <w:rFonts w:ascii="Times New Roman" w:hAnsi="Times New Roman" w:cs="Times New Roman"/>
          <w:sz w:val="28"/>
          <w:szCs w:val="28"/>
        </w:rPr>
        <w:t xml:space="preserve">  РАЙПО -</w:t>
      </w:r>
      <w:r w:rsidR="001C3F44">
        <w:rPr>
          <w:rFonts w:ascii="Times New Roman" w:hAnsi="Times New Roman" w:cs="Times New Roman"/>
          <w:sz w:val="28"/>
          <w:szCs w:val="28"/>
        </w:rPr>
        <w:t>273,1</w:t>
      </w:r>
      <w:r w:rsidR="00DF26C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DA3227" w:rsidRDefault="00D60C6B" w:rsidP="00D60C6B">
      <w:pPr>
        <w:shd w:val="clear" w:color="auto" w:fill="FFFFFF"/>
        <w:tabs>
          <w:tab w:val="left" w:pos="6252"/>
        </w:tabs>
        <w:spacing w:after="0" w:line="240" w:lineRule="auto"/>
        <w:ind w:firstLine="709"/>
        <w:contextualSpacing/>
        <w:rPr>
          <w:rFonts w:ascii="Times New Roman" w:hAnsi="Times New Roman" w:cs="Times New Roman"/>
          <w:spacing w:val="1"/>
          <w:sz w:val="28"/>
          <w:szCs w:val="28"/>
        </w:rPr>
      </w:pPr>
      <w:r w:rsidRPr="00FA5DF7">
        <w:rPr>
          <w:rFonts w:ascii="Times New Roman" w:hAnsi="Times New Roman" w:cs="Times New Roman"/>
          <w:spacing w:val="1"/>
          <w:sz w:val="28"/>
          <w:szCs w:val="28"/>
        </w:rPr>
        <w:tab/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DA322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2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60C6B" w:rsidRPr="002146D4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60C6B" w:rsidRPr="005C2F87" w:rsidRDefault="009A53FE" w:rsidP="009A53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1. </w:t>
      </w:r>
      <w:r w:rsidR="001C3F44" w:rsidRPr="005C2F87">
        <w:rPr>
          <w:rFonts w:ascii="Times New Roman" w:hAnsi="Times New Roman" w:cs="Times New Roman"/>
          <w:sz w:val="28"/>
          <w:szCs w:val="28"/>
        </w:rPr>
        <w:t xml:space="preserve">Изменения в решение «О бюджете </w:t>
      </w:r>
      <w:r w:rsidR="001C3F44">
        <w:rPr>
          <w:rFonts w:ascii="Times New Roman" w:hAnsi="Times New Roman" w:cs="Times New Roman"/>
          <w:sz w:val="28"/>
          <w:szCs w:val="28"/>
        </w:rPr>
        <w:t>поселения</w:t>
      </w:r>
      <w:r w:rsidR="001C3F44"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1C3F44">
        <w:rPr>
          <w:rFonts w:ascii="Times New Roman" w:hAnsi="Times New Roman" w:cs="Times New Roman"/>
          <w:sz w:val="28"/>
          <w:szCs w:val="28"/>
        </w:rPr>
        <w:t xml:space="preserve">Ботановское </w:t>
      </w:r>
      <w:r w:rsidR="001C3F44" w:rsidRPr="005C2F87">
        <w:rPr>
          <w:rFonts w:ascii="Times New Roman" w:hAnsi="Times New Roman" w:cs="Times New Roman"/>
          <w:sz w:val="28"/>
          <w:szCs w:val="28"/>
        </w:rPr>
        <w:t>на 201</w:t>
      </w:r>
      <w:r w:rsidR="001C3F44">
        <w:rPr>
          <w:rFonts w:ascii="Times New Roman" w:hAnsi="Times New Roman" w:cs="Times New Roman"/>
          <w:sz w:val="28"/>
          <w:szCs w:val="28"/>
        </w:rPr>
        <w:t>9</w:t>
      </w:r>
      <w:r w:rsidR="001C3F44" w:rsidRPr="005C2F87">
        <w:rPr>
          <w:rFonts w:ascii="Times New Roman" w:hAnsi="Times New Roman" w:cs="Times New Roman"/>
          <w:sz w:val="28"/>
          <w:szCs w:val="28"/>
        </w:rPr>
        <w:t xml:space="preserve"> год</w:t>
      </w:r>
      <w:r w:rsidR="001C3F44">
        <w:rPr>
          <w:rFonts w:ascii="Times New Roman" w:hAnsi="Times New Roman" w:cs="Times New Roman"/>
          <w:sz w:val="28"/>
          <w:szCs w:val="28"/>
        </w:rPr>
        <w:t xml:space="preserve"> и плановый период 2020 и 2021 годов </w:t>
      </w:r>
      <w:r w:rsidR="001C3F44" w:rsidRPr="005C2F87">
        <w:rPr>
          <w:rFonts w:ascii="Times New Roman" w:hAnsi="Times New Roman" w:cs="Times New Roman"/>
          <w:sz w:val="28"/>
          <w:szCs w:val="28"/>
        </w:rPr>
        <w:t xml:space="preserve">» в 1 </w:t>
      </w:r>
      <w:r w:rsidR="001C3F44">
        <w:rPr>
          <w:rFonts w:ascii="Times New Roman" w:hAnsi="Times New Roman" w:cs="Times New Roman"/>
          <w:sz w:val="28"/>
          <w:szCs w:val="28"/>
        </w:rPr>
        <w:t>полугодии</w:t>
      </w:r>
      <w:r w:rsidR="001C3F44"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1C3F44">
        <w:rPr>
          <w:rFonts w:ascii="Times New Roman" w:hAnsi="Times New Roman" w:cs="Times New Roman"/>
          <w:sz w:val="28"/>
          <w:szCs w:val="28"/>
        </w:rPr>
        <w:t xml:space="preserve">9 </w:t>
      </w:r>
      <w:r w:rsidR="001C3F44" w:rsidRPr="005C2F87">
        <w:rPr>
          <w:rFonts w:ascii="Times New Roman" w:hAnsi="Times New Roman" w:cs="Times New Roman"/>
          <w:sz w:val="28"/>
          <w:szCs w:val="28"/>
        </w:rPr>
        <w:t>года вносились</w:t>
      </w:r>
      <w:r w:rsidR="001C3F44">
        <w:rPr>
          <w:rFonts w:ascii="Times New Roman" w:hAnsi="Times New Roman" w:cs="Times New Roman"/>
          <w:sz w:val="28"/>
          <w:szCs w:val="28"/>
        </w:rPr>
        <w:t xml:space="preserve"> четыре раза  решениями  Совета поселения от 11.01.2019 года №395, от 27.02.2019 года №403, от 24.05.2019 года № 410 и </w:t>
      </w:r>
      <w:r w:rsidR="001C3F44" w:rsidRPr="00AD1464">
        <w:rPr>
          <w:rFonts w:ascii="Times New Roman" w:hAnsi="Times New Roman" w:cs="Times New Roman"/>
          <w:sz w:val="28"/>
          <w:szCs w:val="28"/>
        </w:rPr>
        <w:t xml:space="preserve">от </w:t>
      </w:r>
      <w:r w:rsidR="001C3F44">
        <w:rPr>
          <w:rFonts w:ascii="Times New Roman" w:hAnsi="Times New Roman" w:cs="Times New Roman"/>
          <w:sz w:val="28"/>
          <w:szCs w:val="28"/>
        </w:rPr>
        <w:t>1</w:t>
      </w:r>
      <w:r w:rsidR="001C3F44" w:rsidRPr="00AD1464">
        <w:rPr>
          <w:rFonts w:ascii="Times New Roman" w:hAnsi="Times New Roman" w:cs="Times New Roman"/>
          <w:sz w:val="28"/>
          <w:szCs w:val="28"/>
        </w:rPr>
        <w:t xml:space="preserve"> </w:t>
      </w:r>
      <w:r w:rsidR="001C3F4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1C3F44" w:rsidRPr="00AD1464">
        <w:rPr>
          <w:rFonts w:ascii="Times New Roman" w:hAnsi="Times New Roman" w:cs="Times New Roman"/>
          <w:sz w:val="28"/>
          <w:szCs w:val="28"/>
        </w:rPr>
        <w:t xml:space="preserve"> 201</w:t>
      </w:r>
      <w:r w:rsidR="001C3F44">
        <w:rPr>
          <w:rFonts w:ascii="Times New Roman" w:hAnsi="Times New Roman" w:cs="Times New Roman"/>
          <w:sz w:val="28"/>
          <w:szCs w:val="28"/>
        </w:rPr>
        <w:t>9</w:t>
      </w:r>
      <w:r w:rsidR="001C3F44" w:rsidRPr="00AD146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C3F44">
        <w:rPr>
          <w:rFonts w:ascii="Times New Roman" w:hAnsi="Times New Roman" w:cs="Times New Roman"/>
          <w:sz w:val="28"/>
          <w:szCs w:val="28"/>
        </w:rPr>
        <w:t>407</w:t>
      </w:r>
      <w:r w:rsidRPr="00AD1464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2. За 1 </w:t>
      </w:r>
      <w:r w:rsidR="00C509D9">
        <w:rPr>
          <w:rFonts w:ascii="Times New Roman" w:hAnsi="Times New Roman" w:cs="Times New Roman"/>
          <w:sz w:val="28"/>
          <w:szCs w:val="28"/>
        </w:rPr>
        <w:t>полугоди</w:t>
      </w:r>
      <w:r w:rsidR="00DF26C9">
        <w:rPr>
          <w:rFonts w:ascii="Times New Roman" w:hAnsi="Times New Roman" w:cs="Times New Roman"/>
          <w:sz w:val="28"/>
          <w:szCs w:val="28"/>
        </w:rPr>
        <w:t>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B570D1">
        <w:rPr>
          <w:rFonts w:ascii="Times New Roman" w:hAnsi="Times New Roman" w:cs="Times New Roman"/>
          <w:sz w:val="28"/>
          <w:szCs w:val="28"/>
        </w:rPr>
        <w:t xml:space="preserve">9 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доходы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83DD0">
        <w:rPr>
          <w:rFonts w:ascii="Times New Roman" w:hAnsi="Times New Roman" w:cs="Times New Roman"/>
          <w:sz w:val="28"/>
          <w:szCs w:val="28"/>
        </w:rPr>
        <w:t>1787,2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3DD0">
        <w:rPr>
          <w:rFonts w:ascii="Times New Roman" w:hAnsi="Times New Roman" w:cs="Times New Roman"/>
          <w:sz w:val="28"/>
          <w:szCs w:val="28"/>
        </w:rPr>
        <w:t>43,4</w:t>
      </w:r>
      <w:r w:rsidRPr="005C2F8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в сумме </w:t>
      </w:r>
      <w:r w:rsidR="00783DD0">
        <w:rPr>
          <w:rFonts w:ascii="Times New Roman" w:hAnsi="Times New Roman" w:cs="Times New Roman"/>
          <w:sz w:val="28"/>
          <w:szCs w:val="28"/>
        </w:rPr>
        <w:t>4121,7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B935B2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Pr="005C2F87">
        <w:rPr>
          <w:rFonts w:ascii="Times New Roman" w:hAnsi="Times New Roman" w:cs="Times New Roman"/>
          <w:sz w:val="28"/>
          <w:szCs w:val="28"/>
        </w:rPr>
        <w:t xml:space="preserve">– </w:t>
      </w:r>
      <w:r w:rsidR="00783DD0">
        <w:rPr>
          <w:rFonts w:ascii="Times New Roman" w:hAnsi="Times New Roman" w:cs="Times New Roman"/>
          <w:sz w:val="28"/>
          <w:szCs w:val="28"/>
        </w:rPr>
        <w:t>219,4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83DD0">
        <w:rPr>
          <w:rFonts w:ascii="Times New Roman" w:hAnsi="Times New Roman" w:cs="Times New Roman"/>
          <w:sz w:val="28"/>
          <w:szCs w:val="28"/>
        </w:rPr>
        <w:t>24,5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783DD0">
        <w:rPr>
          <w:rFonts w:ascii="Times New Roman" w:hAnsi="Times New Roman" w:cs="Times New Roman"/>
          <w:sz w:val="28"/>
          <w:szCs w:val="28"/>
        </w:rPr>
        <w:t>1567,8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83DD0">
        <w:rPr>
          <w:rFonts w:ascii="Times New Roman" w:hAnsi="Times New Roman" w:cs="Times New Roman"/>
          <w:sz w:val="28"/>
          <w:szCs w:val="28"/>
        </w:rPr>
        <w:t>48,6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Основными источниками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являлись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9D9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2F87">
        <w:rPr>
          <w:rFonts w:ascii="Times New Roman" w:hAnsi="Times New Roman" w:cs="Times New Roman"/>
          <w:sz w:val="28"/>
          <w:szCs w:val="28"/>
        </w:rPr>
        <w:t>налог на доходы ф</w:t>
      </w:r>
      <w:r>
        <w:rPr>
          <w:rFonts w:ascii="Times New Roman" w:hAnsi="Times New Roman" w:cs="Times New Roman"/>
          <w:sz w:val="28"/>
          <w:szCs w:val="28"/>
        </w:rPr>
        <w:t>изических лиц</w:t>
      </w:r>
      <w:r w:rsidRPr="005C2F87">
        <w:rPr>
          <w:rFonts w:ascii="Times New Roman" w:hAnsi="Times New Roman" w:cs="Times New Roman"/>
          <w:sz w:val="28"/>
          <w:szCs w:val="28"/>
        </w:rPr>
        <w:t>,</w:t>
      </w:r>
      <w:r w:rsidR="00DF26C9">
        <w:rPr>
          <w:rFonts w:ascii="Times New Roman" w:hAnsi="Times New Roman" w:cs="Times New Roman"/>
          <w:sz w:val="28"/>
          <w:szCs w:val="28"/>
        </w:rPr>
        <w:t xml:space="preserve"> доходы от аренды имущества,</w:t>
      </w:r>
      <w:r w:rsidRPr="005C2F87">
        <w:rPr>
          <w:rFonts w:ascii="Times New Roman" w:hAnsi="Times New Roman" w:cs="Times New Roman"/>
          <w:sz w:val="28"/>
          <w:szCs w:val="28"/>
        </w:rPr>
        <w:t xml:space="preserve">  доля которых в объеме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783DD0">
        <w:rPr>
          <w:rFonts w:ascii="Times New Roman" w:hAnsi="Times New Roman" w:cs="Times New Roman"/>
          <w:sz w:val="28"/>
          <w:szCs w:val="28"/>
        </w:rPr>
        <w:t>96,5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83DD0">
        <w:rPr>
          <w:rFonts w:ascii="Times New Roman" w:hAnsi="Times New Roman" w:cs="Times New Roman"/>
          <w:sz w:val="28"/>
          <w:szCs w:val="28"/>
        </w:rPr>
        <w:t>а</w:t>
      </w:r>
      <w:r w:rsidRPr="005C2F87">
        <w:rPr>
          <w:rFonts w:ascii="Times New Roman" w:hAnsi="Times New Roman" w:cs="Times New Roman"/>
          <w:sz w:val="28"/>
          <w:szCs w:val="28"/>
        </w:rPr>
        <w:t>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доля налоговых и неналоговых доходов составила </w:t>
      </w:r>
      <w:r w:rsidR="00783DD0">
        <w:rPr>
          <w:rFonts w:ascii="Times New Roman" w:hAnsi="Times New Roman" w:cs="Times New Roman"/>
          <w:sz w:val="28"/>
          <w:szCs w:val="28"/>
        </w:rPr>
        <w:t>12,3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783DD0">
        <w:rPr>
          <w:rFonts w:ascii="Times New Roman" w:hAnsi="Times New Roman" w:cs="Times New Roman"/>
          <w:sz w:val="28"/>
          <w:szCs w:val="28"/>
        </w:rPr>
        <w:t>87,7</w:t>
      </w:r>
      <w:r w:rsidRPr="005C2F8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3. Расходы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исполнены в сумме  </w:t>
      </w:r>
      <w:r w:rsidR="00783DD0">
        <w:rPr>
          <w:rFonts w:ascii="Times New Roman" w:hAnsi="Times New Roman" w:cs="Times New Roman"/>
          <w:sz w:val="28"/>
          <w:szCs w:val="28"/>
        </w:rPr>
        <w:t>1574,9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83DD0">
        <w:rPr>
          <w:rFonts w:ascii="Times New Roman" w:hAnsi="Times New Roman" w:cs="Times New Roman"/>
          <w:sz w:val="28"/>
          <w:szCs w:val="28"/>
        </w:rPr>
        <w:t>37,6</w:t>
      </w:r>
      <w:r w:rsidRPr="005C2F87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783DD0">
        <w:rPr>
          <w:rFonts w:ascii="Times New Roman" w:hAnsi="Times New Roman" w:cs="Times New Roman"/>
          <w:sz w:val="28"/>
          <w:szCs w:val="28"/>
        </w:rPr>
        <w:t>4191,9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</w:t>
      </w:r>
      <w:r w:rsidR="006B079A">
        <w:rPr>
          <w:rFonts w:ascii="Times New Roman" w:hAnsi="Times New Roman" w:cs="Times New Roman"/>
          <w:sz w:val="28"/>
          <w:szCs w:val="28"/>
        </w:rPr>
        <w:t xml:space="preserve">у </w:t>
      </w:r>
      <w:r w:rsidRPr="005C2F87">
        <w:rPr>
          <w:rFonts w:ascii="Times New Roman" w:hAnsi="Times New Roman" w:cs="Times New Roman"/>
          <w:sz w:val="28"/>
          <w:szCs w:val="28"/>
        </w:rPr>
        <w:t xml:space="preserve"> «</w:t>
      </w:r>
      <w:r w:rsidR="00783DD0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3F1" w:rsidRPr="00AC31B3" w:rsidRDefault="002233F1" w:rsidP="002233F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1B3">
        <w:rPr>
          <w:rFonts w:ascii="Times New Roman" w:eastAsia="Times New Roman" w:hAnsi="Times New Roman" w:cs="Times New Roman"/>
          <w:sz w:val="28"/>
          <w:szCs w:val="28"/>
        </w:rPr>
        <w:t>По  всем ра</w:t>
      </w:r>
      <w:r w:rsidR="00783DD0">
        <w:rPr>
          <w:rFonts w:ascii="Times New Roman" w:eastAsia="Times New Roman" w:hAnsi="Times New Roman" w:cs="Times New Roman"/>
          <w:sz w:val="28"/>
          <w:szCs w:val="28"/>
        </w:rPr>
        <w:t xml:space="preserve">зделам классификации расходов 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уровень исполнения к годовым назначениям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>ниже 50,0 %, наиболее низкий уровень исполнения  по разделу «</w:t>
      </w:r>
      <w:r w:rsidR="00783DD0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», который составил всего лишь </w:t>
      </w:r>
      <w:r w:rsidR="00783DD0">
        <w:rPr>
          <w:rFonts w:ascii="Times New Roman" w:eastAsia="Times New Roman" w:hAnsi="Times New Roman" w:cs="Times New Roman"/>
          <w:sz w:val="28"/>
          <w:szCs w:val="28"/>
        </w:rPr>
        <w:t>13,2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1B3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4. За 1 </w:t>
      </w:r>
      <w:r w:rsidR="007A4886">
        <w:rPr>
          <w:rFonts w:ascii="Times New Roman" w:hAnsi="Times New Roman" w:cs="Times New Roman"/>
          <w:sz w:val="28"/>
          <w:szCs w:val="28"/>
        </w:rPr>
        <w:t>полугодие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201</w:t>
      </w:r>
      <w:r w:rsidR="002233F1">
        <w:rPr>
          <w:rFonts w:ascii="Times New Roman" w:hAnsi="Times New Roman" w:cs="Times New Roman"/>
          <w:sz w:val="28"/>
          <w:szCs w:val="28"/>
        </w:rPr>
        <w:t>8</w:t>
      </w:r>
      <w:r w:rsidRPr="005C2F87">
        <w:rPr>
          <w:rFonts w:ascii="Times New Roman" w:hAnsi="Times New Roman" w:cs="Times New Roman"/>
          <w:sz w:val="28"/>
          <w:szCs w:val="28"/>
        </w:rPr>
        <w:t xml:space="preserve"> года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2233F1">
        <w:rPr>
          <w:rFonts w:ascii="Times New Roman" w:hAnsi="Times New Roman" w:cs="Times New Roman"/>
          <w:sz w:val="28"/>
          <w:szCs w:val="28"/>
        </w:rPr>
        <w:t>профицитом</w:t>
      </w:r>
      <w:r w:rsidRPr="005C2F87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783DD0">
        <w:rPr>
          <w:rFonts w:ascii="Times New Roman" w:hAnsi="Times New Roman" w:cs="Times New Roman"/>
          <w:sz w:val="28"/>
          <w:szCs w:val="28"/>
        </w:rPr>
        <w:t>212,3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233F1">
        <w:rPr>
          <w:rFonts w:ascii="Times New Roman" w:hAnsi="Times New Roman" w:cs="Times New Roman"/>
          <w:sz w:val="28"/>
          <w:szCs w:val="28"/>
        </w:rPr>
        <w:t>.</w:t>
      </w:r>
    </w:p>
    <w:p w:rsidR="00D60C6B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7">
        <w:rPr>
          <w:rFonts w:ascii="Times New Roman" w:hAnsi="Times New Roman" w:cs="Times New Roman"/>
          <w:sz w:val="28"/>
          <w:szCs w:val="28"/>
        </w:rPr>
        <w:t xml:space="preserve"> 5. За 1 </w:t>
      </w:r>
      <w:r w:rsidR="007A488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5C2F87">
        <w:rPr>
          <w:rFonts w:ascii="Times New Roman" w:hAnsi="Times New Roman" w:cs="Times New Roman"/>
          <w:sz w:val="28"/>
          <w:szCs w:val="28"/>
        </w:rPr>
        <w:t>201</w:t>
      </w:r>
      <w:r w:rsidR="00783DD0">
        <w:rPr>
          <w:rFonts w:ascii="Times New Roman" w:hAnsi="Times New Roman" w:cs="Times New Roman"/>
          <w:sz w:val="28"/>
          <w:szCs w:val="28"/>
        </w:rPr>
        <w:t>9</w:t>
      </w:r>
      <w:r w:rsidR="007A4886">
        <w:rPr>
          <w:rFonts w:ascii="Times New Roman" w:hAnsi="Times New Roman" w:cs="Times New Roman"/>
          <w:sz w:val="28"/>
          <w:szCs w:val="28"/>
        </w:rPr>
        <w:t xml:space="preserve"> года произош</w:t>
      </w:r>
      <w:r w:rsidRPr="005C2F87">
        <w:rPr>
          <w:rFonts w:ascii="Times New Roman" w:hAnsi="Times New Roman" w:cs="Times New Roman"/>
          <w:sz w:val="28"/>
          <w:szCs w:val="28"/>
        </w:rPr>
        <w:t>л</w:t>
      </w:r>
      <w:r w:rsidR="007A4886">
        <w:rPr>
          <w:rFonts w:ascii="Times New Roman" w:hAnsi="Times New Roman" w:cs="Times New Roman"/>
          <w:sz w:val="28"/>
          <w:szCs w:val="28"/>
        </w:rPr>
        <w:t>о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  <w:r w:rsidR="007A4886">
        <w:rPr>
          <w:rFonts w:ascii="Times New Roman" w:hAnsi="Times New Roman" w:cs="Times New Roman"/>
          <w:sz w:val="28"/>
          <w:szCs w:val="28"/>
        </w:rPr>
        <w:t>снижение</w:t>
      </w:r>
      <w:r w:rsidRPr="005C2F8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 с </w:t>
      </w:r>
      <w:r w:rsidR="00783DD0">
        <w:rPr>
          <w:rFonts w:ascii="Times New Roman" w:hAnsi="Times New Roman" w:cs="Times New Roman"/>
          <w:sz w:val="28"/>
          <w:szCs w:val="28"/>
        </w:rPr>
        <w:t>273,3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 до </w:t>
      </w:r>
      <w:r w:rsidR="00783DD0">
        <w:rPr>
          <w:rFonts w:ascii="Times New Roman" w:hAnsi="Times New Roman" w:cs="Times New Roman"/>
          <w:sz w:val="28"/>
          <w:szCs w:val="28"/>
        </w:rPr>
        <w:t>27,9</w:t>
      </w:r>
      <w:r w:rsidRPr="005C2F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83DD0">
        <w:rPr>
          <w:rFonts w:ascii="Times New Roman" w:hAnsi="Times New Roman" w:cs="Times New Roman"/>
          <w:sz w:val="28"/>
          <w:szCs w:val="28"/>
        </w:rPr>
        <w:t>89,8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7A4886" w:rsidRPr="007A4886">
        <w:rPr>
          <w:rFonts w:ascii="Times New Roman" w:hAnsi="Times New Roman" w:cs="Times New Roman"/>
          <w:sz w:val="28"/>
          <w:szCs w:val="28"/>
        </w:rPr>
        <w:t xml:space="preserve"> 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За аналогичный период прошлого года объем кредиторской задолженности составлял </w:t>
      </w:r>
      <w:r w:rsidR="00783DD0">
        <w:rPr>
          <w:rFonts w:ascii="Times New Roman" w:hAnsi="Times New Roman" w:cs="Times New Roman"/>
          <w:sz w:val="28"/>
          <w:szCs w:val="28"/>
        </w:rPr>
        <w:t>69,4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рублей, т.е. наблюдается тенденция </w:t>
      </w:r>
      <w:r w:rsidR="006B079A">
        <w:rPr>
          <w:rFonts w:ascii="Times New Roman" w:hAnsi="Times New Roman" w:cs="Times New Roman"/>
          <w:sz w:val="28"/>
          <w:szCs w:val="28"/>
        </w:rPr>
        <w:t>снижения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на </w:t>
      </w:r>
      <w:r w:rsidR="00783DD0">
        <w:rPr>
          <w:rFonts w:ascii="Times New Roman" w:hAnsi="Times New Roman" w:cs="Times New Roman"/>
          <w:sz w:val="28"/>
          <w:szCs w:val="28"/>
        </w:rPr>
        <w:t>41,5</w:t>
      </w:r>
      <w:r w:rsidR="007A4886" w:rsidRPr="00FA5DF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5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9A" w:rsidRPr="005C2F87" w:rsidRDefault="006B079A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Размер дебиторской задолженности составил </w:t>
      </w:r>
      <w:r w:rsidR="00783DD0">
        <w:rPr>
          <w:rFonts w:ascii="Times New Roman" w:hAnsi="Times New Roman" w:cs="Times New Roman"/>
          <w:sz w:val="28"/>
          <w:szCs w:val="28"/>
        </w:rPr>
        <w:t>273,1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r w:rsidR="00783DD0">
        <w:rPr>
          <w:rFonts w:ascii="Times New Roman" w:hAnsi="Times New Roman" w:cs="Times New Roman"/>
          <w:sz w:val="28"/>
          <w:szCs w:val="28"/>
        </w:rPr>
        <w:t>273,1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арендная плата за пользование муниципальным имуществом.</w:t>
      </w: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D60C6B" w:rsidP="00D60C6B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F87">
        <w:rPr>
          <w:rFonts w:ascii="Times New Roman" w:hAnsi="Times New Roman" w:cs="Times New Roman"/>
          <w:b/>
          <w:sz w:val="28"/>
          <w:szCs w:val="28"/>
        </w:rPr>
        <w:t xml:space="preserve">Рекомендации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5C2F87">
        <w:rPr>
          <w:rFonts w:ascii="Times New Roman" w:hAnsi="Times New Roman" w:cs="Times New Roman"/>
          <w:b/>
          <w:sz w:val="28"/>
          <w:szCs w:val="28"/>
        </w:rPr>
        <w:t>: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 xml:space="preserve">В целях пополнения доходной части  бюджета  поселения рекомендуем принять меры по собираемости собственных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783DD0">
        <w:rPr>
          <w:rFonts w:ascii="Times New Roman" w:hAnsi="Times New Roman" w:cs="Times New Roman"/>
          <w:sz w:val="28"/>
          <w:szCs w:val="28"/>
        </w:rPr>
        <w:t>.</w:t>
      </w:r>
    </w:p>
    <w:p w:rsidR="00D60C6B" w:rsidRDefault="00D60C6B" w:rsidP="00D60C6B">
      <w:pPr>
        <w:pStyle w:val="ae"/>
        <w:numPr>
          <w:ilvl w:val="0"/>
          <w:numId w:val="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41E12">
        <w:rPr>
          <w:rFonts w:ascii="Times New Roman" w:hAnsi="Times New Roman" w:cs="Times New Roman"/>
          <w:sz w:val="28"/>
          <w:szCs w:val="28"/>
        </w:rPr>
        <w:t>Принять исчерпывающие меры по недопущению роста кредиторской задолженности.</w:t>
      </w:r>
    </w:p>
    <w:p w:rsidR="00D60C6B" w:rsidRDefault="00D60C6B" w:rsidP="00D60C6B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800" w:rsidRDefault="00205800" w:rsidP="00D60C6B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C6B" w:rsidRPr="005C2F87" w:rsidRDefault="006B079A" w:rsidP="00D60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60C6B" w:rsidRPr="005C2F87"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Дудина</w:t>
      </w:r>
    </w:p>
    <w:p w:rsidR="00D60C6B" w:rsidRPr="005C2F87" w:rsidRDefault="00D60C6B" w:rsidP="00D60C6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B310B" w:rsidRPr="00D60C6B" w:rsidRDefault="007B310B" w:rsidP="00D60C6B"/>
    <w:sectPr w:rsidR="007B310B" w:rsidRPr="00D60C6B" w:rsidSect="00336BE2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67" w:rsidRDefault="00557967">
      <w:pPr>
        <w:spacing w:after="0" w:line="240" w:lineRule="auto"/>
      </w:pPr>
      <w:r>
        <w:separator/>
      </w:r>
    </w:p>
  </w:endnote>
  <w:endnote w:type="continuationSeparator" w:id="0">
    <w:p w:rsidR="00557967" w:rsidRDefault="0055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67" w:rsidRDefault="00557967">
      <w:pPr>
        <w:spacing w:after="0" w:line="240" w:lineRule="auto"/>
      </w:pPr>
      <w:r>
        <w:separator/>
      </w:r>
    </w:p>
  </w:footnote>
  <w:footnote w:type="continuationSeparator" w:id="0">
    <w:p w:rsidR="00557967" w:rsidRDefault="0055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14" w:rsidRDefault="00054E14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E14" w:rsidRDefault="00054E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14" w:rsidRDefault="00054E14" w:rsidP="00336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EA5">
      <w:rPr>
        <w:rStyle w:val="a5"/>
        <w:noProof/>
      </w:rPr>
      <w:t>3</w:t>
    </w:r>
    <w:r>
      <w:rPr>
        <w:rStyle w:val="a5"/>
      </w:rPr>
      <w:fldChar w:fldCharType="end"/>
    </w:r>
  </w:p>
  <w:p w:rsidR="00054E14" w:rsidRDefault="00054E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89"/>
    <w:rsid w:val="000326D4"/>
    <w:rsid w:val="00052ED3"/>
    <w:rsid w:val="00054E14"/>
    <w:rsid w:val="00056767"/>
    <w:rsid w:val="00057B69"/>
    <w:rsid w:val="00070F90"/>
    <w:rsid w:val="00091356"/>
    <w:rsid w:val="0009674D"/>
    <w:rsid w:val="000A4A80"/>
    <w:rsid w:val="000C059E"/>
    <w:rsid w:val="000D4140"/>
    <w:rsid w:val="000D7085"/>
    <w:rsid w:val="000F666D"/>
    <w:rsid w:val="00100B7A"/>
    <w:rsid w:val="00101295"/>
    <w:rsid w:val="0010585D"/>
    <w:rsid w:val="001110D1"/>
    <w:rsid w:val="001157DA"/>
    <w:rsid w:val="0013238C"/>
    <w:rsid w:val="001342AD"/>
    <w:rsid w:val="00145998"/>
    <w:rsid w:val="00152BE9"/>
    <w:rsid w:val="001568AE"/>
    <w:rsid w:val="00167F7D"/>
    <w:rsid w:val="00170735"/>
    <w:rsid w:val="00183868"/>
    <w:rsid w:val="00190D7D"/>
    <w:rsid w:val="00192658"/>
    <w:rsid w:val="001A15B5"/>
    <w:rsid w:val="001B39D2"/>
    <w:rsid w:val="001B4298"/>
    <w:rsid w:val="001C3F44"/>
    <w:rsid w:val="001D25DC"/>
    <w:rsid w:val="00205800"/>
    <w:rsid w:val="00205AB8"/>
    <w:rsid w:val="002167B4"/>
    <w:rsid w:val="00217549"/>
    <w:rsid w:val="00222463"/>
    <w:rsid w:val="002233F1"/>
    <w:rsid w:val="00224009"/>
    <w:rsid w:val="00262877"/>
    <w:rsid w:val="00280257"/>
    <w:rsid w:val="00286C10"/>
    <w:rsid w:val="002B30D3"/>
    <w:rsid w:val="002E6E57"/>
    <w:rsid w:val="00320EA3"/>
    <w:rsid w:val="00336BE2"/>
    <w:rsid w:val="00357539"/>
    <w:rsid w:val="003826E8"/>
    <w:rsid w:val="003A362D"/>
    <w:rsid w:val="003A3DA4"/>
    <w:rsid w:val="003A4570"/>
    <w:rsid w:val="003A4AFC"/>
    <w:rsid w:val="003C0981"/>
    <w:rsid w:val="003C6C53"/>
    <w:rsid w:val="003D1674"/>
    <w:rsid w:val="003D29EE"/>
    <w:rsid w:val="003E3332"/>
    <w:rsid w:val="003F0111"/>
    <w:rsid w:val="003F4D42"/>
    <w:rsid w:val="00406395"/>
    <w:rsid w:val="00410E02"/>
    <w:rsid w:val="004136BF"/>
    <w:rsid w:val="0044086E"/>
    <w:rsid w:val="00441B2C"/>
    <w:rsid w:val="00442696"/>
    <w:rsid w:val="00450990"/>
    <w:rsid w:val="004670E4"/>
    <w:rsid w:val="00475935"/>
    <w:rsid w:val="004815E6"/>
    <w:rsid w:val="004A003F"/>
    <w:rsid w:val="004A3283"/>
    <w:rsid w:val="004A7D81"/>
    <w:rsid w:val="004B1422"/>
    <w:rsid w:val="004D0A51"/>
    <w:rsid w:val="004D3A7D"/>
    <w:rsid w:val="004E2883"/>
    <w:rsid w:val="004F58A8"/>
    <w:rsid w:val="004F5F84"/>
    <w:rsid w:val="004F749B"/>
    <w:rsid w:val="0050061A"/>
    <w:rsid w:val="00501644"/>
    <w:rsid w:val="00511866"/>
    <w:rsid w:val="00513606"/>
    <w:rsid w:val="00520EC6"/>
    <w:rsid w:val="00550170"/>
    <w:rsid w:val="00557967"/>
    <w:rsid w:val="00565C13"/>
    <w:rsid w:val="005A5EA5"/>
    <w:rsid w:val="005B5B64"/>
    <w:rsid w:val="005D521D"/>
    <w:rsid w:val="005E6AA4"/>
    <w:rsid w:val="005F1E2D"/>
    <w:rsid w:val="005F6B5C"/>
    <w:rsid w:val="00607E0D"/>
    <w:rsid w:val="00610D40"/>
    <w:rsid w:val="0062087D"/>
    <w:rsid w:val="006277F2"/>
    <w:rsid w:val="00634E3E"/>
    <w:rsid w:val="0063630B"/>
    <w:rsid w:val="00651122"/>
    <w:rsid w:val="006700C1"/>
    <w:rsid w:val="00680AE6"/>
    <w:rsid w:val="006827A7"/>
    <w:rsid w:val="0068300D"/>
    <w:rsid w:val="0069179E"/>
    <w:rsid w:val="00694D8E"/>
    <w:rsid w:val="006B079A"/>
    <w:rsid w:val="006C120C"/>
    <w:rsid w:val="006D185F"/>
    <w:rsid w:val="006D1AAC"/>
    <w:rsid w:val="006E5768"/>
    <w:rsid w:val="006F44CF"/>
    <w:rsid w:val="006F6DBB"/>
    <w:rsid w:val="00704A7F"/>
    <w:rsid w:val="00741866"/>
    <w:rsid w:val="00746271"/>
    <w:rsid w:val="0077199A"/>
    <w:rsid w:val="00781497"/>
    <w:rsid w:val="00783DD0"/>
    <w:rsid w:val="00792618"/>
    <w:rsid w:val="007A141D"/>
    <w:rsid w:val="007A336D"/>
    <w:rsid w:val="007A4886"/>
    <w:rsid w:val="007B310B"/>
    <w:rsid w:val="007C6326"/>
    <w:rsid w:val="007D75EE"/>
    <w:rsid w:val="00803E52"/>
    <w:rsid w:val="008079C4"/>
    <w:rsid w:val="00827572"/>
    <w:rsid w:val="00834CF1"/>
    <w:rsid w:val="00865940"/>
    <w:rsid w:val="008A7A16"/>
    <w:rsid w:val="008B125A"/>
    <w:rsid w:val="008C0B7E"/>
    <w:rsid w:val="008C5700"/>
    <w:rsid w:val="008C5DE1"/>
    <w:rsid w:val="008F5621"/>
    <w:rsid w:val="009066DF"/>
    <w:rsid w:val="009156CA"/>
    <w:rsid w:val="009315D6"/>
    <w:rsid w:val="009334DF"/>
    <w:rsid w:val="00957259"/>
    <w:rsid w:val="00962F32"/>
    <w:rsid w:val="00971BB8"/>
    <w:rsid w:val="00975A18"/>
    <w:rsid w:val="00984EF1"/>
    <w:rsid w:val="00993F42"/>
    <w:rsid w:val="009972C4"/>
    <w:rsid w:val="009A53FE"/>
    <w:rsid w:val="009E505E"/>
    <w:rsid w:val="00A06558"/>
    <w:rsid w:val="00A22161"/>
    <w:rsid w:val="00A306A7"/>
    <w:rsid w:val="00A5503B"/>
    <w:rsid w:val="00A66F2D"/>
    <w:rsid w:val="00A67018"/>
    <w:rsid w:val="00A739CE"/>
    <w:rsid w:val="00A87301"/>
    <w:rsid w:val="00A94DAF"/>
    <w:rsid w:val="00A966DA"/>
    <w:rsid w:val="00AA2230"/>
    <w:rsid w:val="00AC31B3"/>
    <w:rsid w:val="00AC56A2"/>
    <w:rsid w:val="00AC623A"/>
    <w:rsid w:val="00AD1464"/>
    <w:rsid w:val="00AD5CE4"/>
    <w:rsid w:val="00B04F44"/>
    <w:rsid w:val="00B23389"/>
    <w:rsid w:val="00B32B54"/>
    <w:rsid w:val="00B32FB8"/>
    <w:rsid w:val="00B45305"/>
    <w:rsid w:val="00B54EAB"/>
    <w:rsid w:val="00B570D1"/>
    <w:rsid w:val="00B62A53"/>
    <w:rsid w:val="00B6354F"/>
    <w:rsid w:val="00B7017B"/>
    <w:rsid w:val="00B8691A"/>
    <w:rsid w:val="00B935B2"/>
    <w:rsid w:val="00BA1291"/>
    <w:rsid w:val="00BB0C0E"/>
    <w:rsid w:val="00BC0AC4"/>
    <w:rsid w:val="00BE0199"/>
    <w:rsid w:val="00BE65A8"/>
    <w:rsid w:val="00BF52E1"/>
    <w:rsid w:val="00C00D2D"/>
    <w:rsid w:val="00C00F2E"/>
    <w:rsid w:val="00C04761"/>
    <w:rsid w:val="00C063DC"/>
    <w:rsid w:val="00C068E9"/>
    <w:rsid w:val="00C07A8F"/>
    <w:rsid w:val="00C3200D"/>
    <w:rsid w:val="00C33678"/>
    <w:rsid w:val="00C3680A"/>
    <w:rsid w:val="00C3717B"/>
    <w:rsid w:val="00C509D9"/>
    <w:rsid w:val="00C66DEB"/>
    <w:rsid w:val="00C77324"/>
    <w:rsid w:val="00C839A7"/>
    <w:rsid w:val="00CB2BF3"/>
    <w:rsid w:val="00CC4602"/>
    <w:rsid w:val="00CD02AA"/>
    <w:rsid w:val="00D06224"/>
    <w:rsid w:val="00D333B3"/>
    <w:rsid w:val="00D36978"/>
    <w:rsid w:val="00D40D6E"/>
    <w:rsid w:val="00D539EE"/>
    <w:rsid w:val="00D60C6B"/>
    <w:rsid w:val="00D77306"/>
    <w:rsid w:val="00DB6E73"/>
    <w:rsid w:val="00DE28FA"/>
    <w:rsid w:val="00DF26C9"/>
    <w:rsid w:val="00DF7E35"/>
    <w:rsid w:val="00E00A2D"/>
    <w:rsid w:val="00E0546B"/>
    <w:rsid w:val="00E11291"/>
    <w:rsid w:val="00E57BF7"/>
    <w:rsid w:val="00E669D6"/>
    <w:rsid w:val="00E71F0E"/>
    <w:rsid w:val="00E739C3"/>
    <w:rsid w:val="00E84124"/>
    <w:rsid w:val="00EB1E3F"/>
    <w:rsid w:val="00EB3123"/>
    <w:rsid w:val="00EB7DF9"/>
    <w:rsid w:val="00EE5089"/>
    <w:rsid w:val="00F250F5"/>
    <w:rsid w:val="00F514A1"/>
    <w:rsid w:val="00F5454E"/>
    <w:rsid w:val="00F76882"/>
    <w:rsid w:val="00F9649E"/>
    <w:rsid w:val="00FB4FBF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6BF"/>
  </w:style>
  <w:style w:type="paragraph" w:styleId="a3">
    <w:name w:val="header"/>
    <w:basedOn w:val="a"/>
    <w:link w:val="a4"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6BF"/>
  </w:style>
  <w:style w:type="paragraph" w:styleId="a6">
    <w:name w:val="footer"/>
    <w:basedOn w:val="a"/>
    <w:link w:val="a7"/>
    <w:unhideWhenUsed/>
    <w:rsid w:val="0041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13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41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136B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60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60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0C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D60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60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60C6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60C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D60C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6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1 полугодие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сдачи в аренду имущества</c:v>
                </c:pt>
                <c:pt idx="5">
                  <c:v>прочие доходы от компенсации затрат бюджетов сельских поселений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53.5</c:v>
                </c:pt>
                <c:pt idx="1">
                  <c:v>16.399999999999999</c:v>
                </c:pt>
                <c:pt idx="2">
                  <c:v>115.1</c:v>
                </c:pt>
                <c:pt idx="3">
                  <c:v>6</c:v>
                </c:pt>
                <c:pt idx="4">
                  <c:v>76.8</c:v>
                </c:pt>
                <c:pt idx="5">
                  <c:v>94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1 полугодие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сдачи в аренду имущества</c:v>
                </c:pt>
                <c:pt idx="5">
                  <c:v>прочие доходы от компенсации затрат бюджетов сельских поселений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58.6</c:v>
                </c:pt>
                <c:pt idx="1">
                  <c:v>3.6</c:v>
                </c:pt>
                <c:pt idx="2">
                  <c:v>135.9</c:v>
                </c:pt>
                <c:pt idx="3">
                  <c:v>4</c:v>
                </c:pt>
                <c:pt idx="4">
                  <c:v>17.3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948160"/>
        <c:axId val="135799936"/>
        <c:axId val="0"/>
      </c:bar3DChart>
      <c:catAx>
        <c:axId val="27948160"/>
        <c:scaling>
          <c:orientation val="minMax"/>
        </c:scaling>
        <c:delete val="0"/>
        <c:axPos val="l"/>
        <c:majorTickMark val="out"/>
        <c:minorTickMark val="none"/>
        <c:tickLblPos val="nextTo"/>
        <c:crossAx val="135799936"/>
        <c:crosses val="autoZero"/>
        <c:auto val="1"/>
        <c:lblAlgn val="ctr"/>
        <c:lblOffset val="100"/>
        <c:noMultiLvlLbl val="0"/>
      </c:catAx>
      <c:valAx>
        <c:axId val="135799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794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 факт 1 полугодие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Лист1!$A$30:$A$35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  <c:pt idx="5">
                  <c:v>доходы от возврата остатков субсидий, субвенций и иных МБТ</c:v>
                </c:pt>
              </c:strCache>
            </c:strRef>
          </c:cat>
          <c:val>
            <c:numRef>
              <c:f>Лист1!$B$30:$B$35</c:f>
              <c:numCache>
                <c:formatCode>General</c:formatCode>
                <c:ptCount val="6"/>
                <c:pt idx="0">
                  <c:v>1010.5</c:v>
                </c:pt>
                <c:pt idx="1">
                  <c:v>42.8</c:v>
                </c:pt>
                <c:pt idx="2">
                  <c:v>73.2</c:v>
                </c:pt>
                <c:pt idx="3">
                  <c:v>75</c:v>
                </c:pt>
                <c:pt idx="4">
                  <c:v>52</c:v>
                </c:pt>
                <c:pt idx="5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факт 1 полугодие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Лист1!$A$30:$A$35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  <c:pt idx="5">
                  <c:v>доходы от возврата остатков субсидий, субвенций и иных МБТ</c:v>
                </c:pt>
              </c:strCache>
            </c:strRef>
          </c:cat>
          <c:val>
            <c:numRef>
              <c:f>Лист1!$C$30:$C$35</c:f>
              <c:numCache>
                <c:formatCode>General</c:formatCode>
                <c:ptCount val="6"/>
                <c:pt idx="0">
                  <c:v>1027.9000000000001</c:v>
                </c:pt>
                <c:pt idx="1">
                  <c:v>46.4</c:v>
                </c:pt>
                <c:pt idx="2">
                  <c:v>134.69999999999999</c:v>
                </c:pt>
                <c:pt idx="3">
                  <c:v>333.8</c:v>
                </c:pt>
                <c:pt idx="4">
                  <c:v>25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35813760"/>
        <c:axId val="135815552"/>
        <c:axId val="25883072"/>
      </c:bar3DChart>
      <c:catAx>
        <c:axId val="13581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15552"/>
        <c:crosses val="autoZero"/>
        <c:auto val="1"/>
        <c:lblAlgn val="ctr"/>
        <c:lblOffset val="100"/>
        <c:noMultiLvlLbl val="0"/>
      </c:catAx>
      <c:valAx>
        <c:axId val="13581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813760"/>
        <c:crosses val="autoZero"/>
        <c:crossBetween val="between"/>
      </c:valAx>
      <c:serAx>
        <c:axId val="25883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3581555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Лист1!$B$176</c:f>
              <c:strCache>
                <c:ptCount val="1"/>
                <c:pt idx="0">
                  <c:v> факт 1 полугодие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Лист1!$A$177:$A$184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  <c:pt idx="6">
                  <c:v>Национальная безопасность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Лист1!$B$177:$B$184</c:f>
              <c:numCache>
                <c:formatCode>General</c:formatCode>
                <c:ptCount val="8"/>
                <c:pt idx="0">
                  <c:v>1227</c:v>
                </c:pt>
                <c:pt idx="1">
                  <c:v>40.5</c:v>
                </c:pt>
                <c:pt idx="2">
                  <c:v>88.9</c:v>
                </c:pt>
                <c:pt idx="3">
                  <c:v>45.9</c:v>
                </c:pt>
                <c:pt idx="4">
                  <c:v>68.2</c:v>
                </c:pt>
                <c:pt idx="5">
                  <c:v>106.1</c:v>
                </c:pt>
                <c:pt idx="6">
                  <c:v>1.5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Лист1!$C$176</c:f>
              <c:strCache>
                <c:ptCount val="1"/>
                <c:pt idx="0">
                  <c:v>факт 1 полугодие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Лист1!$A$177:$A$184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  <c:pt idx="6">
                  <c:v>Национальная безопасность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Лист1!$C$177:$C$184</c:f>
              <c:numCache>
                <c:formatCode>General</c:formatCode>
                <c:ptCount val="8"/>
                <c:pt idx="0">
                  <c:v>1118.7</c:v>
                </c:pt>
                <c:pt idx="1">
                  <c:v>46</c:v>
                </c:pt>
                <c:pt idx="2">
                  <c:v>110.8</c:v>
                </c:pt>
                <c:pt idx="3">
                  <c:v>16.7</c:v>
                </c:pt>
                <c:pt idx="4">
                  <c:v>164.1</c:v>
                </c:pt>
                <c:pt idx="5">
                  <c:v>118.2</c:v>
                </c:pt>
                <c:pt idx="6">
                  <c:v>0</c:v>
                </c:pt>
                <c:pt idx="7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5842432"/>
        <c:axId val="135848320"/>
        <c:axId val="0"/>
      </c:bar3DChart>
      <c:catAx>
        <c:axId val="135842432"/>
        <c:scaling>
          <c:orientation val="minMax"/>
        </c:scaling>
        <c:delete val="0"/>
        <c:axPos val="l"/>
        <c:majorTickMark val="out"/>
        <c:minorTickMark val="none"/>
        <c:tickLblPos val="nextTo"/>
        <c:crossAx val="135848320"/>
        <c:crosses val="autoZero"/>
        <c:auto val="1"/>
        <c:lblAlgn val="ctr"/>
        <c:lblOffset val="100"/>
        <c:noMultiLvlLbl val="0"/>
      </c:catAx>
      <c:valAx>
        <c:axId val="135848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584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2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1118,7тыс. руб., 71 %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оборона; 46тыс. руб., 2,9 %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ЖКХ; 110,8тыс. руб., 7,0 %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16,7тыс. руб., 1,1 %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Национальная экономика; 164,1тыс. руб., 10,4 %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Социальная политика; 118,2тыс. руб., 7,5 %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Образование; 0,4 тыс. руб., 0,1 %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Лист1!$A$203:$A$209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  <c:pt idx="6">
                  <c:v>Образование</c:v>
                </c:pt>
              </c:strCache>
            </c:strRef>
          </c:cat>
          <c:val>
            <c:numRef>
              <c:f>Лист1!$B$203:$B$209</c:f>
              <c:numCache>
                <c:formatCode>General</c:formatCode>
                <c:ptCount val="7"/>
                <c:pt idx="0">
                  <c:v>1118.7</c:v>
                </c:pt>
                <c:pt idx="1">
                  <c:v>46</c:v>
                </c:pt>
                <c:pt idx="2">
                  <c:v>110.8</c:v>
                </c:pt>
                <c:pt idx="3">
                  <c:v>16.7</c:v>
                </c:pt>
                <c:pt idx="4">
                  <c:v>164.1</c:v>
                </c:pt>
                <c:pt idx="5">
                  <c:v>118.2</c:v>
                </c:pt>
                <c:pt idx="6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E10A-5984-46F7-A621-2A2EBF78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2019-07-31T05:49:00Z</cp:lastPrinted>
  <dcterms:created xsi:type="dcterms:W3CDTF">2019-08-15T11:04:00Z</dcterms:created>
  <dcterms:modified xsi:type="dcterms:W3CDTF">2019-08-15T11:04:00Z</dcterms:modified>
</cp:coreProperties>
</file>