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87B04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14742A27" wp14:editId="4781E1A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87B0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E87B04" w:rsidRPr="00E87B04" w:rsidRDefault="00E87B04" w:rsidP="00E87B0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87B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E87B04" w:rsidRPr="00E87B04" w:rsidRDefault="00E87B04" w:rsidP="00E87B0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87B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E87B04" w:rsidRPr="00E87B04" w:rsidRDefault="00E87B04" w:rsidP="00E87B04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87B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района</w:t>
      </w: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E87B04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4168B" w:rsidRPr="00E87B04" w:rsidRDefault="0044168B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 </w:t>
      </w:r>
      <w:r w:rsidR="009D0B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» августа 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решением Представительного Собрания Междуреченского муниципального района от 26 февраля 2013 года № 2 «О бюджетном процессе в Междуреченском муниципальном районе» отчет об исполнении бюджета района за первый квартал, полугодие и девять месяцев текущего финансового года утверждается и направляется администрацией района в Представительное Собрание района и ревизионную комиссию.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полугодие 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от 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3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53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района  за 1 полугодие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района за 1 полугодие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управлением финансов района представлена информация о доходах и об основных направлениях расходов за 1 полугодие  201</w:t>
      </w:r>
      <w:r w:rsidR="00CE3D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44168B" w:rsidRPr="00E87B04" w:rsidRDefault="0044168B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района. </w:t>
      </w:r>
    </w:p>
    <w:p w:rsidR="00E87B04" w:rsidRPr="00E87B04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района за 1 полугодие  201</w:t>
      </w:r>
      <w:r w:rsid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Междуреченского муниципального района в форме приложений: 1 – по доходам бюджета района, 2 – по расходам  бюджета района по разделам,  3 – по показателям дефицита (профицита) бюджета района.</w:t>
      </w:r>
    </w:p>
    <w:p w:rsidR="00E87B04" w:rsidRPr="00382956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района на 201</w:t>
      </w:r>
      <w:r w:rsid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полугодии 201</w:t>
      </w:r>
      <w:r w:rsid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 два раза  решениями 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Представительного Собрания района от </w:t>
      </w:r>
      <w:r w:rsidR="00382956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82956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февраля 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82956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382956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</w:t>
      </w:r>
      <w:r w:rsidR="00154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596B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54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382956"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5491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38295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повлекли изменение в основные параметры бюджета района.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2956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Первоначальный бюджет  района на 201</w:t>
      </w:r>
      <w:r w:rsidR="00382956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 решением Представительного Собрания района от 1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59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  следующими параметрами: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района – </w:t>
      </w:r>
      <w:r w:rsidR="00667E21"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260767,4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района  - </w:t>
      </w:r>
      <w:r w:rsidR="00667E21"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265189,3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87B04" w:rsidRPr="00667E21" w:rsidRDefault="00E87B04" w:rsidP="00E87B0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дефицит бюджет района   - </w:t>
      </w:r>
      <w:r w:rsidR="00667E21" w:rsidRPr="00667E21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67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рублей. 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Утвержденный бюджет с учетом вносимых поправок  составил: объем доходов бюджета района -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264257,6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бюджета района -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275693,1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дефицит  бюджета    составил </w:t>
      </w:r>
      <w:r w:rsid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11435,5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рублей.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107777,9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67E21"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40,8</w:t>
      </w:r>
      <w:r w:rsidRPr="00667E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67E21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264257,6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расходы – </w:t>
      </w:r>
      <w:r w:rsidR="00667E21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116214,7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667E21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42,2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93DE7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275693,1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дефицит  составил –  </w:t>
      </w:r>
      <w:r w:rsidR="00E93DE7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8436,8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</w:t>
      </w:r>
    </w:p>
    <w:p w:rsidR="00E87B04" w:rsidRPr="00E93DE7" w:rsidRDefault="00E87B04" w:rsidP="00E87B04">
      <w:pPr>
        <w:tabs>
          <w:tab w:val="left" w:pos="540"/>
        </w:tabs>
        <w:spacing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93DE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района за 1 полугодие  201</w:t>
      </w:r>
      <w:r w:rsidR="00E93DE7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E93DE7"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E93DE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93DE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329"/>
        <w:gridCol w:w="1417"/>
      </w:tblGrid>
      <w:tr w:rsidR="00E93DE7" w:rsidRPr="00E93DE7" w:rsidTr="00CE3D49">
        <w:trPr>
          <w:trHeight w:val="2158"/>
        </w:trPr>
        <w:tc>
          <w:tcPr>
            <w:tcW w:w="1809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E87B04" w:rsidRPr="00E93DE7" w:rsidRDefault="00E93DE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за 1полугодие 2018 </w:t>
            </w:r>
            <w:r w:rsidR="00E87B04"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596B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E87B04" w:rsidRPr="00E93DE7" w:rsidRDefault="00E87B04" w:rsidP="00E93DE7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E93DE7"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329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Абсолютное отклонение 1полугодия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E93DE7"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 от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1полугоди</w:t>
            </w:r>
            <w:r w:rsidR="00596B0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я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E93DE7"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полугодия 2017 года  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E87B04" w:rsidRPr="00E93DE7" w:rsidRDefault="00E87B04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DE7" w:rsidRPr="00E93DE7" w:rsidTr="00CE3D49">
        <w:tc>
          <w:tcPr>
            <w:tcW w:w="1809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E87B04" w:rsidRPr="00E93DE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93DE7" w:rsidRPr="00E93DE7" w:rsidTr="00CE3D49">
        <w:tc>
          <w:tcPr>
            <w:tcW w:w="1809" w:type="dxa"/>
          </w:tcPr>
          <w:p w:rsidR="00E93DE7" w:rsidRPr="00E93DE7" w:rsidRDefault="00E93DE7" w:rsidP="00E87B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   Всего доходов</w:t>
            </w:r>
          </w:p>
        </w:tc>
        <w:tc>
          <w:tcPr>
            <w:tcW w:w="1276" w:type="dxa"/>
          </w:tcPr>
          <w:p w:rsidR="00E93DE7" w:rsidRPr="00E93DE7" w:rsidRDefault="00E93DE7" w:rsidP="00960A3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81057,1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107777,9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329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26720,8</w:t>
            </w:r>
          </w:p>
        </w:tc>
        <w:tc>
          <w:tcPr>
            <w:tcW w:w="1417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</w:tr>
      <w:tr w:rsidR="00E93DE7" w:rsidRPr="00E93DE7" w:rsidTr="00CE3D49">
        <w:tc>
          <w:tcPr>
            <w:tcW w:w="1809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E93DE7" w:rsidRPr="00E93DE7" w:rsidRDefault="00E93DE7" w:rsidP="00960A3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103231,8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116214,7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329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12982,9</w:t>
            </w:r>
          </w:p>
        </w:tc>
        <w:tc>
          <w:tcPr>
            <w:tcW w:w="1417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</w:tr>
      <w:tr w:rsidR="00E93DE7" w:rsidRPr="00E93DE7" w:rsidTr="00CE3D49">
        <w:tc>
          <w:tcPr>
            <w:tcW w:w="1809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 (-),</w:t>
            </w:r>
          </w:p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 (+)</w:t>
            </w:r>
          </w:p>
        </w:tc>
        <w:tc>
          <w:tcPr>
            <w:tcW w:w="1276" w:type="dxa"/>
          </w:tcPr>
          <w:p w:rsidR="00E93DE7" w:rsidRPr="00E93DE7" w:rsidRDefault="00E93DE7" w:rsidP="00960A3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-22174,7</w:t>
            </w:r>
          </w:p>
        </w:tc>
        <w:tc>
          <w:tcPr>
            <w:tcW w:w="1276" w:type="dxa"/>
          </w:tcPr>
          <w:p w:rsidR="00E93DE7" w:rsidRPr="00E93DE7" w:rsidRDefault="00E93DE7" w:rsidP="00E93D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1276" w:type="dxa"/>
          </w:tcPr>
          <w:p w:rsidR="00E93DE7" w:rsidRPr="00E93DE7" w:rsidRDefault="00E93DE7" w:rsidP="00E93D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-8436,8</w:t>
            </w:r>
          </w:p>
        </w:tc>
        <w:tc>
          <w:tcPr>
            <w:tcW w:w="1276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</w:tcPr>
          <w:p w:rsidR="00E93DE7" w:rsidRPr="00E93DE7" w:rsidRDefault="00E93DE7" w:rsidP="00E93DE7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13737,9</w:t>
            </w:r>
          </w:p>
        </w:tc>
        <w:tc>
          <w:tcPr>
            <w:tcW w:w="1417" w:type="dxa"/>
          </w:tcPr>
          <w:p w:rsidR="00E93DE7" w:rsidRPr="00E93DE7" w:rsidRDefault="00E93DE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93DE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201</w:t>
      </w:r>
      <w:r w:rsidR="00E93DE7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района </w:t>
      </w:r>
      <w:r w:rsidR="00E93DE7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596B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26720,8 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33,0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также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12982,9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района за 1 полугодие 201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8436,8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 исполнен также с дефицитом  в сумме </w:t>
      </w:r>
      <w:r w:rsidR="00692A75"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22174,7</w:t>
      </w:r>
      <w:r w:rsidRPr="00692A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E87B04" w:rsidRPr="00692A75" w:rsidRDefault="00E87B04" w:rsidP="00E87B04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Основной причиной низкого  исполнения   доходной части бюджета является то, что из областного бюджета поступили </w:t>
      </w:r>
      <w:r w:rsidR="00692A75"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субсиди</w:t>
      </w:r>
      <w:r w:rsidR="005632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</w:t>
      </w:r>
      <w:r w:rsidR="00692A75"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только в размере </w:t>
      </w:r>
      <w:r w:rsidR="00692A75"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8581,5</w:t>
      </w:r>
      <w:r w:rsidR="005632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тыс. рублей (</w:t>
      </w:r>
      <w:r w:rsidR="00692A75"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11,3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%</w:t>
      </w:r>
      <w:r w:rsidR="0056323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вместо 50,0 </w:t>
      </w:r>
      <w:r w:rsidR="00692A75" w:rsidRPr="00692A7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%, основная часть поступления субсидий планируется  на второе полугодие т.г.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67E21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     </w:t>
      </w:r>
    </w:p>
    <w:p w:rsidR="00E87B04" w:rsidRPr="00667E21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87B04" w:rsidRPr="00632615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63261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района. </w:t>
      </w:r>
    </w:p>
    <w:p w:rsidR="00E87B04" w:rsidRPr="00667E21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Доходная часть  бюджета района в  201</w:t>
      </w:r>
      <w:r w:rsidR="00960A3D"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увеличилась на </w:t>
      </w:r>
      <w:r w:rsidR="002003B2"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3490,2</w:t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003B2"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44168B" w:rsidRPr="0044168B" w:rsidRDefault="0044168B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4168B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района по доходам за 1 полугодие  201</w:t>
      </w:r>
      <w:r w:rsidR="002003B2"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00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E87B04" w:rsidRPr="00667E2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67E2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667E21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</w:p>
    <w:p w:rsidR="00E87B04" w:rsidRPr="00DF64B7" w:rsidRDefault="00E87B04" w:rsidP="00E87B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64B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</w:t>
      </w:r>
      <w:r w:rsidRPr="00DF64B7">
        <w:rPr>
          <w:rFonts w:ascii="Times New Roman" w:eastAsiaTheme="minorEastAsia" w:hAnsi="Times New Roman" w:cs="Times New Roman"/>
          <w:lang w:eastAsia="ru-RU"/>
        </w:rPr>
        <w:t xml:space="preserve">Таблица 2                         </w:t>
      </w:r>
      <w:r w:rsidRPr="00DF64B7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567"/>
        <w:gridCol w:w="993"/>
        <w:gridCol w:w="850"/>
        <w:gridCol w:w="567"/>
        <w:gridCol w:w="992"/>
        <w:gridCol w:w="1134"/>
        <w:gridCol w:w="236"/>
      </w:tblGrid>
      <w:tr w:rsidR="00E87B04" w:rsidRPr="00DF64B7" w:rsidTr="00CE3D49">
        <w:trPr>
          <w:gridAfter w:val="1"/>
          <w:wAfter w:w="236" w:type="dxa"/>
        </w:trPr>
        <w:tc>
          <w:tcPr>
            <w:tcW w:w="2660" w:type="dxa"/>
          </w:tcPr>
          <w:p w:rsidR="00E87B04" w:rsidRPr="00DF64B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E87B04" w:rsidRPr="00DF64B7" w:rsidRDefault="00E87B04" w:rsidP="00DF64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DF64B7"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E87B04" w:rsidRPr="00DF64B7" w:rsidRDefault="00E87B04" w:rsidP="00DF64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DF64B7"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567" w:type="dxa"/>
          </w:tcPr>
          <w:p w:rsidR="00E87B04" w:rsidRPr="00DF64B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E87B04" w:rsidRPr="00DF64B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87B04" w:rsidRPr="00DF64B7" w:rsidRDefault="00E87B04" w:rsidP="00DF64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DF64B7"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E87B04" w:rsidRPr="00DF64B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E87B04" w:rsidRPr="00DF64B7" w:rsidRDefault="00E87B04" w:rsidP="00DF64B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полугодие 201</w:t>
            </w:r>
            <w:r w:rsidR="00DF64B7"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567" w:type="dxa"/>
          </w:tcPr>
          <w:p w:rsidR="00E87B04" w:rsidRPr="00DF64B7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E87B04" w:rsidRPr="00DF64B7" w:rsidRDefault="00E87B04" w:rsidP="00E87B04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F64B7"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 от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E87B04" w:rsidRPr="00DF64B7" w:rsidRDefault="00E87B04" w:rsidP="00DF64B7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F64B7"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</w:t>
            </w:r>
          </w:p>
          <w:p w:rsidR="00E87B04" w:rsidRPr="00DF64B7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E87B04" w:rsidRPr="00DF64B7" w:rsidRDefault="00E87B04" w:rsidP="00E87B04">
            <w:pPr>
              <w:spacing w:after="0" w:line="240" w:lineRule="auto"/>
              <w:ind w:left="-108" w:right="-109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DF64B7"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DF64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E87B04" w:rsidRPr="00DF64B7" w:rsidRDefault="00E87B04" w:rsidP="00E87B04">
            <w:pPr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F64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54356,0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26042,7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left="-107" w:right="-109" w:firstLine="107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47,9</w:t>
            </w:r>
          </w:p>
        </w:tc>
        <w:tc>
          <w:tcPr>
            <w:tcW w:w="993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61609,0</w:t>
            </w:r>
          </w:p>
        </w:tc>
        <w:tc>
          <w:tcPr>
            <w:tcW w:w="850" w:type="dxa"/>
          </w:tcPr>
          <w:p w:rsidR="00DF64B7" w:rsidRPr="00E87B04" w:rsidRDefault="0072299A" w:rsidP="0072299A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28516,1</w:t>
            </w:r>
          </w:p>
        </w:tc>
        <w:tc>
          <w:tcPr>
            <w:tcW w:w="567" w:type="dxa"/>
          </w:tcPr>
          <w:p w:rsidR="00DF64B7" w:rsidRPr="00E87B04" w:rsidRDefault="0072299A" w:rsidP="0072299A">
            <w:pPr>
              <w:spacing w:after="0" w:line="240" w:lineRule="auto"/>
              <w:ind w:left="-107" w:right="-109" w:hanging="1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46,3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left="-249" w:right="34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2473,4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109,5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45202,0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21078,6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46,6</w:t>
            </w:r>
          </w:p>
        </w:tc>
        <w:tc>
          <w:tcPr>
            <w:tcW w:w="993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51351,0</w:t>
            </w:r>
          </w:p>
        </w:tc>
        <w:tc>
          <w:tcPr>
            <w:tcW w:w="850" w:type="dxa"/>
          </w:tcPr>
          <w:p w:rsidR="00DF64B7" w:rsidRPr="00E87B04" w:rsidRDefault="0072299A" w:rsidP="0072299A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23437,9</w:t>
            </w:r>
          </w:p>
        </w:tc>
        <w:tc>
          <w:tcPr>
            <w:tcW w:w="567" w:type="dxa"/>
          </w:tcPr>
          <w:p w:rsidR="00DF64B7" w:rsidRPr="00E87B04" w:rsidRDefault="0072299A" w:rsidP="00E87B04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45,6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2359,3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111,2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акцизы по подакцизным товарам (продукции)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5014,0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2367,8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47,2</w:t>
            </w:r>
          </w:p>
        </w:tc>
        <w:tc>
          <w:tcPr>
            <w:tcW w:w="993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5570,0</w:t>
            </w:r>
          </w:p>
        </w:tc>
        <w:tc>
          <w:tcPr>
            <w:tcW w:w="850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2789,0</w:t>
            </w:r>
          </w:p>
        </w:tc>
        <w:tc>
          <w:tcPr>
            <w:tcW w:w="567" w:type="dxa"/>
          </w:tcPr>
          <w:p w:rsidR="00DF64B7" w:rsidRPr="00E87B04" w:rsidRDefault="0072299A" w:rsidP="00E87B04">
            <w:pPr>
              <w:spacing w:after="0" w:line="240" w:lineRule="auto"/>
              <w:ind w:left="-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50,1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421,2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117,8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налог на совокупный доход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3811,0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2348,9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61,6</w:t>
            </w:r>
          </w:p>
        </w:tc>
        <w:tc>
          <w:tcPr>
            <w:tcW w:w="993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4177,0</w:t>
            </w:r>
          </w:p>
        </w:tc>
        <w:tc>
          <w:tcPr>
            <w:tcW w:w="850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1922,2</w:t>
            </w:r>
          </w:p>
        </w:tc>
        <w:tc>
          <w:tcPr>
            <w:tcW w:w="567" w:type="dxa"/>
          </w:tcPr>
          <w:p w:rsidR="00DF64B7" w:rsidRPr="00E87B04" w:rsidRDefault="0072299A" w:rsidP="00E87B04">
            <w:pPr>
              <w:spacing w:after="0" w:line="240" w:lineRule="auto"/>
              <w:ind w:hanging="249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46,0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-426,7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81,8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329,0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247,4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75,2</w:t>
            </w:r>
          </w:p>
        </w:tc>
        <w:tc>
          <w:tcPr>
            <w:tcW w:w="993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0" w:type="dxa"/>
          </w:tcPr>
          <w:p w:rsidR="00DF64B7" w:rsidRPr="00E87B04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366,6</w:t>
            </w:r>
          </w:p>
        </w:tc>
        <w:tc>
          <w:tcPr>
            <w:tcW w:w="567" w:type="dxa"/>
          </w:tcPr>
          <w:p w:rsidR="00DF64B7" w:rsidRPr="00E87B04" w:rsidRDefault="0072299A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71,1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119,2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148,2</w:t>
            </w:r>
          </w:p>
        </w:tc>
      </w:tr>
      <w:tr w:rsidR="0072299A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72299A" w:rsidRPr="00E87B04" w:rsidRDefault="0072299A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задолженность и перерасчеты по отмененным налогам</w:t>
            </w:r>
          </w:p>
        </w:tc>
        <w:tc>
          <w:tcPr>
            <w:tcW w:w="992" w:type="dxa"/>
          </w:tcPr>
          <w:p w:rsidR="0072299A" w:rsidRPr="00E87B04" w:rsidRDefault="0072299A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2299A" w:rsidRPr="00E87B04" w:rsidRDefault="0072299A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72299A" w:rsidRPr="00E87B04" w:rsidRDefault="0072299A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72299A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72299A" w:rsidRDefault="0072299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567" w:type="dxa"/>
          </w:tcPr>
          <w:p w:rsidR="0072299A" w:rsidRDefault="0072299A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72299A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</w:t>
            </w:r>
          </w:p>
        </w:tc>
        <w:tc>
          <w:tcPr>
            <w:tcW w:w="1134" w:type="dxa"/>
          </w:tcPr>
          <w:p w:rsidR="0072299A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3645,0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2338,3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64,2</w:t>
            </w:r>
          </w:p>
        </w:tc>
        <w:tc>
          <w:tcPr>
            <w:tcW w:w="993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4512,0</w:t>
            </w:r>
          </w:p>
        </w:tc>
        <w:tc>
          <w:tcPr>
            <w:tcW w:w="850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2149,7</w:t>
            </w:r>
          </w:p>
        </w:tc>
        <w:tc>
          <w:tcPr>
            <w:tcW w:w="567" w:type="dxa"/>
          </w:tcPr>
          <w:p w:rsidR="00DF64B7" w:rsidRPr="00E87B04" w:rsidRDefault="007466E4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47,6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-188,6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91,9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 xml:space="preserve">- доходы,  от использования </w:t>
            </w: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имущества, находящегося в государственной и муниципальной собственности 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1878,0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1227,3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65,4</w:t>
            </w:r>
          </w:p>
        </w:tc>
        <w:tc>
          <w:tcPr>
            <w:tcW w:w="993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2362,0</w:t>
            </w:r>
          </w:p>
        </w:tc>
        <w:tc>
          <w:tcPr>
            <w:tcW w:w="850" w:type="dxa"/>
          </w:tcPr>
          <w:p w:rsidR="00DF64B7" w:rsidRPr="00E87B04" w:rsidRDefault="007466E4" w:rsidP="00E87B0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880,6</w:t>
            </w:r>
          </w:p>
        </w:tc>
        <w:tc>
          <w:tcPr>
            <w:tcW w:w="567" w:type="dxa"/>
          </w:tcPr>
          <w:p w:rsidR="00DF64B7" w:rsidRPr="00E87B04" w:rsidRDefault="007466E4" w:rsidP="00E87B04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37,3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-346,7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71,7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- платежи при пользовании природными ресурсами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371,0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241,5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65,1</w:t>
            </w:r>
          </w:p>
        </w:tc>
        <w:tc>
          <w:tcPr>
            <w:tcW w:w="993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432,0</w:t>
            </w:r>
          </w:p>
        </w:tc>
        <w:tc>
          <w:tcPr>
            <w:tcW w:w="850" w:type="dxa"/>
          </w:tcPr>
          <w:p w:rsidR="00DF64B7" w:rsidRPr="00E87B04" w:rsidRDefault="007466E4" w:rsidP="00E87B0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239,5</w:t>
            </w:r>
          </w:p>
        </w:tc>
        <w:tc>
          <w:tcPr>
            <w:tcW w:w="567" w:type="dxa"/>
          </w:tcPr>
          <w:p w:rsidR="00DF64B7" w:rsidRPr="00E87B04" w:rsidRDefault="007466E4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55,4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-2,0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99,2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-платежи от оказания платных услуг и компенсация затрат государства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49,0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71,1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left="-107"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145,1</w:t>
            </w:r>
          </w:p>
        </w:tc>
        <w:tc>
          <w:tcPr>
            <w:tcW w:w="993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172,0</w:t>
            </w:r>
          </w:p>
        </w:tc>
        <w:tc>
          <w:tcPr>
            <w:tcW w:w="850" w:type="dxa"/>
          </w:tcPr>
          <w:p w:rsidR="00DF64B7" w:rsidRPr="00E87B04" w:rsidRDefault="007466E4" w:rsidP="00E87B04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99,2</w:t>
            </w:r>
          </w:p>
        </w:tc>
        <w:tc>
          <w:tcPr>
            <w:tcW w:w="567" w:type="dxa"/>
          </w:tcPr>
          <w:p w:rsidR="00DF64B7" w:rsidRPr="00E87B04" w:rsidRDefault="007466E4" w:rsidP="00E87B04">
            <w:pPr>
              <w:spacing w:after="0" w:line="240" w:lineRule="auto"/>
              <w:ind w:left="-107"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57,7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28,1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139,5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941,0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546,9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58,1</w:t>
            </w:r>
          </w:p>
        </w:tc>
        <w:tc>
          <w:tcPr>
            <w:tcW w:w="993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1006,0</w:t>
            </w:r>
          </w:p>
        </w:tc>
        <w:tc>
          <w:tcPr>
            <w:tcW w:w="850" w:type="dxa"/>
          </w:tcPr>
          <w:p w:rsidR="00DF64B7" w:rsidRPr="00E87B04" w:rsidRDefault="007466E4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385,8</w:t>
            </w:r>
          </w:p>
        </w:tc>
        <w:tc>
          <w:tcPr>
            <w:tcW w:w="567" w:type="dxa"/>
          </w:tcPr>
          <w:p w:rsidR="00DF64B7" w:rsidRPr="00E87B04" w:rsidRDefault="007466E4" w:rsidP="00E87B04">
            <w:pPr>
              <w:spacing w:after="0" w:line="240" w:lineRule="auto"/>
              <w:ind w:right="-109" w:hanging="107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38,3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-161,1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70,5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штрафы, санкции, возмещение ущерба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406,0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251,5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61,9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540,0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544,6</w:t>
            </w:r>
          </w:p>
        </w:tc>
        <w:tc>
          <w:tcPr>
            <w:tcW w:w="567" w:type="dxa"/>
          </w:tcPr>
          <w:p w:rsidR="00DF64B7" w:rsidRPr="00E87B04" w:rsidRDefault="00573499" w:rsidP="00573499">
            <w:pPr>
              <w:spacing w:after="0" w:line="240" w:lineRule="auto"/>
              <w:ind w:right="-108"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100,8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293,1</w:t>
            </w:r>
          </w:p>
        </w:tc>
        <w:tc>
          <w:tcPr>
            <w:tcW w:w="1134" w:type="dxa"/>
          </w:tcPr>
          <w:p w:rsidR="00DF64B7" w:rsidRPr="00E87B04" w:rsidRDefault="002B0AD8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216,5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58001,0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28381,0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48,9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66121,0</w:t>
            </w:r>
          </w:p>
        </w:tc>
        <w:tc>
          <w:tcPr>
            <w:tcW w:w="850" w:type="dxa"/>
          </w:tcPr>
          <w:p w:rsidR="00DF64B7" w:rsidRPr="00E87B04" w:rsidRDefault="00573499" w:rsidP="0057349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30665,8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46,3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2284,8</w:t>
            </w:r>
          </w:p>
        </w:tc>
        <w:tc>
          <w:tcPr>
            <w:tcW w:w="1134" w:type="dxa"/>
          </w:tcPr>
          <w:p w:rsidR="00DF64B7" w:rsidRPr="00E87B04" w:rsidRDefault="006A4EC5" w:rsidP="00E87B0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108,1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138329,0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52676,1 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38,1</w:t>
            </w:r>
          </w:p>
        </w:tc>
        <w:tc>
          <w:tcPr>
            <w:tcW w:w="993" w:type="dxa"/>
          </w:tcPr>
          <w:p w:rsidR="00DF64B7" w:rsidRPr="00E87B04" w:rsidRDefault="00573499" w:rsidP="00573499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198136,6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77112,1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38,9</w:t>
            </w:r>
          </w:p>
        </w:tc>
        <w:tc>
          <w:tcPr>
            <w:tcW w:w="992" w:type="dxa"/>
          </w:tcPr>
          <w:p w:rsidR="00DF64B7" w:rsidRPr="00E87B04" w:rsidRDefault="002B0AD8" w:rsidP="00E87B04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24436,0</w:t>
            </w:r>
          </w:p>
        </w:tc>
        <w:tc>
          <w:tcPr>
            <w:tcW w:w="1134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146,4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56079,9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13071,6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23,3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52304,3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ind w:hanging="108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24583,0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47,0</w:t>
            </w:r>
          </w:p>
        </w:tc>
        <w:tc>
          <w:tcPr>
            <w:tcW w:w="992" w:type="dxa"/>
          </w:tcPr>
          <w:p w:rsidR="00DF64B7" w:rsidRPr="00E87B04" w:rsidRDefault="0075337A" w:rsidP="00E87B04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11511,4</w:t>
            </w:r>
          </w:p>
        </w:tc>
        <w:tc>
          <w:tcPr>
            <w:tcW w:w="1134" w:type="dxa"/>
          </w:tcPr>
          <w:p w:rsidR="00DF64B7" w:rsidRPr="00E87B04" w:rsidRDefault="0075337A" w:rsidP="0075337A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188,1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20069,9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2642,6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13,2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75914,1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8581,5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right="-109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11,3</w:t>
            </w:r>
          </w:p>
        </w:tc>
        <w:tc>
          <w:tcPr>
            <w:tcW w:w="992" w:type="dxa"/>
          </w:tcPr>
          <w:p w:rsidR="00DF64B7" w:rsidRPr="00E87B04" w:rsidRDefault="0075337A" w:rsidP="0075337A">
            <w:pPr>
              <w:spacing w:after="0" w:line="240" w:lineRule="auto"/>
              <w:ind w:left="-107" w:right="-250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5938,9</w:t>
            </w:r>
          </w:p>
        </w:tc>
        <w:tc>
          <w:tcPr>
            <w:tcW w:w="1134" w:type="dxa"/>
          </w:tcPr>
          <w:p w:rsidR="00DF64B7" w:rsidRPr="00E87B04" w:rsidRDefault="0075337A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324,7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61828,2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36862,5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59,6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68477,2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43421,0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63,4</w:t>
            </w:r>
          </w:p>
        </w:tc>
        <w:tc>
          <w:tcPr>
            <w:tcW w:w="992" w:type="dxa"/>
          </w:tcPr>
          <w:p w:rsidR="00DF64B7" w:rsidRPr="00E87B04" w:rsidRDefault="0075337A" w:rsidP="00E87B04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6558,5</w:t>
            </w:r>
          </w:p>
        </w:tc>
        <w:tc>
          <w:tcPr>
            <w:tcW w:w="1134" w:type="dxa"/>
          </w:tcPr>
          <w:p w:rsidR="00DF64B7" w:rsidRPr="00E87B04" w:rsidRDefault="0075337A" w:rsidP="00E87B0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117,8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351,0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105,9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30,2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1057,9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483,1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45,7</w:t>
            </w:r>
          </w:p>
        </w:tc>
        <w:tc>
          <w:tcPr>
            <w:tcW w:w="992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377,2</w:t>
            </w:r>
          </w:p>
        </w:tc>
        <w:tc>
          <w:tcPr>
            <w:tcW w:w="1134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456,2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383,1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F64B7" w:rsidRPr="00E87B04" w:rsidTr="00CE3D49">
        <w:trPr>
          <w:gridAfter w:val="1"/>
          <w:wAfter w:w="236" w:type="dxa"/>
        </w:trPr>
        <w:tc>
          <w:tcPr>
            <w:tcW w:w="2660" w:type="dxa"/>
          </w:tcPr>
          <w:p w:rsidR="00DF64B7" w:rsidRPr="00E87B04" w:rsidRDefault="00573499" w:rsidP="0057349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 доходы от в</w:t>
            </w:r>
            <w:r w:rsidR="00DF64B7" w:rsidRPr="00E87B04">
              <w:rPr>
                <w:rFonts w:ascii="Times New Roman" w:eastAsiaTheme="minorEastAsia" w:hAnsi="Times New Roman" w:cs="Times New Roman"/>
                <w:lang w:eastAsia="ru-RU"/>
              </w:rPr>
              <w:t>озврат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а</w:t>
            </w:r>
            <w:r w:rsidR="00DF64B7" w:rsidRPr="00E87B04">
              <w:rPr>
                <w:rFonts w:ascii="Times New Roman" w:eastAsiaTheme="minorEastAsia" w:hAnsi="Times New Roman" w:cs="Times New Roman"/>
                <w:lang w:eastAsia="ru-RU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-6,5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43,5</w:t>
            </w:r>
          </w:p>
        </w:tc>
        <w:tc>
          <w:tcPr>
            <w:tcW w:w="567" w:type="dxa"/>
          </w:tcPr>
          <w:p w:rsidR="00DF64B7" w:rsidRPr="00E87B04" w:rsidRDefault="00573499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F64B7" w:rsidRPr="00E87B04" w:rsidRDefault="0075337A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  <w:tc>
          <w:tcPr>
            <w:tcW w:w="1134" w:type="dxa"/>
          </w:tcPr>
          <w:p w:rsidR="00DF64B7" w:rsidRPr="00E87B04" w:rsidRDefault="0075337A" w:rsidP="0075337A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DF64B7" w:rsidRPr="00E87B04" w:rsidTr="00CE3D49">
        <w:trPr>
          <w:trHeight w:val="309"/>
        </w:trPr>
        <w:tc>
          <w:tcPr>
            <w:tcW w:w="2660" w:type="dxa"/>
          </w:tcPr>
          <w:p w:rsidR="00DF64B7" w:rsidRPr="00E87B04" w:rsidRDefault="00DF64B7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196330,0</w:t>
            </w:r>
          </w:p>
        </w:tc>
        <w:tc>
          <w:tcPr>
            <w:tcW w:w="992" w:type="dxa"/>
          </w:tcPr>
          <w:p w:rsidR="00DF64B7" w:rsidRPr="00E87B04" w:rsidRDefault="00DF64B7" w:rsidP="00AF0CC6">
            <w:pPr>
              <w:spacing w:after="0" w:line="240" w:lineRule="auto"/>
              <w:ind w:left="-108"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81057,1</w:t>
            </w:r>
          </w:p>
        </w:tc>
        <w:tc>
          <w:tcPr>
            <w:tcW w:w="567" w:type="dxa"/>
          </w:tcPr>
          <w:p w:rsidR="00DF64B7" w:rsidRPr="00E87B04" w:rsidRDefault="00DF64B7" w:rsidP="00AF0CC6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87B04">
              <w:rPr>
                <w:rFonts w:ascii="Times New Roman" w:eastAsiaTheme="minorEastAsia" w:hAnsi="Times New Roman" w:cs="Times New Roman"/>
                <w:b/>
                <w:lang w:eastAsia="ru-RU"/>
              </w:rPr>
              <w:t>41,3</w:t>
            </w:r>
          </w:p>
        </w:tc>
        <w:tc>
          <w:tcPr>
            <w:tcW w:w="993" w:type="dxa"/>
          </w:tcPr>
          <w:p w:rsidR="00DF64B7" w:rsidRPr="00E87B04" w:rsidRDefault="00573499" w:rsidP="00E87B04">
            <w:pPr>
              <w:tabs>
                <w:tab w:val="left" w:pos="525"/>
              </w:tabs>
              <w:spacing w:after="0" w:line="240" w:lineRule="auto"/>
              <w:ind w:lef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264257,6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F64B7" w:rsidRPr="00E87B04" w:rsidRDefault="00573499" w:rsidP="00E87B04">
            <w:pPr>
              <w:spacing w:after="0" w:line="240" w:lineRule="auto"/>
              <w:ind w:left="-108"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107777,9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DF64B7" w:rsidRPr="00E87B04" w:rsidRDefault="00573499" w:rsidP="00E87B04">
            <w:pPr>
              <w:spacing w:after="0" w:line="240" w:lineRule="auto"/>
              <w:ind w:hanging="107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40,8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DF64B7" w:rsidRPr="00E87B04" w:rsidRDefault="0075337A" w:rsidP="00E87B04">
            <w:pPr>
              <w:spacing w:after="0" w:line="240" w:lineRule="auto"/>
              <w:ind w:left="-107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26720,8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DF64B7" w:rsidRPr="00E87B04" w:rsidRDefault="0075337A" w:rsidP="00E87B0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133,0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F64B7" w:rsidRPr="00E87B04" w:rsidRDefault="00DF64B7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E87B04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4168B" w:rsidRPr="00702819" w:rsidRDefault="0044168B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87B04" w:rsidRPr="00702819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028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района. </w:t>
      </w:r>
    </w:p>
    <w:p w:rsidR="00E87B04" w:rsidRPr="00702819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E87B04" w:rsidRPr="0070281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30665,8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66121,0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у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6A4EC5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2284,8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02819"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7028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</w:t>
      </w:r>
    </w:p>
    <w:p w:rsidR="00E87B04" w:rsidRPr="00702819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19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района  в сравнении с 1 полугодием 201</w:t>
      </w:r>
      <w:r w:rsidR="00702819" w:rsidRPr="00702819">
        <w:rPr>
          <w:rFonts w:ascii="Times New Roman" w:hAnsi="Times New Roman" w:cs="Times New Roman"/>
          <w:sz w:val="28"/>
          <w:szCs w:val="28"/>
        </w:rPr>
        <w:t>8</w:t>
      </w:r>
      <w:r w:rsidRPr="00702819">
        <w:rPr>
          <w:rFonts w:ascii="Times New Roman" w:hAnsi="Times New Roman" w:cs="Times New Roman"/>
          <w:sz w:val="28"/>
          <w:szCs w:val="28"/>
        </w:rPr>
        <w:t xml:space="preserve"> года о</w:t>
      </w:r>
      <w:r w:rsidR="0044168B">
        <w:rPr>
          <w:rFonts w:ascii="Times New Roman" w:hAnsi="Times New Roman" w:cs="Times New Roman"/>
          <w:sz w:val="28"/>
          <w:szCs w:val="28"/>
        </w:rPr>
        <w:t>тражена на следующей диаграмме:</w:t>
      </w:r>
    </w:p>
    <w:p w:rsidR="00E87B04" w:rsidRPr="00702819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28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BD7B1B" w:rsidRDefault="00BD7B1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B04" w:rsidRPr="00E87B04" w:rsidRDefault="00BD7B1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3E1A2C" wp14:editId="3F1D1F32">
            <wp:extent cx="6096000" cy="49625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168B" w:rsidRPr="00BD7B1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B04" w:rsidRPr="00BD7B1B" w:rsidRDefault="00E87B04" w:rsidP="00E87B0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B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B1B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E87B04" w:rsidRPr="0070281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E87B0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ADB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587A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ADB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587ADB" w:rsidRPr="00587ADB">
        <w:rPr>
          <w:rFonts w:ascii="Times New Roman" w:hAnsi="Times New Roman" w:cs="Times New Roman"/>
          <w:sz w:val="28"/>
          <w:szCs w:val="28"/>
        </w:rPr>
        <w:t>28516,1</w:t>
      </w:r>
      <w:r w:rsidRPr="00587AD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87ADB" w:rsidRPr="00587ADB">
        <w:rPr>
          <w:rFonts w:ascii="Times New Roman" w:hAnsi="Times New Roman" w:cs="Times New Roman"/>
          <w:sz w:val="28"/>
          <w:szCs w:val="28"/>
        </w:rPr>
        <w:t>46,3</w:t>
      </w:r>
      <w:r w:rsidRPr="00587ADB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587ADB" w:rsidRPr="00587ADB">
        <w:rPr>
          <w:rFonts w:ascii="Times New Roman" w:hAnsi="Times New Roman" w:cs="Times New Roman"/>
          <w:sz w:val="28"/>
          <w:szCs w:val="28"/>
        </w:rPr>
        <w:t>61609,0</w:t>
      </w:r>
      <w:r w:rsidRPr="00587ADB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района составила </w:t>
      </w:r>
      <w:r w:rsidR="00587ADB" w:rsidRPr="00587ADB">
        <w:rPr>
          <w:rFonts w:ascii="Times New Roman" w:hAnsi="Times New Roman" w:cs="Times New Roman"/>
          <w:sz w:val="28"/>
          <w:szCs w:val="28"/>
        </w:rPr>
        <w:t>26,5</w:t>
      </w:r>
      <w:r w:rsidRPr="00587ADB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44168B" w:rsidRPr="00587ADB" w:rsidRDefault="0044168B" w:rsidP="00E87B04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B04" w:rsidRDefault="00E87B04" w:rsidP="008824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702819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882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полугодии 201</w:t>
      </w:r>
      <w:r w:rsidR="008824CA" w:rsidRPr="00882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82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8824CA" w:rsidRPr="00702819" w:rsidRDefault="008824CA" w:rsidP="008824C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8824CA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8824CA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8824CA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971"/>
        <w:gridCol w:w="1971"/>
      </w:tblGrid>
      <w:tr w:rsidR="008824CA" w:rsidRPr="008824CA" w:rsidTr="00CE3D49">
        <w:tc>
          <w:tcPr>
            <w:tcW w:w="1862" w:type="dxa"/>
          </w:tcPr>
          <w:p w:rsidR="00E87B04" w:rsidRPr="008824CA" w:rsidRDefault="00E87B04" w:rsidP="00E87B0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Фактическо</w:t>
            </w:r>
            <w:r w:rsidR="009A175C">
              <w:rPr>
                <w:rFonts w:eastAsiaTheme="minorEastAsia"/>
                <w:sz w:val="28"/>
                <w:szCs w:val="28"/>
              </w:rPr>
              <w:t>е исполнение за 1 полугодие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8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E87B04" w:rsidRPr="008824CA" w:rsidRDefault="00E87B04" w:rsidP="008824C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8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E87B04" w:rsidRPr="008824CA" w:rsidRDefault="00E87B04" w:rsidP="008824C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Фактическое исполнение за 1 полугодие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9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1" w:type="dxa"/>
          </w:tcPr>
          <w:p w:rsidR="00E87B04" w:rsidRPr="008824CA" w:rsidRDefault="00E87B04" w:rsidP="008824C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9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E87B04" w:rsidRPr="008824CA" w:rsidRDefault="00E87B04" w:rsidP="008824CA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Отклонение 1 полугодия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9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года от 1 полугодия 201</w:t>
            </w:r>
            <w:r w:rsidR="008824CA" w:rsidRPr="008824CA">
              <w:rPr>
                <w:rFonts w:eastAsiaTheme="minorEastAsia"/>
                <w:sz w:val="28"/>
                <w:szCs w:val="28"/>
              </w:rPr>
              <w:t>8</w:t>
            </w:r>
            <w:r w:rsidRPr="008824CA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8824CA" w:rsidRPr="008824CA" w:rsidTr="00CE3D49">
        <w:tc>
          <w:tcPr>
            <w:tcW w:w="1862" w:type="dxa"/>
          </w:tcPr>
          <w:p w:rsidR="008824CA" w:rsidRPr="008824CA" w:rsidRDefault="008824CA" w:rsidP="00AF0CC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21078,6</w:t>
            </w:r>
          </w:p>
        </w:tc>
        <w:tc>
          <w:tcPr>
            <w:tcW w:w="1970" w:type="dxa"/>
          </w:tcPr>
          <w:p w:rsidR="008824CA" w:rsidRPr="008824CA" w:rsidRDefault="008824CA" w:rsidP="00AF0CC6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46,6</w:t>
            </w:r>
          </w:p>
        </w:tc>
        <w:tc>
          <w:tcPr>
            <w:tcW w:w="1971" w:type="dxa"/>
          </w:tcPr>
          <w:p w:rsidR="008824CA" w:rsidRPr="008824CA" w:rsidRDefault="008824CA" w:rsidP="00E87B0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23437,9</w:t>
            </w:r>
          </w:p>
        </w:tc>
        <w:tc>
          <w:tcPr>
            <w:tcW w:w="1971" w:type="dxa"/>
          </w:tcPr>
          <w:p w:rsidR="008824CA" w:rsidRPr="008824CA" w:rsidRDefault="008824CA" w:rsidP="00E87B0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45,6</w:t>
            </w:r>
          </w:p>
        </w:tc>
        <w:tc>
          <w:tcPr>
            <w:tcW w:w="1971" w:type="dxa"/>
          </w:tcPr>
          <w:p w:rsidR="008824CA" w:rsidRPr="008824CA" w:rsidRDefault="008824CA" w:rsidP="00E87B04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8824CA">
              <w:rPr>
                <w:rFonts w:eastAsiaTheme="minorEastAsia"/>
                <w:sz w:val="28"/>
                <w:szCs w:val="28"/>
              </w:rPr>
              <w:t>2359,3</w:t>
            </w:r>
          </w:p>
        </w:tc>
      </w:tr>
    </w:tbl>
    <w:p w:rsidR="00E87B04" w:rsidRPr="008824CA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24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02819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</w:t>
      </w:r>
      <w:r w:rsidRPr="009A175C">
        <w:rPr>
          <w:rFonts w:ascii="Times New Roman" w:hAnsi="Times New Roman" w:cs="Times New Roman"/>
          <w:sz w:val="28"/>
          <w:szCs w:val="28"/>
        </w:rPr>
        <w:t xml:space="preserve">Т. о., первое место по объему налоговых доходов занимает налог на доходы  физических лиц (далее - НДФЛ). Объем поступлений указанного налога составил </w:t>
      </w:r>
      <w:r w:rsidR="009A175C" w:rsidRPr="009A175C">
        <w:rPr>
          <w:rFonts w:ascii="Times New Roman" w:hAnsi="Times New Roman" w:cs="Times New Roman"/>
          <w:sz w:val="28"/>
          <w:szCs w:val="28"/>
        </w:rPr>
        <w:t>23437,9</w:t>
      </w:r>
      <w:r w:rsidRPr="009A175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A175C" w:rsidRPr="009A175C">
        <w:rPr>
          <w:rFonts w:ascii="Times New Roman" w:hAnsi="Times New Roman" w:cs="Times New Roman"/>
          <w:sz w:val="28"/>
          <w:szCs w:val="28"/>
        </w:rPr>
        <w:t>45,6</w:t>
      </w:r>
      <w:r w:rsidRPr="009A175C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9A175C" w:rsidRPr="009A175C">
        <w:rPr>
          <w:rFonts w:ascii="Times New Roman" w:hAnsi="Times New Roman" w:cs="Times New Roman"/>
          <w:sz w:val="28"/>
          <w:szCs w:val="28"/>
        </w:rPr>
        <w:t>51351,0</w:t>
      </w:r>
      <w:r w:rsidRPr="009A175C">
        <w:rPr>
          <w:rFonts w:ascii="Times New Roman" w:hAnsi="Times New Roman" w:cs="Times New Roman"/>
          <w:sz w:val="28"/>
          <w:szCs w:val="28"/>
        </w:rPr>
        <w:t xml:space="preserve">  тыс. рублей, что </w:t>
      </w:r>
      <w:r w:rsidR="009A175C" w:rsidRPr="009A175C">
        <w:rPr>
          <w:rFonts w:ascii="Times New Roman" w:hAnsi="Times New Roman" w:cs="Times New Roman"/>
          <w:sz w:val="28"/>
          <w:szCs w:val="28"/>
        </w:rPr>
        <w:t>выше</w:t>
      </w:r>
      <w:r w:rsidRPr="009A175C">
        <w:rPr>
          <w:rFonts w:ascii="Times New Roman" w:hAnsi="Times New Roman" w:cs="Times New Roman"/>
          <w:sz w:val="28"/>
          <w:szCs w:val="28"/>
        </w:rPr>
        <w:t xml:space="preserve"> уровня 1  полугодия  201</w:t>
      </w:r>
      <w:r w:rsidR="009A175C" w:rsidRPr="009A175C">
        <w:rPr>
          <w:rFonts w:ascii="Times New Roman" w:hAnsi="Times New Roman" w:cs="Times New Roman"/>
          <w:sz w:val="28"/>
          <w:szCs w:val="28"/>
        </w:rPr>
        <w:t>8</w:t>
      </w:r>
      <w:r w:rsidRPr="009A175C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9A175C" w:rsidRPr="009A175C">
        <w:rPr>
          <w:rFonts w:ascii="Times New Roman" w:hAnsi="Times New Roman" w:cs="Times New Roman"/>
          <w:sz w:val="28"/>
          <w:szCs w:val="28"/>
        </w:rPr>
        <w:t xml:space="preserve">2359,3 </w:t>
      </w:r>
      <w:r w:rsidRPr="009A175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A175C" w:rsidRPr="009A175C">
        <w:rPr>
          <w:rFonts w:ascii="Times New Roman" w:hAnsi="Times New Roman" w:cs="Times New Roman"/>
          <w:sz w:val="28"/>
          <w:szCs w:val="28"/>
        </w:rPr>
        <w:t>11,2</w:t>
      </w:r>
      <w:r w:rsidRPr="009A175C">
        <w:rPr>
          <w:rFonts w:ascii="Times New Roman" w:hAnsi="Times New Roman" w:cs="Times New Roman"/>
          <w:sz w:val="28"/>
          <w:szCs w:val="28"/>
        </w:rPr>
        <w:t>%. Доля  НДФЛ в налоговых доходах бюджета у</w:t>
      </w:r>
      <w:r w:rsidR="009A175C" w:rsidRPr="009A175C">
        <w:rPr>
          <w:rFonts w:ascii="Times New Roman" w:hAnsi="Times New Roman" w:cs="Times New Roman"/>
          <w:sz w:val="28"/>
          <w:szCs w:val="28"/>
        </w:rPr>
        <w:t>величилась</w:t>
      </w:r>
      <w:r w:rsidRPr="009A175C">
        <w:rPr>
          <w:rFonts w:ascii="Times New Roman" w:hAnsi="Times New Roman" w:cs="Times New Roman"/>
          <w:sz w:val="28"/>
          <w:szCs w:val="28"/>
        </w:rPr>
        <w:t xml:space="preserve">   с </w:t>
      </w:r>
      <w:r w:rsidR="009A175C" w:rsidRPr="009A175C">
        <w:rPr>
          <w:rFonts w:ascii="Times New Roman" w:hAnsi="Times New Roman" w:cs="Times New Roman"/>
          <w:sz w:val="28"/>
          <w:szCs w:val="28"/>
        </w:rPr>
        <w:t>80,9</w:t>
      </w:r>
      <w:r w:rsidRPr="009A175C">
        <w:rPr>
          <w:rFonts w:ascii="Times New Roman" w:hAnsi="Times New Roman" w:cs="Times New Roman"/>
          <w:sz w:val="28"/>
          <w:szCs w:val="28"/>
        </w:rPr>
        <w:t xml:space="preserve"> % до  </w:t>
      </w:r>
      <w:r w:rsidR="009A175C" w:rsidRPr="009A175C">
        <w:rPr>
          <w:rFonts w:ascii="Times New Roman" w:hAnsi="Times New Roman" w:cs="Times New Roman"/>
          <w:sz w:val="28"/>
          <w:szCs w:val="28"/>
        </w:rPr>
        <w:t>82,2</w:t>
      </w:r>
      <w:r w:rsidRPr="009A175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B71BA6">
        <w:rPr>
          <w:rFonts w:ascii="Times New Roman" w:hAnsi="Times New Roman" w:cs="Times New Roman"/>
          <w:sz w:val="28"/>
          <w:szCs w:val="28"/>
        </w:rPr>
        <w:t xml:space="preserve"> Причина по неисполнению НДФЛ связана с тем, что в первом полугодии т.г.  проходили возвраты физическим лицам по декларациям, также дополнительные поступления ожидаются в декабре 2019 года.</w:t>
      </w:r>
    </w:p>
    <w:p w:rsidR="00E87B04" w:rsidRPr="00331E1C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E1C">
        <w:rPr>
          <w:rFonts w:ascii="Times New Roman" w:hAnsi="Times New Roman" w:cs="Times New Roman"/>
          <w:sz w:val="28"/>
          <w:szCs w:val="28"/>
        </w:rPr>
        <w:t xml:space="preserve">       Второе  место по величине  поступлений в бюджет  района занимают акцизы. Поступления акцизов в  бюджет  района составили </w:t>
      </w:r>
      <w:r w:rsidR="00331E1C" w:rsidRPr="00331E1C">
        <w:rPr>
          <w:rFonts w:ascii="Times New Roman" w:hAnsi="Times New Roman" w:cs="Times New Roman"/>
          <w:sz w:val="28"/>
          <w:szCs w:val="28"/>
        </w:rPr>
        <w:t>2789,0</w:t>
      </w:r>
      <w:r w:rsidRPr="00331E1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1E1C" w:rsidRPr="00331E1C">
        <w:rPr>
          <w:rFonts w:ascii="Times New Roman" w:hAnsi="Times New Roman" w:cs="Times New Roman"/>
          <w:sz w:val="28"/>
          <w:szCs w:val="28"/>
        </w:rPr>
        <w:t>50,1</w:t>
      </w:r>
      <w:r w:rsidRPr="00331E1C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331E1C" w:rsidRPr="00331E1C">
        <w:rPr>
          <w:rFonts w:ascii="Times New Roman" w:hAnsi="Times New Roman" w:cs="Times New Roman"/>
          <w:sz w:val="28"/>
          <w:szCs w:val="28"/>
        </w:rPr>
        <w:t>5570,0</w:t>
      </w:r>
      <w:r w:rsidRPr="00331E1C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  201</w:t>
      </w:r>
      <w:r w:rsidR="00331E1C" w:rsidRPr="00331E1C">
        <w:rPr>
          <w:rFonts w:ascii="Times New Roman" w:hAnsi="Times New Roman" w:cs="Times New Roman"/>
          <w:sz w:val="28"/>
          <w:szCs w:val="28"/>
        </w:rPr>
        <w:t>8</w:t>
      </w:r>
      <w:r w:rsidRPr="00331E1C">
        <w:rPr>
          <w:rFonts w:ascii="Times New Roman" w:hAnsi="Times New Roman" w:cs="Times New Roman"/>
          <w:sz w:val="28"/>
          <w:szCs w:val="28"/>
        </w:rPr>
        <w:t xml:space="preserve"> года поступление  налога  </w:t>
      </w:r>
      <w:r w:rsidR="00331E1C" w:rsidRPr="00331E1C">
        <w:rPr>
          <w:rFonts w:ascii="Times New Roman" w:hAnsi="Times New Roman" w:cs="Times New Roman"/>
          <w:sz w:val="28"/>
          <w:szCs w:val="28"/>
        </w:rPr>
        <w:t xml:space="preserve">увеличилось </w:t>
      </w:r>
      <w:r w:rsidRPr="00331E1C">
        <w:rPr>
          <w:rFonts w:ascii="Times New Roman" w:hAnsi="Times New Roman" w:cs="Times New Roman"/>
          <w:sz w:val="28"/>
          <w:szCs w:val="28"/>
        </w:rPr>
        <w:t xml:space="preserve">на </w:t>
      </w:r>
      <w:r w:rsidR="00331E1C" w:rsidRPr="00331E1C">
        <w:rPr>
          <w:rFonts w:ascii="Times New Roman" w:hAnsi="Times New Roman" w:cs="Times New Roman"/>
          <w:sz w:val="28"/>
          <w:szCs w:val="28"/>
        </w:rPr>
        <w:t>421,2</w:t>
      </w:r>
      <w:r w:rsidRPr="00331E1C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331E1C" w:rsidRPr="00331E1C">
        <w:rPr>
          <w:rFonts w:ascii="Times New Roman" w:hAnsi="Times New Roman" w:cs="Times New Roman"/>
          <w:sz w:val="28"/>
          <w:szCs w:val="28"/>
        </w:rPr>
        <w:t>17,8</w:t>
      </w:r>
      <w:r w:rsidRPr="00331E1C">
        <w:rPr>
          <w:rFonts w:ascii="Times New Roman" w:hAnsi="Times New Roman" w:cs="Times New Roman"/>
          <w:sz w:val="28"/>
          <w:szCs w:val="28"/>
        </w:rPr>
        <w:t xml:space="preserve">%. Доля акцизов в налоговых доходах бюджета района  увеличилась с </w:t>
      </w:r>
      <w:r w:rsidR="00331E1C" w:rsidRPr="00331E1C">
        <w:rPr>
          <w:rFonts w:ascii="Times New Roman" w:hAnsi="Times New Roman" w:cs="Times New Roman"/>
          <w:sz w:val="28"/>
          <w:szCs w:val="28"/>
        </w:rPr>
        <w:t>9,1</w:t>
      </w:r>
      <w:r w:rsidRPr="00331E1C">
        <w:rPr>
          <w:rFonts w:ascii="Times New Roman" w:hAnsi="Times New Roman" w:cs="Times New Roman"/>
          <w:sz w:val="28"/>
          <w:szCs w:val="28"/>
        </w:rPr>
        <w:t xml:space="preserve"> % до 9,</w:t>
      </w:r>
      <w:r w:rsidR="00331E1C" w:rsidRPr="00331E1C">
        <w:rPr>
          <w:rFonts w:ascii="Times New Roman" w:hAnsi="Times New Roman" w:cs="Times New Roman"/>
          <w:sz w:val="28"/>
          <w:szCs w:val="28"/>
        </w:rPr>
        <w:t>8</w:t>
      </w:r>
      <w:r w:rsidRPr="00331E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71BA6" w:rsidRPr="00E87B04" w:rsidRDefault="00E87B04" w:rsidP="00B71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A175C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7E66B4">
        <w:rPr>
          <w:rFonts w:ascii="Times New Roman" w:hAnsi="Times New Roman" w:cs="Times New Roman"/>
          <w:sz w:val="28"/>
          <w:szCs w:val="28"/>
        </w:rPr>
        <w:t xml:space="preserve">Третий  по величине налоговый доходный источник - налог на совокупный доход. Поступление указанного налога составило  </w:t>
      </w:r>
      <w:r w:rsidR="007E66B4" w:rsidRPr="007E66B4">
        <w:rPr>
          <w:rFonts w:ascii="Times New Roman" w:hAnsi="Times New Roman" w:cs="Times New Roman"/>
          <w:sz w:val="28"/>
          <w:szCs w:val="28"/>
        </w:rPr>
        <w:t>1922,2</w:t>
      </w:r>
      <w:r w:rsidRPr="007E66B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E66B4" w:rsidRPr="007E66B4">
        <w:rPr>
          <w:rFonts w:ascii="Times New Roman" w:hAnsi="Times New Roman" w:cs="Times New Roman"/>
          <w:sz w:val="28"/>
          <w:szCs w:val="28"/>
        </w:rPr>
        <w:t xml:space="preserve">46,0 </w:t>
      </w:r>
      <w:r w:rsidRPr="007E66B4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 </w:t>
      </w:r>
      <w:r w:rsidR="007E66B4" w:rsidRPr="007E66B4">
        <w:rPr>
          <w:rFonts w:ascii="Times New Roman" w:hAnsi="Times New Roman" w:cs="Times New Roman"/>
          <w:sz w:val="28"/>
          <w:szCs w:val="28"/>
        </w:rPr>
        <w:t>4177,0</w:t>
      </w:r>
      <w:r w:rsidRPr="007E66B4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201</w:t>
      </w:r>
      <w:r w:rsidR="007E66B4" w:rsidRPr="007E66B4">
        <w:rPr>
          <w:rFonts w:ascii="Times New Roman" w:hAnsi="Times New Roman" w:cs="Times New Roman"/>
          <w:sz w:val="28"/>
          <w:szCs w:val="28"/>
        </w:rPr>
        <w:t>8</w:t>
      </w:r>
      <w:r w:rsidRPr="007E66B4">
        <w:rPr>
          <w:rFonts w:ascii="Times New Roman" w:hAnsi="Times New Roman" w:cs="Times New Roman"/>
          <w:sz w:val="28"/>
          <w:szCs w:val="28"/>
        </w:rPr>
        <w:t xml:space="preserve"> года  произошло </w:t>
      </w:r>
      <w:r w:rsidR="007E66B4" w:rsidRPr="007E66B4">
        <w:rPr>
          <w:rFonts w:ascii="Times New Roman" w:hAnsi="Times New Roman" w:cs="Times New Roman"/>
          <w:sz w:val="28"/>
          <w:szCs w:val="28"/>
        </w:rPr>
        <w:t>снижение</w:t>
      </w:r>
      <w:r w:rsidRPr="007E66B4">
        <w:rPr>
          <w:rFonts w:ascii="Times New Roman" w:hAnsi="Times New Roman" w:cs="Times New Roman"/>
          <w:sz w:val="28"/>
          <w:szCs w:val="28"/>
        </w:rPr>
        <w:t xml:space="preserve"> поступления  налога на совокупный доход  на </w:t>
      </w:r>
      <w:r w:rsidR="007E66B4" w:rsidRPr="007E66B4">
        <w:rPr>
          <w:rFonts w:ascii="Times New Roman" w:hAnsi="Times New Roman" w:cs="Times New Roman"/>
          <w:sz w:val="28"/>
          <w:szCs w:val="28"/>
        </w:rPr>
        <w:t>426,7</w:t>
      </w:r>
      <w:r w:rsidRPr="007E66B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E66B4" w:rsidRPr="007E66B4">
        <w:rPr>
          <w:rFonts w:ascii="Times New Roman" w:hAnsi="Times New Roman" w:cs="Times New Roman"/>
          <w:sz w:val="28"/>
          <w:szCs w:val="28"/>
        </w:rPr>
        <w:t>18,2</w:t>
      </w:r>
      <w:r w:rsidRPr="007E66B4">
        <w:rPr>
          <w:rFonts w:ascii="Times New Roman" w:hAnsi="Times New Roman" w:cs="Times New Roman"/>
          <w:sz w:val="28"/>
          <w:szCs w:val="28"/>
        </w:rPr>
        <w:t xml:space="preserve">%. Доля налога на совокупный доход  </w:t>
      </w:r>
      <w:r w:rsidRPr="00171C7A">
        <w:rPr>
          <w:rFonts w:ascii="Times New Roman" w:hAnsi="Times New Roman" w:cs="Times New Roman"/>
          <w:sz w:val="28"/>
          <w:szCs w:val="28"/>
        </w:rPr>
        <w:t xml:space="preserve">в налоговых доходах бюджета района  </w:t>
      </w:r>
      <w:r w:rsidR="007E66B4" w:rsidRPr="00171C7A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171C7A">
        <w:rPr>
          <w:rFonts w:ascii="Times New Roman" w:hAnsi="Times New Roman" w:cs="Times New Roman"/>
          <w:sz w:val="28"/>
          <w:szCs w:val="28"/>
        </w:rPr>
        <w:t xml:space="preserve"> с  </w:t>
      </w:r>
      <w:r w:rsidR="007E66B4" w:rsidRPr="00171C7A">
        <w:rPr>
          <w:rFonts w:ascii="Times New Roman" w:hAnsi="Times New Roman" w:cs="Times New Roman"/>
          <w:sz w:val="28"/>
          <w:szCs w:val="28"/>
        </w:rPr>
        <w:t>9,0</w:t>
      </w:r>
      <w:r w:rsidRPr="00171C7A">
        <w:rPr>
          <w:rFonts w:ascii="Times New Roman" w:hAnsi="Times New Roman" w:cs="Times New Roman"/>
          <w:sz w:val="28"/>
          <w:szCs w:val="28"/>
        </w:rPr>
        <w:t xml:space="preserve"> % до </w:t>
      </w:r>
      <w:r w:rsidR="007E66B4" w:rsidRPr="00171C7A">
        <w:rPr>
          <w:rFonts w:ascii="Times New Roman" w:hAnsi="Times New Roman" w:cs="Times New Roman"/>
          <w:sz w:val="28"/>
          <w:szCs w:val="28"/>
        </w:rPr>
        <w:t>6,7</w:t>
      </w:r>
      <w:r w:rsidRPr="00171C7A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B71BA6" w:rsidRPr="00171C7A">
        <w:rPr>
          <w:rFonts w:ascii="Times New Roman" w:hAnsi="Times New Roman" w:cs="Times New Roman"/>
          <w:sz w:val="28"/>
          <w:szCs w:val="28"/>
        </w:rPr>
        <w:t xml:space="preserve"> Причина по неисполнению налога на совокупный доход  связана со снижением торговых площадей</w:t>
      </w:r>
      <w:r w:rsidR="00171C7A" w:rsidRPr="00171C7A">
        <w:rPr>
          <w:rFonts w:ascii="Times New Roman" w:hAnsi="Times New Roman" w:cs="Times New Roman"/>
          <w:sz w:val="28"/>
          <w:szCs w:val="28"/>
        </w:rPr>
        <w:t xml:space="preserve"> и образованием кредиторской задолженности по данному налоговому источнику.</w:t>
      </w:r>
    </w:p>
    <w:p w:rsidR="00E87B04" w:rsidRPr="009A175C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75C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53463E">
        <w:rPr>
          <w:rFonts w:ascii="Times New Roman" w:hAnsi="Times New Roman" w:cs="Times New Roman"/>
          <w:sz w:val="28"/>
          <w:szCs w:val="28"/>
        </w:rPr>
        <w:t xml:space="preserve">Четвертое и последнее место по величине поступлений в бюджет района  занимает государственная пошлина. Поступления  указанного налога составило </w:t>
      </w:r>
      <w:r w:rsidR="0053463E" w:rsidRPr="0053463E">
        <w:rPr>
          <w:rFonts w:ascii="Times New Roman" w:hAnsi="Times New Roman" w:cs="Times New Roman"/>
          <w:sz w:val="28"/>
          <w:szCs w:val="28"/>
        </w:rPr>
        <w:t>366,6</w:t>
      </w:r>
      <w:r w:rsidRPr="0053463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3463E" w:rsidRPr="0053463E">
        <w:rPr>
          <w:rFonts w:ascii="Times New Roman" w:hAnsi="Times New Roman" w:cs="Times New Roman"/>
          <w:sz w:val="28"/>
          <w:szCs w:val="28"/>
        </w:rPr>
        <w:t>71,1</w:t>
      </w:r>
      <w:r w:rsidRPr="0053463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53463E" w:rsidRPr="0053463E">
        <w:rPr>
          <w:rFonts w:ascii="Times New Roman" w:hAnsi="Times New Roman" w:cs="Times New Roman"/>
          <w:sz w:val="28"/>
          <w:szCs w:val="28"/>
        </w:rPr>
        <w:t>511,0</w:t>
      </w:r>
      <w:r w:rsidRPr="0053463E">
        <w:rPr>
          <w:rFonts w:ascii="Times New Roman" w:hAnsi="Times New Roman" w:cs="Times New Roman"/>
          <w:sz w:val="28"/>
          <w:szCs w:val="28"/>
        </w:rPr>
        <w:t xml:space="preserve"> тыс. рублей.  По сравнению с 1 полугодием  201</w:t>
      </w:r>
      <w:r w:rsidR="0053463E" w:rsidRPr="0053463E">
        <w:rPr>
          <w:rFonts w:ascii="Times New Roman" w:hAnsi="Times New Roman" w:cs="Times New Roman"/>
          <w:sz w:val="28"/>
          <w:szCs w:val="28"/>
        </w:rPr>
        <w:t>8</w:t>
      </w:r>
      <w:r w:rsidRPr="0053463E">
        <w:rPr>
          <w:rFonts w:ascii="Times New Roman" w:hAnsi="Times New Roman" w:cs="Times New Roman"/>
          <w:sz w:val="28"/>
          <w:szCs w:val="28"/>
        </w:rPr>
        <w:t xml:space="preserve"> года  поступление государственной пошлины   увеличилась на </w:t>
      </w:r>
      <w:r w:rsidR="0053463E" w:rsidRPr="0053463E">
        <w:rPr>
          <w:rFonts w:ascii="Times New Roman" w:hAnsi="Times New Roman" w:cs="Times New Roman"/>
          <w:sz w:val="28"/>
          <w:szCs w:val="28"/>
        </w:rPr>
        <w:t>119,2</w:t>
      </w:r>
      <w:r w:rsidRPr="0053463E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53463E" w:rsidRPr="0053463E">
        <w:rPr>
          <w:rFonts w:ascii="Times New Roman" w:hAnsi="Times New Roman" w:cs="Times New Roman"/>
          <w:sz w:val="28"/>
          <w:szCs w:val="28"/>
        </w:rPr>
        <w:t>48,2</w:t>
      </w:r>
      <w:r w:rsidRPr="0053463E">
        <w:rPr>
          <w:rFonts w:ascii="Times New Roman" w:hAnsi="Times New Roman" w:cs="Times New Roman"/>
          <w:sz w:val="28"/>
          <w:szCs w:val="28"/>
        </w:rPr>
        <w:t xml:space="preserve">%. Доля  государственной пошлины  в налоговых доходах бюджета района  увеличилась с </w:t>
      </w:r>
      <w:r w:rsidR="0053463E" w:rsidRPr="0053463E">
        <w:rPr>
          <w:rFonts w:ascii="Times New Roman" w:hAnsi="Times New Roman" w:cs="Times New Roman"/>
          <w:sz w:val="28"/>
          <w:szCs w:val="28"/>
        </w:rPr>
        <w:t>0,9</w:t>
      </w:r>
      <w:r w:rsidRPr="0053463E">
        <w:rPr>
          <w:rFonts w:ascii="Times New Roman" w:hAnsi="Times New Roman" w:cs="Times New Roman"/>
          <w:sz w:val="28"/>
          <w:szCs w:val="28"/>
        </w:rPr>
        <w:t xml:space="preserve"> % до </w:t>
      </w:r>
      <w:r w:rsidR="0053463E" w:rsidRPr="0053463E">
        <w:rPr>
          <w:rFonts w:ascii="Times New Roman" w:hAnsi="Times New Roman" w:cs="Times New Roman"/>
          <w:sz w:val="28"/>
          <w:szCs w:val="28"/>
        </w:rPr>
        <w:t>1,3</w:t>
      </w:r>
      <w:r w:rsidRPr="0053463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Исполнение  </w:t>
      </w:r>
      <w:r w:rsidRPr="00E87B04">
        <w:rPr>
          <w:rFonts w:ascii="Times New Roman" w:hAnsi="Times New Roman" w:cs="Times New Roman"/>
          <w:sz w:val="28"/>
          <w:szCs w:val="28"/>
        </w:rPr>
        <w:t>бюджета района по налоговым доходам  за  1 полугодие 201</w:t>
      </w:r>
      <w:r w:rsidR="000E69B9">
        <w:rPr>
          <w:rFonts w:ascii="Times New Roman" w:hAnsi="Times New Roman" w:cs="Times New Roman"/>
          <w:sz w:val="28"/>
          <w:szCs w:val="28"/>
        </w:rPr>
        <w:t>9</w:t>
      </w:r>
      <w:r w:rsidRPr="00E87B04">
        <w:rPr>
          <w:rFonts w:ascii="Times New Roman" w:hAnsi="Times New Roman" w:cs="Times New Roman"/>
          <w:sz w:val="28"/>
          <w:szCs w:val="28"/>
        </w:rPr>
        <w:t xml:space="preserve"> года ниже 50,0%  по НДФЛ (</w:t>
      </w:r>
      <w:r w:rsidR="000E69B9">
        <w:rPr>
          <w:rFonts w:ascii="Times New Roman" w:hAnsi="Times New Roman" w:cs="Times New Roman"/>
          <w:sz w:val="28"/>
          <w:szCs w:val="28"/>
        </w:rPr>
        <w:t>45,6</w:t>
      </w:r>
      <w:r w:rsidRPr="00E87B04">
        <w:rPr>
          <w:rFonts w:ascii="Times New Roman" w:hAnsi="Times New Roman" w:cs="Times New Roman"/>
          <w:sz w:val="28"/>
          <w:szCs w:val="28"/>
        </w:rPr>
        <w:t xml:space="preserve">%) и </w:t>
      </w:r>
      <w:r w:rsidR="000E69B9">
        <w:rPr>
          <w:rFonts w:ascii="Times New Roman" w:hAnsi="Times New Roman" w:cs="Times New Roman"/>
          <w:sz w:val="28"/>
          <w:szCs w:val="28"/>
        </w:rPr>
        <w:t>налогу на совокупный доход</w:t>
      </w:r>
      <w:r w:rsidRPr="00E87B04">
        <w:rPr>
          <w:rFonts w:ascii="Times New Roman" w:hAnsi="Times New Roman" w:cs="Times New Roman"/>
          <w:sz w:val="28"/>
          <w:szCs w:val="28"/>
        </w:rPr>
        <w:t xml:space="preserve"> (</w:t>
      </w:r>
      <w:r w:rsidR="000E69B9">
        <w:rPr>
          <w:rFonts w:ascii="Times New Roman" w:hAnsi="Times New Roman" w:cs="Times New Roman"/>
          <w:sz w:val="28"/>
          <w:szCs w:val="28"/>
        </w:rPr>
        <w:t>46,0</w:t>
      </w:r>
      <w:r w:rsidRPr="00E87B04">
        <w:rPr>
          <w:rFonts w:ascii="Times New Roman" w:hAnsi="Times New Roman" w:cs="Times New Roman"/>
          <w:sz w:val="28"/>
          <w:szCs w:val="28"/>
        </w:rPr>
        <w:t>%).</w:t>
      </w:r>
    </w:p>
    <w:p w:rsid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168B" w:rsidRPr="00E87B04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B04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E87B04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1A78AB">
        <w:rPr>
          <w:rFonts w:ascii="Times New Roman" w:hAnsi="Times New Roman" w:cs="Times New Roman"/>
          <w:sz w:val="28"/>
          <w:szCs w:val="28"/>
        </w:rPr>
        <w:t>2149,7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A78AB">
        <w:rPr>
          <w:rFonts w:ascii="Times New Roman" w:hAnsi="Times New Roman" w:cs="Times New Roman"/>
          <w:sz w:val="28"/>
          <w:szCs w:val="28"/>
        </w:rPr>
        <w:t>47,6</w:t>
      </w:r>
      <w:r w:rsidRPr="00E87B04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1A78AB">
        <w:rPr>
          <w:rFonts w:ascii="Times New Roman" w:hAnsi="Times New Roman" w:cs="Times New Roman"/>
          <w:sz w:val="28"/>
          <w:szCs w:val="28"/>
        </w:rPr>
        <w:t>4512,0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доходов бюджета  района составила </w:t>
      </w:r>
      <w:r w:rsidR="001A78AB">
        <w:rPr>
          <w:rFonts w:ascii="Times New Roman" w:hAnsi="Times New Roman" w:cs="Times New Roman"/>
          <w:sz w:val="28"/>
          <w:szCs w:val="28"/>
        </w:rPr>
        <w:t>2,0</w:t>
      </w:r>
      <w:r w:rsidRPr="00E87B0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     Данные об утвержденных и исполненных неналоговых доходах за 1 полугодие  201</w:t>
      </w:r>
      <w:r w:rsidR="001A78AB">
        <w:rPr>
          <w:rFonts w:ascii="Times New Roman" w:hAnsi="Times New Roman" w:cs="Times New Roman"/>
          <w:sz w:val="28"/>
          <w:szCs w:val="28"/>
        </w:rPr>
        <w:t>9</w:t>
      </w:r>
      <w:r w:rsidRPr="00E87B04">
        <w:rPr>
          <w:rFonts w:ascii="Times New Roman" w:hAnsi="Times New Roman" w:cs="Times New Roman"/>
          <w:sz w:val="28"/>
          <w:szCs w:val="28"/>
        </w:rPr>
        <w:t xml:space="preserve"> года, а также сравнительный анализ с показателями аналогичного периода прошлого года изложены в таблице  2.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E87B04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6F118B">
        <w:rPr>
          <w:rFonts w:ascii="Times New Roman" w:hAnsi="Times New Roman" w:cs="Times New Roman"/>
          <w:sz w:val="28"/>
          <w:szCs w:val="28"/>
        </w:rPr>
        <w:t>9</w:t>
      </w:r>
      <w:r w:rsidRPr="00E87B04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5 подгруппам неналоговых доходов. В структуре неналоговых доходов наибольший удельный вес занимают: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 - доходы  от использования имущества, находящегося в государственной и муниципальной собственности – </w:t>
      </w:r>
      <w:r w:rsidR="001A78AB">
        <w:rPr>
          <w:rFonts w:ascii="Times New Roman" w:hAnsi="Times New Roman" w:cs="Times New Roman"/>
          <w:sz w:val="28"/>
          <w:szCs w:val="28"/>
        </w:rPr>
        <w:t>41,0</w:t>
      </w:r>
      <w:r w:rsidRPr="00E87B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A78AB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</w:t>
      </w:r>
      <w:r w:rsidR="001A78AB" w:rsidRPr="00E87B04">
        <w:rPr>
          <w:rFonts w:ascii="Times New Roman" w:hAnsi="Times New Roman" w:cs="Times New Roman"/>
          <w:sz w:val="28"/>
          <w:szCs w:val="28"/>
        </w:rPr>
        <w:t xml:space="preserve">  - поступления от штрафов, санкций, возмещения ущерба </w:t>
      </w:r>
      <w:r w:rsidR="001A78AB">
        <w:rPr>
          <w:rFonts w:ascii="Times New Roman" w:hAnsi="Times New Roman" w:cs="Times New Roman"/>
          <w:sz w:val="28"/>
          <w:szCs w:val="28"/>
        </w:rPr>
        <w:t>–</w:t>
      </w:r>
      <w:r w:rsidRPr="00E87B04">
        <w:rPr>
          <w:rFonts w:ascii="Times New Roman" w:hAnsi="Times New Roman" w:cs="Times New Roman"/>
          <w:sz w:val="28"/>
          <w:szCs w:val="28"/>
        </w:rPr>
        <w:t xml:space="preserve"> </w:t>
      </w:r>
      <w:r w:rsidR="001A78AB">
        <w:rPr>
          <w:rFonts w:ascii="Times New Roman" w:hAnsi="Times New Roman" w:cs="Times New Roman"/>
          <w:sz w:val="28"/>
          <w:szCs w:val="28"/>
        </w:rPr>
        <w:t>25,3%;</w:t>
      </w:r>
    </w:p>
    <w:p w:rsidR="00E87B04" w:rsidRPr="00E87B04" w:rsidRDefault="001A78A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E87B04" w:rsidRPr="00E87B04">
        <w:rPr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– </w:t>
      </w:r>
      <w:r>
        <w:rPr>
          <w:rFonts w:ascii="Times New Roman" w:hAnsi="Times New Roman" w:cs="Times New Roman"/>
          <w:sz w:val="28"/>
          <w:szCs w:val="28"/>
        </w:rPr>
        <w:t>18,0</w:t>
      </w:r>
      <w:r w:rsidR="00E87B04" w:rsidRPr="00E87B04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-  платежи при  использовании природными ресурсами – </w:t>
      </w:r>
      <w:r w:rsidR="001A78AB">
        <w:rPr>
          <w:rFonts w:ascii="Times New Roman" w:hAnsi="Times New Roman" w:cs="Times New Roman"/>
          <w:sz w:val="28"/>
          <w:szCs w:val="28"/>
        </w:rPr>
        <w:t>11,1</w:t>
      </w:r>
      <w:r w:rsidRPr="00E87B04">
        <w:rPr>
          <w:rFonts w:ascii="Times New Roman" w:hAnsi="Times New Roman" w:cs="Times New Roman"/>
          <w:sz w:val="28"/>
          <w:szCs w:val="28"/>
        </w:rPr>
        <w:t>%;</w:t>
      </w:r>
    </w:p>
    <w:p w:rsidR="00E87B04" w:rsidRPr="00331E65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87B04">
        <w:rPr>
          <w:rFonts w:ascii="Times New Roman" w:hAnsi="Times New Roman" w:cs="Times New Roman"/>
          <w:sz w:val="28"/>
          <w:szCs w:val="28"/>
        </w:rPr>
        <w:t xml:space="preserve">- платежи от оказания платных услуг и компенсация затрат государства  – </w:t>
      </w:r>
      <w:r w:rsidR="001A78AB">
        <w:rPr>
          <w:rFonts w:ascii="Times New Roman" w:hAnsi="Times New Roman" w:cs="Times New Roman"/>
          <w:sz w:val="28"/>
          <w:szCs w:val="28"/>
        </w:rPr>
        <w:t>4,6</w:t>
      </w:r>
      <w:r w:rsidRPr="00E87B0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87B04" w:rsidRPr="00331E65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E6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31E65">
        <w:rPr>
          <w:rFonts w:ascii="Times New Roman" w:hAnsi="Times New Roman" w:cs="Times New Roman"/>
          <w:sz w:val="28"/>
          <w:szCs w:val="28"/>
        </w:rPr>
        <w:t xml:space="preserve"> В сравнении с 1 полугодием  201</w:t>
      </w:r>
      <w:r w:rsidR="00331E65" w:rsidRPr="00331E65">
        <w:rPr>
          <w:rFonts w:ascii="Times New Roman" w:hAnsi="Times New Roman" w:cs="Times New Roman"/>
          <w:sz w:val="28"/>
          <w:szCs w:val="28"/>
        </w:rPr>
        <w:t>8</w:t>
      </w:r>
      <w:r w:rsidRPr="00331E65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331E65" w:rsidRPr="00331E65">
        <w:rPr>
          <w:rFonts w:ascii="Times New Roman" w:hAnsi="Times New Roman" w:cs="Times New Roman"/>
          <w:i/>
          <w:sz w:val="28"/>
          <w:szCs w:val="28"/>
        </w:rPr>
        <w:t>уменьшилось</w:t>
      </w:r>
      <w:r w:rsidRPr="00331E65">
        <w:rPr>
          <w:rFonts w:ascii="Times New Roman" w:hAnsi="Times New Roman" w:cs="Times New Roman"/>
          <w:sz w:val="28"/>
          <w:szCs w:val="28"/>
        </w:rPr>
        <w:t xml:space="preserve"> на </w:t>
      </w:r>
      <w:r w:rsidR="00331E65" w:rsidRPr="00331E65">
        <w:rPr>
          <w:rFonts w:ascii="Times New Roman" w:hAnsi="Times New Roman" w:cs="Times New Roman"/>
          <w:sz w:val="28"/>
          <w:szCs w:val="28"/>
        </w:rPr>
        <w:t>188,6</w:t>
      </w:r>
      <w:r w:rsidRPr="00331E6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31E65" w:rsidRPr="00331E65">
        <w:rPr>
          <w:rFonts w:ascii="Times New Roman" w:hAnsi="Times New Roman" w:cs="Times New Roman"/>
          <w:sz w:val="28"/>
          <w:szCs w:val="28"/>
        </w:rPr>
        <w:t>8,1</w:t>
      </w:r>
      <w:r w:rsidRPr="00331E65">
        <w:rPr>
          <w:rFonts w:ascii="Times New Roman" w:hAnsi="Times New Roman" w:cs="Times New Roman"/>
          <w:sz w:val="28"/>
          <w:szCs w:val="28"/>
        </w:rPr>
        <w:t xml:space="preserve"> %, в том числе: </w:t>
      </w:r>
    </w:p>
    <w:p w:rsidR="00E87B04" w:rsidRPr="006F118B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2A8">
        <w:rPr>
          <w:rFonts w:ascii="Times New Roman" w:hAnsi="Times New Roman" w:cs="Times New Roman"/>
          <w:sz w:val="28"/>
          <w:szCs w:val="28"/>
        </w:rPr>
        <w:t xml:space="preserve">     - доходы от использования имущества, находящегося в государственной и муниципальной собственности  на </w:t>
      </w:r>
      <w:r w:rsidR="00B652A8" w:rsidRPr="00B652A8">
        <w:rPr>
          <w:rFonts w:ascii="Times New Roman" w:hAnsi="Times New Roman" w:cs="Times New Roman"/>
          <w:sz w:val="28"/>
          <w:szCs w:val="28"/>
        </w:rPr>
        <w:t>346,7</w:t>
      </w:r>
      <w:r w:rsidRPr="00B652A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652A8" w:rsidRPr="00B652A8">
        <w:rPr>
          <w:rFonts w:ascii="Times New Roman" w:hAnsi="Times New Roman" w:cs="Times New Roman"/>
          <w:sz w:val="28"/>
          <w:szCs w:val="28"/>
        </w:rPr>
        <w:t>28,3</w:t>
      </w:r>
      <w:r w:rsidRPr="00B652A8">
        <w:rPr>
          <w:rFonts w:ascii="Times New Roman" w:hAnsi="Times New Roman" w:cs="Times New Roman"/>
          <w:sz w:val="28"/>
          <w:szCs w:val="28"/>
        </w:rPr>
        <w:t>%</w:t>
      </w:r>
      <w:r w:rsidR="006F118B">
        <w:rPr>
          <w:rFonts w:ascii="Times New Roman" w:hAnsi="Times New Roman" w:cs="Times New Roman"/>
          <w:sz w:val="28"/>
          <w:szCs w:val="28"/>
        </w:rPr>
        <w:t xml:space="preserve">, </w:t>
      </w:r>
      <w:r w:rsidR="006F118B" w:rsidRPr="006F118B">
        <w:rPr>
          <w:rFonts w:ascii="Times New Roman" w:hAnsi="Times New Roman" w:cs="Times New Roman"/>
          <w:i/>
          <w:sz w:val="28"/>
          <w:szCs w:val="28"/>
        </w:rPr>
        <w:t>снижение связано с образованием кредиторской  задолженности по данному доходному  источнику</w:t>
      </w:r>
      <w:r w:rsidRPr="006F118B">
        <w:rPr>
          <w:rFonts w:ascii="Times New Roman" w:hAnsi="Times New Roman" w:cs="Times New Roman"/>
          <w:i/>
          <w:sz w:val="28"/>
          <w:szCs w:val="28"/>
        </w:rPr>
        <w:t>;</w:t>
      </w:r>
    </w:p>
    <w:p w:rsidR="00157050" w:rsidRPr="005D423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050">
        <w:rPr>
          <w:rFonts w:ascii="Times New Roman" w:hAnsi="Times New Roman" w:cs="Times New Roman"/>
          <w:sz w:val="28"/>
          <w:szCs w:val="28"/>
        </w:rPr>
        <w:t xml:space="preserve">     </w:t>
      </w:r>
      <w:r w:rsidR="00157050" w:rsidRPr="00157050">
        <w:rPr>
          <w:rFonts w:ascii="Times New Roman" w:hAnsi="Times New Roman" w:cs="Times New Roman"/>
          <w:sz w:val="28"/>
          <w:szCs w:val="28"/>
        </w:rPr>
        <w:t>-  доходы от продажи материальных и нематериальных активов  на 161,1 тыс. рублей, или  на 29,5 %</w:t>
      </w:r>
      <w:r w:rsidR="005D4234">
        <w:rPr>
          <w:rFonts w:ascii="Times New Roman" w:hAnsi="Times New Roman" w:cs="Times New Roman"/>
          <w:sz w:val="28"/>
          <w:szCs w:val="28"/>
        </w:rPr>
        <w:t>,</w:t>
      </w:r>
      <w:r w:rsidR="005D4234" w:rsidRPr="005D4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234" w:rsidRPr="006F118B">
        <w:rPr>
          <w:rFonts w:ascii="Times New Roman" w:hAnsi="Times New Roman" w:cs="Times New Roman"/>
          <w:i/>
          <w:sz w:val="28"/>
          <w:szCs w:val="28"/>
        </w:rPr>
        <w:t xml:space="preserve">снижение связано с </w:t>
      </w:r>
      <w:r w:rsidR="005D4234">
        <w:rPr>
          <w:rFonts w:ascii="Times New Roman" w:hAnsi="Times New Roman" w:cs="Times New Roman"/>
          <w:i/>
          <w:sz w:val="28"/>
          <w:szCs w:val="28"/>
        </w:rPr>
        <w:t xml:space="preserve">тем, что в 1 полугодии 2019 года не проводились аукционы по </w:t>
      </w:r>
      <w:r w:rsidR="005D4234" w:rsidRPr="006F118B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5D4234">
        <w:rPr>
          <w:rFonts w:ascii="Times New Roman" w:hAnsi="Times New Roman" w:cs="Times New Roman"/>
          <w:i/>
          <w:sz w:val="28"/>
          <w:szCs w:val="28"/>
        </w:rPr>
        <w:t>родаже земельных участков;</w:t>
      </w:r>
    </w:p>
    <w:p w:rsidR="00157050" w:rsidRDefault="0015705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78AB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157050">
        <w:rPr>
          <w:rFonts w:ascii="Times New Roman" w:hAnsi="Times New Roman" w:cs="Times New Roman"/>
          <w:sz w:val="28"/>
          <w:szCs w:val="28"/>
        </w:rPr>
        <w:t>- платежи при использовании природными ресурсами на 2,0 тыс. рублей, или на 0,8%.</w:t>
      </w:r>
      <w:r w:rsidR="00333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B04" w:rsidRPr="003331E3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78A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3331E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331E3" w:rsidRPr="003331E3">
        <w:rPr>
          <w:rFonts w:ascii="Times New Roman" w:hAnsi="Times New Roman" w:cs="Times New Roman"/>
          <w:i/>
          <w:sz w:val="28"/>
          <w:szCs w:val="28"/>
        </w:rPr>
        <w:t>увеличились</w:t>
      </w:r>
      <w:r w:rsidRPr="003331E3">
        <w:rPr>
          <w:rFonts w:ascii="Times New Roman" w:hAnsi="Times New Roman" w:cs="Times New Roman"/>
          <w:i/>
          <w:sz w:val="28"/>
          <w:szCs w:val="28"/>
        </w:rPr>
        <w:t xml:space="preserve"> доходы</w:t>
      </w:r>
      <w:r w:rsidRPr="003331E3">
        <w:rPr>
          <w:rFonts w:ascii="Times New Roman" w:hAnsi="Times New Roman" w:cs="Times New Roman"/>
          <w:sz w:val="28"/>
          <w:szCs w:val="28"/>
        </w:rPr>
        <w:t>:</w:t>
      </w:r>
    </w:p>
    <w:p w:rsidR="00E87B04" w:rsidRPr="003331E3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1E3">
        <w:rPr>
          <w:rFonts w:ascii="Times New Roman" w:hAnsi="Times New Roman" w:cs="Times New Roman"/>
          <w:sz w:val="28"/>
          <w:szCs w:val="28"/>
        </w:rPr>
        <w:t xml:space="preserve">     </w:t>
      </w:r>
      <w:r w:rsidR="003331E3" w:rsidRPr="003331E3">
        <w:rPr>
          <w:rFonts w:ascii="Times New Roman" w:hAnsi="Times New Roman" w:cs="Times New Roman"/>
          <w:sz w:val="28"/>
          <w:szCs w:val="28"/>
        </w:rPr>
        <w:t>- штрафы, санкции, возмещение ущерба на 293,1 тыс. рублей, или в 2,2 раза;</w:t>
      </w:r>
    </w:p>
    <w:p w:rsidR="00E87B04" w:rsidRPr="003331E3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платежи от оказания платных услуг и компенсация затрат государства на </w:t>
      </w:r>
      <w:r w:rsidR="003331E3" w:rsidRPr="00333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28,1</w:t>
      </w:r>
      <w:r w:rsidRPr="003331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331E3" w:rsidRPr="003331E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39,5 процента.</w:t>
      </w:r>
    </w:p>
    <w:p w:rsidR="00E87B04" w:rsidRPr="001A78AB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A78AB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</w:p>
    <w:p w:rsidR="00E87B04" w:rsidRPr="001A78AB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A78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собственности, исполнены в сумме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880,6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плановым назначениям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2362,0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A78A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аренда земельных участков  в сумме – 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515,4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33,6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в сумме 15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рублей. В соответствии с  приложением 1 к  информации Управления финансов района от 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D4234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(информация) 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низкого исполнения связана с тем, что </w:t>
      </w:r>
      <w:r w:rsidR="00A91ADF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 договорам аренды 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 в </w:t>
      </w:r>
      <w:r w:rsidR="00A91ADF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ADF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квартале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91ADF"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F157B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аренда имущества в сумме </w:t>
      </w:r>
      <w:r w:rsidR="00F157BD"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180,6</w:t>
      </w:r>
      <w:r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157BD"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54,7</w:t>
      </w:r>
      <w:r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F157BD"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330,0</w:t>
      </w:r>
      <w:r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F157BD" w:rsidRPr="00F157BD" w:rsidRDefault="00F157BD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прочие поступления (аренда муниципального жилья) в сумме 184,6 тыс. рублей, или 37,9% к плановым назначениям 487,0 тыс. рублей</w:t>
      </w:r>
      <w:r w:rsidR="00E87B04" w:rsidRPr="00F157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F1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информацией</w:t>
      </w:r>
      <w:r w:rsidRPr="00A91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 низкого исполнения связана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кредиторской задолженности, управлением финансов района ведется работа по взысканию кредиторской задолженности.</w:t>
      </w: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Исполнение  платежей при пользовании природными ресурсами за 1 полугодии  201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239,5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55,4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54629D"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>432,0</w:t>
      </w:r>
      <w:r w:rsidRPr="0054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54629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доходов от оказания платных услуг и компенсации затрат государства за 1 полугодие    201</w:t>
      </w:r>
      <w:r w:rsidR="0054629D"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составляет</w:t>
      </w:r>
      <w:r w:rsidR="00AC5B4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2C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99,2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4629D"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57,7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</w:t>
      </w:r>
      <w:r w:rsidR="00FB2C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172,0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</w:t>
      </w:r>
      <w:r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й. </w:t>
      </w:r>
    </w:p>
    <w:p w:rsidR="00E87B04" w:rsidRPr="0054629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исполнены в сумме </w:t>
      </w:r>
      <w:r w:rsidR="0054629D"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385,8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4629D"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38,3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54629D"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1006,0</w:t>
      </w:r>
      <w:r w:rsidRPr="0054629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72DCE" w:rsidRDefault="00E87B04" w:rsidP="00B72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29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муниципальных районов, в части реализации основных средств по указанному имуществу в сумме – </w:t>
      </w:r>
      <w:r w:rsidR="00B72DCE">
        <w:rPr>
          <w:rFonts w:ascii="Times New Roman" w:eastAsia="Times New Roman" w:hAnsi="Times New Roman" w:cs="Times New Roman"/>
          <w:sz w:val="28"/>
          <w:szCs w:val="28"/>
          <w:lang w:eastAsia="ru-RU"/>
        </w:rPr>
        <w:t>200,9</w:t>
      </w:r>
      <w:r w:rsidRPr="00A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– </w:t>
      </w:r>
      <w:r w:rsidR="00B72DCE">
        <w:rPr>
          <w:rFonts w:ascii="Times New Roman" w:eastAsia="Times New Roman" w:hAnsi="Times New Roman" w:cs="Times New Roman"/>
          <w:sz w:val="28"/>
          <w:szCs w:val="28"/>
          <w:lang w:eastAsia="ru-RU"/>
        </w:rPr>
        <w:t>51,4</w:t>
      </w:r>
      <w:r w:rsidRPr="00A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к плановым назначениям в сумме </w:t>
      </w:r>
      <w:r w:rsidR="00B72DCE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 w:rsidRPr="00AE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B72DCE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4629D" w:rsidRPr="00B72DCE" w:rsidRDefault="00B72DCE" w:rsidP="00E87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  П</w:t>
      </w:r>
      <w:r w:rsidRPr="005575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рогнозным  планом приватизации 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14.12. 2018  № 61</w:t>
      </w:r>
      <w:r w:rsidRPr="0051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муниципального имущества    на 2019 и плановый период 2020-2021 годы   в сумме  не менее 391,0 тыс. рублей ежегодно. Решением представительного Собрания района от 19.02.2019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№11 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Прогнозный план приватизации в части добавления здания гаража с земельным участком под зданием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Шуйское</w:t>
      </w:r>
      <w:r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здание незавершенного строительства с земельным участком под зданием в п. Пионерский. </w:t>
      </w:r>
      <w:r w:rsidRPr="005575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Однако сумма  от реализации имущества осталась неизменной (не менее 391,0 тыс. руб.).</w:t>
      </w:r>
    </w:p>
    <w:p w:rsidR="00E87B04" w:rsidRPr="00B72DCE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2D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</w:t>
      </w:r>
      <w:r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доходы от продажи земельных участков, государственная  собственность на которые не разграничена и которые расположены в границах поселений, в сумме </w:t>
      </w:r>
      <w:r w:rsidR="00B72DCE"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184,9</w:t>
      </w:r>
      <w:r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72DCE"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 плановым назначениям в сумме </w:t>
      </w:r>
      <w:r w:rsidR="00B72DCE"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>615,0</w:t>
      </w:r>
      <w:r w:rsidRPr="00B72D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="00B72DCE" w:rsidRPr="00B72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предоставленной информацией причина низкого исполнения связана с тем, что в 1 полугодии т.г аукционы по продаже земельных участков не проводились.</w:t>
      </w:r>
    </w:p>
    <w:p w:rsidR="00E87B04" w:rsidRPr="0075710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Штрафы, санкции, возмещение ущерба исполнены в сумме </w:t>
      </w:r>
      <w:r w:rsidR="00757109"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544,6</w:t>
      </w:r>
      <w:r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57109"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100,8</w:t>
      </w:r>
      <w:r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757109"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540,0</w:t>
      </w:r>
      <w:r w:rsidRPr="007571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  <w:r w:rsidR="00FB2C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B2C7D" w:rsidRPr="00FB2C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Фактическое п</w:t>
      </w:r>
      <w:r w:rsidR="00757109" w:rsidRPr="00FB2C7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оступление</w:t>
      </w:r>
      <w:r w:rsidR="00757109" w:rsidRPr="007571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выше утвержденного  плана  на 2019 год в сумме  4,6 тыс. рублей, или на 0,8 процента.  </w:t>
      </w:r>
      <w:r w:rsidR="00B72DC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Таким образом,</w:t>
      </w:r>
      <w:r w:rsidR="00757109" w:rsidRPr="007571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C5B4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управлению финансов района</w:t>
      </w:r>
      <w:r w:rsidR="00757109" w:rsidRPr="0075710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необходимо скорректировать плановой показатель на 2019 год по данному доходному источнику в сторону увеличения.</w:t>
      </w:r>
    </w:p>
    <w:p w:rsidR="00E87B04" w:rsidRDefault="00E87B04" w:rsidP="004416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4168B" w:rsidRPr="0054629D" w:rsidRDefault="0044168B" w:rsidP="0044168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082783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629D">
        <w:rPr>
          <w:rFonts w:ascii="Times New Roman" w:hAnsi="Times New Roman" w:cs="Times New Roman"/>
          <w:i/>
          <w:iCs/>
          <w:color w:val="C00000"/>
          <w:sz w:val="28"/>
          <w:szCs w:val="28"/>
        </w:rPr>
        <w:t xml:space="preserve">          </w:t>
      </w:r>
      <w:r w:rsidRPr="00082783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E87B04" w:rsidRPr="00DE2C89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87B04" w:rsidRPr="00DE2C89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C89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района составили </w:t>
      </w:r>
      <w:r w:rsidR="00C830E9" w:rsidRPr="00DE2C89">
        <w:rPr>
          <w:rFonts w:ascii="Times New Roman" w:hAnsi="Times New Roman" w:cs="Times New Roman"/>
          <w:sz w:val="28"/>
          <w:szCs w:val="28"/>
        </w:rPr>
        <w:t>77112,1</w:t>
      </w:r>
      <w:r w:rsidRPr="00DE2C8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830E9" w:rsidRPr="00DE2C89">
        <w:rPr>
          <w:rFonts w:ascii="Times New Roman" w:hAnsi="Times New Roman" w:cs="Times New Roman"/>
          <w:sz w:val="28"/>
          <w:szCs w:val="28"/>
        </w:rPr>
        <w:t>38,9</w:t>
      </w:r>
      <w:r w:rsidRPr="00DE2C89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C830E9" w:rsidRPr="00DE2C89">
        <w:rPr>
          <w:rFonts w:ascii="Times New Roman" w:hAnsi="Times New Roman" w:cs="Times New Roman"/>
          <w:sz w:val="28"/>
          <w:szCs w:val="28"/>
        </w:rPr>
        <w:t>198136,6</w:t>
      </w:r>
      <w:r w:rsidRPr="00DE2C89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 201</w:t>
      </w:r>
      <w:r w:rsidR="00C830E9" w:rsidRPr="00DE2C89">
        <w:rPr>
          <w:rFonts w:ascii="Times New Roman" w:hAnsi="Times New Roman" w:cs="Times New Roman"/>
          <w:sz w:val="28"/>
          <w:szCs w:val="28"/>
        </w:rPr>
        <w:t>8</w:t>
      </w:r>
      <w:r w:rsidRPr="00DE2C89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C830E9" w:rsidRPr="00DE2C89">
        <w:rPr>
          <w:rFonts w:ascii="Times New Roman" w:hAnsi="Times New Roman" w:cs="Times New Roman"/>
          <w:sz w:val="28"/>
          <w:szCs w:val="28"/>
        </w:rPr>
        <w:t>величились</w:t>
      </w:r>
      <w:r w:rsidRPr="00DE2C89">
        <w:rPr>
          <w:rFonts w:ascii="Times New Roman" w:hAnsi="Times New Roman" w:cs="Times New Roman"/>
          <w:sz w:val="28"/>
          <w:szCs w:val="28"/>
        </w:rPr>
        <w:t xml:space="preserve"> на </w:t>
      </w:r>
      <w:r w:rsidR="00C830E9" w:rsidRPr="00DE2C89">
        <w:rPr>
          <w:rFonts w:ascii="Times New Roman" w:hAnsi="Times New Roman" w:cs="Times New Roman"/>
          <w:sz w:val="28"/>
          <w:szCs w:val="28"/>
        </w:rPr>
        <w:t>24436,0</w:t>
      </w:r>
      <w:r w:rsidRPr="00DE2C89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C830E9" w:rsidRPr="00DE2C89">
        <w:rPr>
          <w:rFonts w:ascii="Times New Roman" w:hAnsi="Times New Roman" w:cs="Times New Roman"/>
          <w:sz w:val="28"/>
          <w:szCs w:val="28"/>
        </w:rPr>
        <w:t>46,4</w:t>
      </w:r>
      <w:r w:rsidRPr="00DE2C89">
        <w:rPr>
          <w:rFonts w:ascii="Times New Roman" w:hAnsi="Times New Roman" w:cs="Times New Roman"/>
          <w:sz w:val="28"/>
          <w:szCs w:val="28"/>
        </w:rPr>
        <w:t xml:space="preserve"> %, их доля в общих доходах бюджета района составила </w:t>
      </w:r>
      <w:r w:rsidR="00DE2C89" w:rsidRPr="00DE2C89">
        <w:rPr>
          <w:rFonts w:ascii="Times New Roman" w:hAnsi="Times New Roman" w:cs="Times New Roman"/>
          <w:sz w:val="28"/>
          <w:szCs w:val="28"/>
        </w:rPr>
        <w:t>71,5</w:t>
      </w:r>
      <w:r w:rsidRPr="00DE2C89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DE2C89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DE2C89" w:rsidRPr="00DE2C89">
        <w:rPr>
          <w:rFonts w:ascii="Times New Roman" w:hAnsi="Times New Roman" w:cs="Times New Roman"/>
          <w:sz w:val="28"/>
          <w:szCs w:val="28"/>
        </w:rPr>
        <w:t>8</w:t>
      </w:r>
      <w:r w:rsidRPr="00DE2C89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DE2C89">
        <w:rPr>
          <w:rFonts w:ascii="Times New Roman" w:eastAsiaTheme="minorEastAsia" w:hAnsi="Times New Roman" w:cs="Times New Roman"/>
          <w:noProof/>
          <w:lang w:eastAsia="ru-RU"/>
        </w:rPr>
        <w:t xml:space="preserve"> </w:t>
      </w: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4168B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826EB6" w:rsidRDefault="00826EB6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44168B" w:rsidRPr="00DE2C89" w:rsidRDefault="0044168B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54629D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     </w:t>
      </w:r>
      <w:r w:rsidRPr="00DE2C89">
        <w:rPr>
          <w:rFonts w:ascii="Times New Roman" w:eastAsiaTheme="minorEastAsia" w:hAnsi="Times New Roman" w:cs="Times New Roman"/>
          <w:noProof/>
          <w:lang w:eastAsia="ru-RU"/>
        </w:rPr>
        <w:t>тыс. руб.</w:t>
      </w:r>
    </w:p>
    <w:p w:rsidR="00DE2C89" w:rsidRPr="0054629D" w:rsidRDefault="00DE2C89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E4D721" wp14:editId="068DDB4F">
            <wp:extent cx="6124575" cy="4495800"/>
            <wp:effectExtent l="0" t="0" r="9525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7B04" w:rsidRPr="00826EB6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C89">
        <w:rPr>
          <w:rFonts w:ascii="Times New Roman" w:hAnsi="Times New Roman" w:cs="Times New Roman"/>
          <w:sz w:val="28"/>
          <w:szCs w:val="28"/>
        </w:rPr>
        <w:t xml:space="preserve">        В отчетном периоде </w:t>
      </w:r>
      <w:r w:rsidRPr="00DE2C89">
        <w:rPr>
          <w:rFonts w:ascii="Times New Roman" w:hAnsi="Times New Roman" w:cs="Times New Roman"/>
          <w:i/>
          <w:sz w:val="28"/>
          <w:szCs w:val="28"/>
        </w:rPr>
        <w:t>дотации из областного  бюджета</w:t>
      </w:r>
      <w:r w:rsidRPr="00DE2C89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и муниципальным образованиям поступили  в сумме </w:t>
      </w:r>
      <w:r w:rsidR="00DE2C89" w:rsidRPr="00DE2C89">
        <w:rPr>
          <w:rFonts w:ascii="Times New Roman" w:hAnsi="Times New Roman" w:cs="Times New Roman"/>
          <w:sz w:val="28"/>
          <w:szCs w:val="28"/>
        </w:rPr>
        <w:t>24583,0</w:t>
      </w:r>
      <w:r w:rsidRPr="00DE2C89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E2C89" w:rsidRPr="00DE2C89">
        <w:rPr>
          <w:rFonts w:ascii="Times New Roman" w:hAnsi="Times New Roman" w:cs="Times New Roman"/>
          <w:sz w:val="28"/>
          <w:szCs w:val="28"/>
        </w:rPr>
        <w:t>47,0</w:t>
      </w:r>
      <w:r w:rsidRPr="00DE2C89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DE2C89" w:rsidRPr="00826EB6">
        <w:rPr>
          <w:rFonts w:ascii="Times New Roman" w:hAnsi="Times New Roman" w:cs="Times New Roman"/>
          <w:sz w:val="28"/>
          <w:szCs w:val="28"/>
        </w:rPr>
        <w:t>52304,3</w:t>
      </w:r>
      <w:r w:rsidRPr="00826EB6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87B04" w:rsidRPr="00826EB6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B6">
        <w:rPr>
          <w:rFonts w:ascii="Times New Roman" w:hAnsi="Times New Roman" w:cs="Times New Roman"/>
          <w:sz w:val="28"/>
          <w:szCs w:val="28"/>
        </w:rPr>
        <w:t xml:space="preserve">- на выравнивание бюджетной обеспеченности в сумме </w:t>
      </w:r>
      <w:r w:rsidR="00826EB6" w:rsidRPr="00826EB6">
        <w:rPr>
          <w:rFonts w:ascii="Times New Roman" w:hAnsi="Times New Roman" w:cs="Times New Roman"/>
          <w:sz w:val="28"/>
          <w:szCs w:val="28"/>
        </w:rPr>
        <w:t>16547,2</w:t>
      </w:r>
      <w:r w:rsidRPr="00826EB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7B04" w:rsidRPr="00826EB6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B6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</w:t>
      </w:r>
      <w:r w:rsidR="00826EB6" w:rsidRPr="00826EB6">
        <w:rPr>
          <w:rFonts w:ascii="Times New Roman" w:hAnsi="Times New Roman" w:cs="Times New Roman"/>
          <w:sz w:val="28"/>
          <w:szCs w:val="28"/>
        </w:rPr>
        <w:t>8035,8</w:t>
      </w:r>
      <w:r w:rsidRPr="00826EB6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6EB6" w:rsidRPr="00826EB6" w:rsidRDefault="00826EB6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B6">
        <w:rPr>
          <w:rFonts w:ascii="Times New Roman" w:hAnsi="Times New Roman" w:cs="Times New Roman"/>
          <w:sz w:val="28"/>
          <w:szCs w:val="28"/>
        </w:rPr>
        <w:t xml:space="preserve">   Кроме того, профинансированы дотации за счет остатков по состоянию на 01.01.2019 года в сумме 8173,7 тыс. рублей, в том числе: </w:t>
      </w:r>
    </w:p>
    <w:p w:rsidR="00826EB6" w:rsidRPr="00826EB6" w:rsidRDefault="00826EB6" w:rsidP="008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B6">
        <w:rPr>
          <w:rFonts w:ascii="Times New Roman" w:hAnsi="Times New Roman" w:cs="Times New Roman"/>
          <w:sz w:val="28"/>
          <w:szCs w:val="28"/>
        </w:rPr>
        <w:t>- на выравнивание бюджетной обеспеченности в сумме 1295,7 тыс. рублей;</w:t>
      </w:r>
    </w:p>
    <w:p w:rsidR="00826EB6" w:rsidRPr="00826EB6" w:rsidRDefault="00826EB6" w:rsidP="00826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6EB6">
        <w:rPr>
          <w:rFonts w:ascii="Times New Roman" w:hAnsi="Times New Roman" w:cs="Times New Roman"/>
          <w:sz w:val="28"/>
          <w:szCs w:val="28"/>
        </w:rPr>
        <w:t xml:space="preserve">- на поддержку мер по обеспечению сбалансированности бюджетов в сумме 6878,0 тыс. рублей. </w:t>
      </w:r>
    </w:p>
    <w:p w:rsidR="00826EB6" w:rsidRPr="0054629D" w:rsidRDefault="00826EB6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4629D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EE6BD7">
        <w:rPr>
          <w:rFonts w:ascii="Times New Roman" w:hAnsi="Times New Roman" w:cs="Times New Roman"/>
          <w:sz w:val="28"/>
          <w:szCs w:val="28"/>
        </w:rPr>
        <w:t xml:space="preserve">Доля дотаций в общем объеме безвозмездных поступлений составила </w:t>
      </w:r>
      <w:r w:rsidR="00EE6BD7" w:rsidRPr="00EE6BD7">
        <w:rPr>
          <w:rFonts w:ascii="Times New Roman" w:hAnsi="Times New Roman" w:cs="Times New Roman"/>
          <w:sz w:val="28"/>
          <w:szCs w:val="28"/>
        </w:rPr>
        <w:t>31,9</w:t>
      </w:r>
      <w:r w:rsidRPr="00EE6BD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7B04" w:rsidRPr="0054629D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4629D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   </w:t>
      </w:r>
      <w:r w:rsidRPr="00EE6BD7">
        <w:rPr>
          <w:rFonts w:ascii="Times New Roman" w:hAnsi="Times New Roman" w:cs="Times New Roman"/>
          <w:i/>
          <w:sz w:val="28"/>
          <w:szCs w:val="28"/>
        </w:rPr>
        <w:t>Субсидии бюджетам</w:t>
      </w:r>
      <w:r w:rsidRPr="00EE6BD7">
        <w:rPr>
          <w:rFonts w:ascii="Times New Roman" w:hAnsi="Times New Roman" w:cs="Times New Roman"/>
          <w:sz w:val="28"/>
          <w:szCs w:val="28"/>
        </w:rPr>
        <w:t xml:space="preserve"> субъектов РФ и муниципальным образованиям (межбюджетные субсидии) в 1 полугодии 201</w:t>
      </w:r>
      <w:r w:rsidR="00EE6BD7" w:rsidRPr="00EE6BD7">
        <w:rPr>
          <w:rFonts w:ascii="Times New Roman" w:hAnsi="Times New Roman" w:cs="Times New Roman"/>
          <w:sz w:val="28"/>
          <w:szCs w:val="28"/>
        </w:rPr>
        <w:t>9</w:t>
      </w:r>
      <w:r w:rsidRPr="00EE6BD7">
        <w:rPr>
          <w:rFonts w:ascii="Times New Roman" w:hAnsi="Times New Roman" w:cs="Times New Roman"/>
          <w:sz w:val="28"/>
          <w:szCs w:val="28"/>
        </w:rPr>
        <w:t xml:space="preserve"> года поступали в сумме </w:t>
      </w:r>
      <w:r w:rsidR="00EE6BD7" w:rsidRPr="00EE6BD7">
        <w:rPr>
          <w:rFonts w:ascii="Times New Roman" w:hAnsi="Times New Roman" w:cs="Times New Roman"/>
          <w:sz w:val="28"/>
          <w:szCs w:val="28"/>
        </w:rPr>
        <w:t>8581,5</w:t>
      </w:r>
      <w:r w:rsidRPr="00EE6BD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6BD7" w:rsidRPr="00EE6BD7">
        <w:rPr>
          <w:rFonts w:ascii="Times New Roman" w:hAnsi="Times New Roman" w:cs="Times New Roman"/>
          <w:sz w:val="28"/>
          <w:szCs w:val="28"/>
        </w:rPr>
        <w:t>11,3</w:t>
      </w:r>
      <w:r w:rsidRPr="00EE6BD7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  в сумме  </w:t>
      </w:r>
      <w:r w:rsidR="00EE6BD7" w:rsidRPr="00EE6BD7">
        <w:rPr>
          <w:rFonts w:ascii="Times New Roman" w:hAnsi="Times New Roman" w:cs="Times New Roman"/>
          <w:sz w:val="28"/>
          <w:szCs w:val="28"/>
        </w:rPr>
        <w:t>75914,1</w:t>
      </w:r>
      <w:r w:rsidRPr="00EE6BD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C33B8C" w:rsidRPr="00C33B8C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8C">
        <w:rPr>
          <w:rFonts w:ascii="Times New Roman" w:hAnsi="Times New Roman" w:cs="Times New Roman"/>
          <w:sz w:val="28"/>
          <w:szCs w:val="28"/>
        </w:rPr>
        <w:t xml:space="preserve">- </w:t>
      </w:r>
      <w:r w:rsidR="00C33B8C" w:rsidRPr="00C33B8C">
        <w:rPr>
          <w:rFonts w:ascii="Times New Roman" w:hAnsi="Times New Roman" w:cs="Times New Roman"/>
          <w:sz w:val="28"/>
          <w:szCs w:val="28"/>
        </w:rPr>
        <w:t>на выравнивание обеспеченности по реализации расходных обязательств в части выплаты заработной платы работникам  муниципальных учреждений – 4345,9 тыс. рублей;</w:t>
      </w:r>
    </w:p>
    <w:p w:rsidR="00C33B8C" w:rsidRPr="00C33B8C" w:rsidRDefault="00C33B8C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8C">
        <w:rPr>
          <w:rFonts w:ascii="Times New Roman" w:hAnsi="Times New Roman" w:cs="Times New Roman"/>
          <w:sz w:val="28"/>
          <w:szCs w:val="28"/>
        </w:rPr>
        <w:t>- на развитие мобильной торговли в малонаселенных и труднодоступных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B8C">
        <w:rPr>
          <w:rFonts w:ascii="Times New Roman" w:hAnsi="Times New Roman" w:cs="Times New Roman"/>
          <w:sz w:val="28"/>
          <w:szCs w:val="28"/>
        </w:rPr>
        <w:t>населенных пунктах – 111,4 тыс. рублей;</w:t>
      </w:r>
    </w:p>
    <w:p w:rsidR="00C33B8C" w:rsidRPr="00503DA9" w:rsidRDefault="00C33B8C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8C">
        <w:rPr>
          <w:rFonts w:ascii="Times New Roman" w:hAnsi="Times New Roman" w:cs="Times New Roman"/>
          <w:sz w:val="28"/>
          <w:szCs w:val="28"/>
        </w:rPr>
        <w:t xml:space="preserve">- на капитальный ремонт объектов социальной и коммунальной </w:t>
      </w:r>
      <w:r w:rsidRPr="00503DA9">
        <w:rPr>
          <w:rFonts w:ascii="Times New Roman" w:hAnsi="Times New Roman" w:cs="Times New Roman"/>
          <w:sz w:val="28"/>
          <w:szCs w:val="28"/>
        </w:rPr>
        <w:t>инфраструктуры муниципальной собственности – 434,4 тыс. рублей;</w:t>
      </w:r>
    </w:p>
    <w:p w:rsidR="00503DA9" w:rsidRPr="00503DA9" w:rsidRDefault="00503DA9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DA9">
        <w:rPr>
          <w:rFonts w:ascii="Times New Roman" w:hAnsi="Times New Roman" w:cs="Times New Roman"/>
          <w:sz w:val="28"/>
          <w:szCs w:val="28"/>
        </w:rPr>
        <w:t>- на предоставление социальных выплат  молодым семьям – участникам основного мероприятия «Обеспечение жильем молодых семей» - 507,0 тыс. рублей;</w:t>
      </w:r>
    </w:p>
    <w:p w:rsidR="00E87B04" w:rsidRPr="0047670C" w:rsidRDefault="0047670C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670C">
        <w:rPr>
          <w:rFonts w:ascii="Times New Roman" w:hAnsi="Times New Roman" w:cs="Times New Roman"/>
          <w:sz w:val="28"/>
          <w:szCs w:val="28"/>
        </w:rPr>
        <w:t xml:space="preserve">-  </w:t>
      </w:r>
      <w:r w:rsidR="00E87B04" w:rsidRPr="0047670C">
        <w:rPr>
          <w:rFonts w:ascii="Times New Roman" w:hAnsi="Times New Roman" w:cs="Times New Roman"/>
          <w:sz w:val="28"/>
          <w:szCs w:val="28"/>
        </w:rPr>
        <w:t xml:space="preserve">улучшение жилищных условий граждан, проживающих в сельской местности, в т.ч. молодых семей в рамках ФЦП «Устойчивое развитие сельских территорий» и подпрограммы «Устойчивое развитие сельских территорий Вологодской области» ГП Развитие агропромышленного комплекса и потребительского рынка Вологодской области» - </w:t>
      </w:r>
      <w:r w:rsidRPr="0047670C">
        <w:rPr>
          <w:rFonts w:ascii="Times New Roman" w:hAnsi="Times New Roman" w:cs="Times New Roman"/>
          <w:sz w:val="28"/>
          <w:szCs w:val="28"/>
        </w:rPr>
        <w:t>3178,0</w:t>
      </w:r>
      <w:r w:rsidR="00E87B04" w:rsidRPr="0047670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7B04" w:rsidRPr="00C33B8C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B8C">
        <w:rPr>
          <w:rFonts w:ascii="Times New Roman" w:hAnsi="Times New Roman" w:cs="Times New Roman"/>
          <w:sz w:val="28"/>
          <w:szCs w:val="28"/>
        </w:rPr>
        <w:t xml:space="preserve">- на внедрение и (или) эксплуатацию аппаратно-программного комплекса «Безопасный город» - </w:t>
      </w:r>
      <w:r w:rsidR="00C33B8C">
        <w:rPr>
          <w:rFonts w:ascii="Times New Roman" w:hAnsi="Times New Roman" w:cs="Times New Roman"/>
          <w:sz w:val="28"/>
          <w:szCs w:val="28"/>
        </w:rPr>
        <w:t>4,8</w:t>
      </w:r>
      <w:r w:rsidRPr="00C33B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i/>
          <w:sz w:val="28"/>
          <w:szCs w:val="28"/>
        </w:rPr>
        <w:t xml:space="preserve">       Субвенции бюджетам</w:t>
      </w:r>
      <w:r w:rsidRPr="00E87B04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муниципальных образований поступили в сумме </w:t>
      </w:r>
      <w:r w:rsidR="002A34E3">
        <w:rPr>
          <w:rFonts w:ascii="Times New Roman" w:hAnsi="Times New Roman" w:cs="Times New Roman"/>
          <w:sz w:val="28"/>
          <w:szCs w:val="28"/>
        </w:rPr>
        <w:t>43421,0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A34E3">
        <w:rPr>
          <w:rFonts w:ascii="Times New Roman" w:hAnsi="Times New Roman" w:cs="Times New Roman"/>
          <w:sz w:val="28"/>
          <w:szCs w:val="28"/>
        </w:rPr>
        <w:t>63,4</w:t>
      </w:r>
      <w:r w:rsidRPr="00E87B04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2A34E3">
        <w:rPr>
          <w:rFonts w:ascii="Times New Roman" w:hAnsi="Times New Roman" w:cs="Times New Roman"/>
          <w:sz w:val="28"/>
          <w:szCs w:val="28"/>
        </w:rPr>
        <w:t>68477,2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25AD0" w:rsidRPr="00A50D9F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D9F">
        <w:rPr>
          <w:rFonts w:ascii="Times New Roman" w:hAnsi="Times New Roman" w:cs="Times New Roman"/>
          <w:sz w:val="28"/>
          <w:szCs w:val="28"/>
        </w:rPr>
        <w:t xml:space="preserve">Субвенция в сумме </w:t>
      </w:r>
      <w:r w:rsidR="000B7EF0">
        <w:rPr>
          <w:rFonts w:ascii="Times New Roman" w:hAnsi="Times New Roman" w:cs="Times New Roman"/>
          <w:sz w:val="28"/>
          <w:szCs w:val="28"/>
        </w:rPr>
        <w:t>43421,0</w:t>
      </w:r>
      <w:r w:rsidRPr="00A50D9F">
        <w:rPr>
          <w:rFonts w:ascii="Times New Roman" w:hAnsi="Times New Roman" w:cs="Times New Roman"/>
          <w:sz w:val="28"/>
          <w:szCs w:val="28"/>
        </w:rPr>
        <w:t xml:space="preserve"> тыс. рублей поступила в район на выполнение передаваемых полномочий субъектов РФ, в том числе: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B55A15">
        <w:rPr>
          <w:rFonts w:ascii="Times New Roman" w:hAnsi="Times New Roman" w:cs="Times New Roman"/>
          <w:sz w:val="28"/>
          <w:szCs w:val="28"/>
        </w:rPr>
        <w:t xml:space="preserve">- на осуществление отдельных  государственных  полномочий в сфере административных отношений – </w:t>
      </w:r>
      <w:r>
        <w:rPr>
          <w:rFonts w:ascii="Times New Roman" w:hAnsi="Times New Roman" w:cs="Times New Roman"/>
          <w:sz w:val="28"/>
          <w:szCs w:val="28"/>
        </w:rPr>
        <w:t>286,1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архивного дела – </w:t>
      </w:r>
      <w:r>
        <w:rPr>
          <w:rFonts w:ascii="Times New Roman" w:hAnsi="Times New Roman" w:cs="Times New Roman"/>
          <w:sz w:val="28"/>
          <w:szCs w:val="28"/>
        </w:rPr>
        <w:t>78,0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охраны окружающей среды – </w:t>
      </w:r>
      <w:r>
        <w:rPr>
          <w:rFonts w:ascii="Times New Roman" w:hAnsi="Times New Roman" w:cs="Times New Roman"/>
          <w:sz w:val="28"/>
          <w:szCs w:val="28"/>
        </w:rPr>
        <w:t>42,0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регулирование цен и тарифов – </w:t>
      </w:r>
      <w:r>
        <w:rPr>
          <w:rFonts w:ascii="Times New Roman" w:hAnsi="Times New Roman" w:cs="Times New Roman"/>
          <w:sz w:val="28"/>
          <w:szCs w:val="28"/>
        </w:rPr>
        <w:t>14,4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социальной поддержки детей,  обучающихся в муниципальных общеобразовательных учреждениях, из многодетных семей, приемных семей, имеющих в составе трех и более детей, в том числе родных, в части предоставления денежных выплат на проезд – </w:t>
      </w:r>
      <w:r>
        <w:rPr>
          <w:rFonts w:ascii="Times New Roman" w:hAnsi="Times New Roman" w:cs="Times New Roman"/>
          <w:sz w:val="28"/>
          <w:szCs w:val="28"/>
        </w:rPr>
        <w:t>427,5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B55A15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A15">
        <w:rPr>
          <w:rFonts w:ascii="Times New Roman" w:hAnsi="Times New Roman" w:cs="Times New Roman"/>
          <w:sz w:val="28"/>
          <w:szCs w:val="28"/>
        </w:rPr>
        <w:t xml:space="preserve">         - на обеспечение  выплаты денежной  компенсации  части родительской платы, взымаемой с родителей за содержание  детей в МОУ – </w:t>
      </w:r>
      <w:r>
        <w:rPr>
          <w:rFonts w:ascii="Times New Roman" w:hAnsi="Times New Roman" w:cs="Times New Roman"/>
          <w:sz w:val="28"/>
          <w:szCs w:val="28"/>
        </w:rPr>
        <w:t>525,0</w:t>
      </w:r>
      <w:r w:rsidRPr="00B55A1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581">
        <w:rPr>
          <w:rFonts w:ascii="Times New Roman" w:hAnsi="Times New Roman" w:cs="Times New Roman"/>
          <w:sz w:val="28"/>
          <w:szCs w:val="28"/>
        </w:rPr>
        <w:t xml:space="preserve">         - на обеспечение общеобразовательного процесса (з/плата </w:t>
      </w:r>
      <w:r>
        <w:rPr>
          <w:rFonts w:ascii="Times New Roman" w:hAnsi="Times New Roman" w:cs="Times New Roman"/>
          <w:sz w:val="28"/>
          <w:szCs w:val="28"/>
        </w:rPr>
        <w:t xml:space="preserve">основного, прочего персонала </w:t>
      </w:r>
      <w:r w:rsidRPr="00020581">
        <w:rPr>
          <w:rFonts w:ascii="Times New Roman" w:hAnsi="Times New Roman" w:cs="Times New Roman"/>
          <w:sz w:val="28"/>
          <w:szCs w:val="28"/>
        </w:rPr>
        <w:t xml:space="preserve"> и учебные расходы) – </w:t>
      </w:r>
      <w:r>
        <w:rPr>
          <w:rFonts w:ascii="Times New Roman" w:hAnsi="Times New Roman" w:cs="Times New Roman"/>
          <w:sz w:val="28"/>
          <w:szCs w:val="28"/>
        </w:rPr>
        <w:t>28688,6</w:t>
      </w:r>
      <w:r w:rsidRPr="0002058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F147F6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по организации и осуществлению деятельности по опеке и попечительству – 187,2 тыс. рублей;</w:t>
      </w:r>
    </w:p>
    <w:p w:rsidR="00325AD0" w:rsidRPr="00A14632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632">
        <w:rPr>
          <w:rFonts w:ascii="Times New Roman" w:hAnsi="Times New Roman" w:cs="Times New Roman"/>
          <w:sz w:val="28"/>
          <w:szCs w:val="28"/>
        </w:rPr>
        <w:t xml:space="preserve">         - на обеспечение питанием отдельных категорий учащихся – </w:t>
      </w:r>
      <w:r w:rsidR="00A14632">
        <w:rPr>
          <w:rFonts w:ascii="Times New Roman" w:hAnsi="Times New Roman" w:cs="Times New Roman"/>
          <w:sz w:val="28"/>
          <w:szCs w:val="28"/>
        </w:rPr>
        <w:t>870,5</w:t>
      </w:r>
      <w:r w:rsidRPr="00A146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A14632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632">
        <w:rPr>
          <w:rFonts w:ascii="Times New Roman" w:hAnsi="Times New Roman" w:cs="Times New Roman"/>
          <w:sz w:val="28"/>
          <w:szCs w:val="28"/>
        </w:rPr>
        <w:t xml:space="preserve">        - на осуществление отдельных  государственных  полномочий  по предоставлению денежной компенсации взамен  предоставления земельного участка гражданам, имеющим трех и более детей – </w:t>
      </w:r>
      <w:r w:rsidR="00A14632" w:rsidRPr="00A14632">
        <w:rPr>
          <w:rFonts w:ascii="Times New Roman" w:hAnsi="Times New Roman" w:cs="Times New Roman"/>
          <w:sz w:val="28"/>
          <w:szCs w:val="28"/>
        </w:rPr>
        <w:t>680,3</w:t>
      </w:r>
      <w:r w:rsidRPr="00A1463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98131D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- на обеспечение дошкольного образования детей в  муниципальных дошкольных образовательных организациях (заработная плата основного и прочего персонала, учебные расходы) -  </w:t>
      </w:r>
      <w:r w:rsidR="00AB1294">
        <w:rPr>
          <w:rFonts w:ascii="Times New Roman" w:hAnsi="Times New Roman" w:cs="Times New Roman"/>
          <w:sz w:val="28"/>
          <w:szCs w:val="28"/>
        </w:rPr>
        <w:t>10631,0</w:t>
      </w:r>
      <w:r w:rsidRPr="009813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98131D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межбюджетных отношений на выравнивание бюджетной обеспеченности  поселений – </w:t>
      </w:r>
      <w:r w:rsidR="0098131D" w:rsidRPr="0098131D">
        <w:rPr>
          <w:rFonts w:ascii="Times New Roman" w:hAnsi="Times New Roman" w:cs="Times New Roman"/>
          <w:sz w:val="28"/>
          <w:szCs w:val="28"/>
        </w:rPr>
        <w:t>351,8</w:t>
      </w:r>
      <w:r w:rsidRPr="009813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98131D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31D">
        <w:rPr>
          <w:rFonts w:ascii="Times New Roman" w:hAnsi="Times New Roman" w:cs="Times New Roman"/>
          <w:sz w:val="28"/>
          <w:szCs w:val="28"/>
        </w:rPr>
        <w:t xml:space="preserve">         - на осуществление отдельных  государственных  полномочий в сфере организации деятельности  многофункциональных центров – </w:t>
      </w:r>
      <w:r w:rsidR="0098131D" w:rsidRPr="0098131D">
        <w:rPr>
          <w:rFonts w:ascii="Times New Roman" w:hAnsi="Times New Roman" w:cs="Times New Roman"/>
          <w:sz w:val="28"/>
          <w:szCs w:val="28"/>
        </w:rPr>
        <w:t xml:space="preserve">412,9 </w:t>
      </w:r>
      <w:r w:rsidRPr="0098131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5AD0" w:rsidRPr="00F147F6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7F6">
        <w:rPr>
          <w:rFonts w:ascii="Times New Roman" w:hAnsi="Times New Roman" w:cs="Times New Roman"/>
          <w:sz w:val="28"/>
          <w:szCs w:val="28"/>
        </w:rPr>
        <w:t xml:space="preserve">           - составление списков кандидатов в  присяжные заседатели – 2,8 тыс. рублей;</w:t>
      </w:r>
    </w:p>
    <w:p w:rsidR="00325AD0" w:rsidRPr="00325AD0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25AD0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F147F6">
        <w:rPr>
          <w:rFonts w:ascii="Times New Roman" w:hAnsi="Times New Roman" w:cs="Times New Roman"/>
          <w:sz w:val="28"/>
          <w:szCs w:val="28"/>
        </w:rPr>
        <w:t xml:space="preserve">- на содержание и обучение детей с ограниченными возможностями здоровья, в том числе  детей - сирот и детей, оставшихся без попечения родителей за время пребывания в мун. образованиях  – </w:t>
      </w:r>
      <w:r w:rsidR="00F147F6" w:rsidRPr="00F147F6">
        <w:rPr>
          <w:rFonts w:ascii="Times New Roman" w:hAnsi="Times New Roman" w:cs="Times New Roman"/>
          <w:sz w:val="28"/>
          <w:szCs w:val="28"/>
        </w:rPr>
        <w:t>222,9</w:t>
      </w:r>
      <w:r w:rsidRPr="00F147F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25AD0" w:rsidRPr="00C9045B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C9045B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AB1294">
        <w:rPr>
          <w:rFonts w:ascii="Times New Roman" w:hAnsi="Times New Roman" w:cs="Times New Roman"/>
          <w:sz w:val="28"/>
          <w:szCs w:val="28"/>
        </w:rPr>
        <w:t>Суб</w:t>
      </w:r>
      <w:r w:rsidR="001E677E">
        <w:rPr>
          <w:rFonts w:ascii="Times New Roman" w:hAnsi="Times New Roman" w:cs="Times New Roman"/>
          <w:sz w:val="28"/>
          <w:szCs w:val="28"/>
        </w:rPr>
        <w:t>венции</w:t>
      </w:r>
      <w:r w:rsidRPr="00AB1294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 в сфере обеспечения санитарно-эпидемиологического благополучия населения, на осуществление отдельных    полномочий  по предупреждению и ликвидации болезней животных, защите населения от болезней, общих для человека и животных и на осуществление отдельных государственных полномочий в соответствии с Законом области от 17.12.2007  №1719-ОЗ (ЕДК пед. работникам) не поступали.</w:t>
      </w:r>
    </w:p>
    <w:p w:rsidR="00325AD0" w:rsidRPr="00BD5CA2" w:rsidRDefault="00325AD0" w:rsidP="003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3A3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BD5CA2">
        <w:rPr>
          <w:rFonts w:ascii="Times New Roman" w:hAnsi="Times New Roman" w:cs="Times New Roman"/>
          <w:sz w:val="28"/>
          <w:szCs w:val="28"/>
        </w:rPr>
        <w:t xml:space="preserve">Доля субвенций в общем объеме безвозмездных поступлений  составила </w:t>
      </w:r>
      <w:r>
        <w:rPr>
          <w:rFonts w:ascii="Times New Roman" w:hAnsi="Times New Roman" w:cs="Times New Roman"/>
          <w:sz w:val="28"/>
          <w:szCs w:val="28"/>
        </w:rPr>
        <w:t>56,2</w:t>
      </w:r>
      <w:r w:rsidRPr="00BD5CA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   </w:t>
      </w:r>
      <w:r w:rsidRPr="00E87B04">
        <w:rPr>
          <w:rFonts w:ascii="Times New Roman" w:hAnsi="Times New Roman" w:cs="Times New Roman"/>
          <w:i/>
          <w:sz w:val="28"/>
          <w:szCs w:val="28"/>
        </w:rPr>
        <w:t xml:space="preserve"> Иные межбюджетные трансферты</w:t>
      </w:r>
      <w:r w:rsidRPr="00E87B04">
        <w:rPr>
          <w:rFonts w:ascii="Times New Roman" w:hAnsi="Times New Roman" w:cs="Times New Roman"/>
          <w:sz w:val="28"/>
          <w:szCs w:val="28"/>
        </w:rPr>
        <w:t xml:space="preserve">  в 1 полугодии 201</w:t>
      </w:r>
      <w:r w:rsidR="004D53A1">
        <w:rPr>
          <w:rFonts w:ascii="Times New Roman" w:hAnsi="Times New Roman" w:cs="Times New Roman"/>
          <w:sz w:val="28"/>
          <w:szCs w:val="28"/>
        </w:rPr>
        <w:t>9</w:t>
      </w:r>
      <w:r w:rsidRPr="00E87B04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4D53A1">
        <w:rPr>
          <w:rFonts w:ascii="Times New Roman" w:hAnsi="Times New Roman" w:cs="Times New Roman"/>
          <w:sz w:val="28"/>
          <w:szCs w:val="28"/>
        </w:rPr>
        <w:t>483,1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D53A1">
        <w:rPr>
          <w:rFonts w:ascii="Times New Roman" w:hAnsi="Times New Roman" w:cs="Times New Roman"/>
          <w:sz w:val="28"/>
          <w:szCs w:val="28"/>
        </w:rPr>
        <w:t>45,7</w:t>
      </w:r>
      <w:r w:rsidRPr="00E87B04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4D53A1">
        <w:rPr>
          <w:rFonts w:ascii="Times New Roman" w:hAnsi="Times New Roman" w:cs="Times New Roman"/>
          <w:sz w:val="28"/>
          <w:szCs w:val="28"/>
        </w:rPr>
        <w:t>1057,9</w:t>
      </w:r>
      <w:r w:rsidRPr="00E87B04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933E0" w:rsidRPr="00111854" w:rsidRDefault="008933E0" w:rsidP="00893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i/>
          <w:sz w:val="28"/>
          <w:szCs w:val="28"/>
        </w:rPr>
        <w:t xml:space="preserve">         - </w:t>
      </w:r>
      <w:r w:rsidRPr="00111854">
        <w:rPr>
          <w:rFonts w:ascii="Times New Roman" w:hAnsi="Times New Roman" w:cs="Times New Roman"/>
          <w:sz w:val="28"/>
          <w:szCs w:val="28"/>
        </w:rPr>
        <w:t xml:space="preserve">на передаваемые полномочия  по осуществлению внешнего муниципального финансового контроля –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33E0" w:rsidRPr="00111854" w:rsidRDefault="008933E0" w:rsidP="00893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на передаваемые полномочия  по финансовому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за использованием бюджетных средств </w:t>
      </w:r>
      <w:r w:rsidRPr="0011185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23,8</w:t>
      </w:r>
      <w:r w:rsidRPr="0011185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33E0" w:rsidRDefault="008933E0" w:rsidP="00893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854">
        <w:rPr>
          <w:rFonts w:ascii="Times New Roman" w:hAnsi="Times New Roman" w:cs="Times New Roman"/>
          <w:sz w:val="28"/>
          <w:szCs w:val="28"/>
        </w:rPr>
        <w:t xml:space="preserve">         - на осуществление  полномочий  по составлению и рассмотрению проекта  бюджета 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– </w:t>
      </w:r>
      <w:r>
        <w:rPr>
          <w:rFonts w:ascii="Times New Roman" w:hAnsi="Times New Roman" w:cs="Times New Roman"/>
          <w:sz w:val="28"/>
          <w:szCs w:val="28"/>
        </w:rPr>
        <w:t>327,2 тыс. рублей;</w:t>
      </w:r>
    </w:p>
    <w:p w:rsidR="008933E0" w:rsidRPr="00111854" w:rsidRDefault="008933E0" w:rsidP="008933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 стимулирование органов местного самоуправления – 32,4 тыс. рублей.</w:t>
      </w:r>
    </w:p>
    <w:p w:rsidR="00E87B04" w:rsidRPr="00E87B04" w:rsidRDefault="00E87B04" w:rsidP="00CB06F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района проведен анализ объема задолженности плательщиков по налогам по состоянию на 01января и 01 июля 201</w:t>
      </w:r>
      <w:r w:rsidR="00CB06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июля 201</w:t>
      </w:r>
      <w:r w:rsidR="00CB06F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E87B04" w:rsidRPr="00E87B0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E87B04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тыс. руб.                                                                    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1D18DD" w:rsidRPr="00800207" w:rsidTr="00AF0CC6">
        <w:trPr>
          <w:trHeight w:val="1991"/>
        </w:trPr>
        <w:tc>
          <w:tcPr>
            <w:tcW w:w="3227" w:type="dxa"/>
          </w:tcPr>
          <w:p w:rsidR="001D18DD" w:rsidRPr="00800207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1D18DD" w:rsidRPr="00800207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</w:t>
            </w:r>
          </w:p>
          <w:p w:rsidR="001D18DD" w:rsidRPr="00800207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по состоянию на 01.01.2018 года</w:t>
            </w:r>
          </w:p>
          <w:p w:rsidR="001D18DD" w:rsidRPr="00800207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1D18DD" w:rsidRPr="00800207" w:rsidRDefault="001D18DD" w:rsidP="00AF0CC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01.01.2019 года</w:t>
            </w:r>
          </w:p>
        </w:tc>
        <w:tc>
          <w:tcPr>
            <w:tcW w:w="992" w:type="dxa"/>
          </w:tcPr>
          <w:p w:rsidR="001D18DD" w:rsidRPr="00800207" w:rsidRDefault="001D18DD" w:rsidP="001D18DD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.2018 года</w:t>
            </w:r>
          </w:p>
        </w:tc>
        <w:tc>
          <w:tcPr>
            <w:tcW w:w="1134" w:type="dxa"/>
          </w:tcPr>
          <w:p w:rsidR="001D18DD" w:rsidRPr="00800207" w:rsidRDefault="001D18DD" w:rsidP="00B243A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Объем задолженности плательщиков по состоянию на 01.0</w:t>
            </w:r>
            <w:r w:rsidR="00B243A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.2019 года</w:t>
            </w:r>
          </w:p>
        </w:tc>
        <w:tc>
          <w:tcPr>
            <w:tcW w:w="1134" w:type="dxa"/>
          </w:tcPr>
          <w:p w:rsidR="001D18DD" w:rsidRPr="00800207" w:rsidRDefault="001D18DD" w:rsidP="00AF0CC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  на 01.01.2019 года от 0.01.2018 года (+увеличение;- уменьшение</w:t>
            </w:r>
          </w:p>
        </w:tc>
        <w:tc>
          <w:tcPr>
            <w:tcW w:w="993" w:type="dxa"/>
          </w:tcPr>
          <w:p w:rsidR="001D18DD" w:rsidRPr="00800207" w:rsidRDefault="001D18DD" w:rsidP="00B243A1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Отклонение недоимки на 01.0</w:t>
            </w:r>
            <w:r w:rsidR="00B243A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.2019 года от 0</w:t>
            </w:r>
            <w:r w:rsidR="00B243A1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.0</w:t>
            </w:r>
            <w:r w:rsidR="00B243A1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r w:rsidRPr="00800207">
              <w:rPr>
                <w:rFonts w:ascii="Times New Roman" w:eastAsiaTheme="minorEastAsia" w:hAnsi="Times New Roman" w:cs="Times New Roman"/>
                <w:lang w:eastAsia="ru-RU"/>
              </w:rPr>
              <w:t>.2018 года (+-увеличение;- уменьшение)</w:t>
            </w:r>
          </w:p>
        </w:tc>
      </w:tr>
      <w:tr w:rsidR="001D18DD" w:rsidRPr="009F25FF" w:rsidTr="00AF0CC6">
        <w:trPr>
          <w:trHeight w:val="316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D18DD" w:rsidRPr="009F25FF" w:rsidRDefault="001D18DD" w:rsidP="00AF0CC6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D18DD" w:rsidRPr="009F25FF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1D18DD" w:rsidRPr="009F25FF" w:rsidRDefault="001D18DD" w:rsidP="00AF0CC6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F25F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1D18DD" w:rsidRPr="009F25FF" w:rsidTr="00AF0CC6">
        <w:trPr>
          <w:trHeight w:val="316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153,7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155,0</w:t>
            </w:r>
          </w:p>
        </w:tc>
        <w:tc>
          <w:tcPr>
            <w:tcW w:w="992" w:type="dxa"/>
          </w:tcPr>
          <w:p w:rsidR="001D18DD" w:rsidRPr="00954873" w:rsidRDefault="00FB2EAB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196,3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202,9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6,6</w:t>
            </w:r>
          </w:p>
        </w:tc>
      </w:tr>
      <w:tr w:rsidR="001D18DD" w:rsidRPr="009F25FF" w:rsidTr="00AF0CC6">
        <w:trPr>
          <w:trHeight w:val="632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совокупный доход, в том числе: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351,4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305,5</w:t>
            </w:r>
          </w:p>
        </w:tc>
        <w:tc>
          <w:tcPr>
            <w:tcW w:w="992" w:type="dxa"/>
          </w:tcPr>
          <w:p w:rsidR="001D18DD" w:rsidRPr="00954873" w:rsidRDefault="00FB2EAB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632,6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570,1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-45,9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-62,5</w:t>
            </w:r>
          </w:p>
        </w:tc>
      </w:tr>
      <w:tr w:rsidR="001D18DD" w:rsidRPr="009F25FF" w:rsidTr="00AF0CC6">
        <w:trPr>
          <w:trHeight w:val="1294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202,5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194,5</w:t>
            </w:r>
          </w:p>
        </w:tc>
        <w:tc>
          <w:tcPr>
            <w:tcW w:w="992" w:type="dxa"/>
          </w:tcPr>
          <w:p w:rsidR="001D18DD" w:rsidRPr="00954873" w:rsidRDefault="00954873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508,5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405,3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-8,0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-103,2</w:t>
            </w:r>
          </w:p>
        </w:tc>
      </w:tr>
      <w:tr w:rsidR="001D18DD" w:rsidRPr="009F25FF" w:rsidTr="00AF0CC6">
        <w:trPr>
          <w:trHeight w:val="1279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диный налог на вмененный доход для отдельных видов деятельности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144,3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97,4</w:t>
            </w:r>
          </w:p>
        </w:tc>
        <w:tc>
          <w:tcPr>
            <w:tcW w:w="992" w:type="dxa"/>
          </w:tcPr>
          <w:p w:rsidR="001D18DD" w:rsidRPr="00954873" w:rsidRDefault="00954873" w:rsidP="00954873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119,5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145,6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-46,9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26,1</w:t>
            </w:r>
          </w:p>
        </w:tc>
      </w:tr>
      <w:tr w:rsidR="001D18DD" w:rsidRPr="009F25FF" w:rsidTr="005E7FCA">
        <w:trPr>
          <w:trHeight w:val="1305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</w:t>
            </w:r>
            <w:r w:rsidRPr="00732CAF">
              <w:rPr>
                <w:rFonts w:ascii="Times New Roman" w:hAnsi="Times New Roman" w:cs="Times New Roman"/>
                <w:sz w:val="28"/>
                <w:szCs w:val="28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  <w:tc>
          <w:tcPr>
            <w:tcW w:w="992" w:type="dxa"/>
          </w:tcPr>
          <w:p w:rsidR="001D18DD" w:rsidRPr="00954873" w:rsidRDefault="00954873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4,6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5,6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9,0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</w:t>
            </w:r>
          </w:p>
        </w:tc>
      </w:tr>
      <w:tr w:rsidR="00174EDD" w:rsidRPr="009F25FF" w:rsidTr="005E7FCA">
        <w:trPr>
          <w:trHeight w:val="998"/>
        </w:trPr>
        <w:tc>
          <w:tcPr>
            <w:tcW w:w="3227" w:type="dxa"/>
          </w:tcPr>
          <w:p w:rsidR="00174EDD" w:rsidRPr="00732CAF" w:rsidRDefault="00174E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единый сельскохозяйственный налог</w:t>
            </w:r>
          </w:p>
        </w:tc>
        <w:tc>
          <w:tcPr>
            <w:tcW w:w="1134" w:type="dxa"/>
          </w:tcPr>
          <w:p w:rsidR="00174EDD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74EDD" w:rsidRPr="00732CAF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74EDD" w:rsidRPr="00954873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4E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  <w:tc>
          <w:tcPr>
            <w:tcW w:w="1134" w:type="dxa"/>
          </w:tcPr>
          <w:p w:rsidR="00174EDD" w:rsidRPr="00991200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174E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13,6</w:t>
            </w:r>
          </w:p>
        </w:tc>
      </w:tr>
      <w:tr w:rsidR="001D18DD" w:rsidRPr="009F25FF" w:rsidTr="00AF0CC6">
        <w:trPr>
          <w:trHeight w:val="250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D18DD" w:rsidRPr="00954873" w:rsidRDefault="00954873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18DD" w:rsidRPr="00991200" w:rsidRDefault="00C81EEC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-3,0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D18DD" w:rsidRPr="009F25FF" w:rsidTr="00AF0CC6">
        <w:trPr>
          <w:trHeight w:val="331"/>
        </w:trPr>
        <w:tc>
          <w:tcPr>
            <w:tcW w:w="3227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508,1</w:t>
            </w:r>
          </w:p>
        </w:tc>
        <w:tc>
          <w:tcPr>
            <w:tcW w:w="992" w:type="dxa"/>
          </w:tcPr>
          <w:p w:rsidR="001D18DD" w:rsidRPr="00732CAF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32CAF">
              <w:rPr>
                <w:rFonts w:ascii="Times New Roman" w:eastAsiaTheme="minorEastAsia" w:hAnsi="Times New Roman" w:cs="Times New Roman"/>
                <w:lang w:eastAsia="ru-RU"/>
              </w:rPr>
              <w:t>460,5</w:t>
            </w:r>
          </w:p>
        </w:tc>
        <w:tc>
          <w:tcPr>
            <w:tcW w:w="992" w:type="dxa"/>
          </w:tcPr>
          <w:p w:rsidR="001D18DD" w:rsidRPr="00954873" w:rsidRDefault="00FB2EAB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54873">
              <w:rPr>
                <w:rFonts w:ascii="Times New Roman" w:eastAsiaTheme="minorEastAsia" w:hAnsi="Times New Roman" w:cs="Times New Roman"/>
                <w:lang w:eastAsia="ru-RU"/>
              </w:rPr>
              <w:t>828,9</w:t>
            </w:r>
          </w:p>
        </w:tc>
        <w:tc>
          <w:tcPr>
            <w:tcW w:w="1134" w:type="dxa"/>
          </w:tcPr>
          <w:p w:rsidR="001D18DD" w:rsidRPr="00991200" w:rsidRDefault="00174E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773,0</w:t>
            </w:r>
          </w:p>
        </w:tc>
        <w:tc>
          <w:tcPr>
            <w:tcW w:w="1134" w:type="dxa"/>
          </w:tcPr>
          <w:p w:rsidR="001D18DD" w:rsidRPr="00991200" w:rsidRDefault="001D18DD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91200">
              <w:rPr>
                <w:rFonts w:ascii="Times New Roman" w:eastAsiaTheme="minorEastAsia" w:hAnsi="Times New Roman" w:cs="Times New Roman"/>
                <w:lang w:eastAsia="ru-RU"/>
              </w:rPr>
              <w:t>-47,6</w:t>
            </w:r>
          </w:p>
        </w:tc>
        <w:tc>
          <w:tcPr>
            <w:tcW w:w="993" w:type="dxa"/>
          </w:tcPr>
          <w:p w:rsidR="001D18DD" w:rsidRPr="009F25FF" w:rsidRDefault="00991200" w:rsidP="00AF0CC6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-55,9</w:t>
            </w:r>
          </w:p>
        </w:tc>
      </w:tr>
    </w:tbl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рамках вышеприведенного анализа  наблюдается  уменьшение   задолженности плательщиков по платежам в бюджет  в сравнении задолженности на 01.01.201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47,6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 При  сравнении задолженности по состоянию на 01.07.201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 произошло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снижение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E87B04" w:rsidRPr="00E87B04" w:rsidRDefault="00E87B04" w:rsidP="00E87B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AF0CC6">
        <w:rPr>
          <w:rFonts w:ascii="Times New Roman" w:hAnsi="Times New Roman" w:cs="Times New Roman"/>
          <w:sz w:val="28"/>
          <w:szCs w:val="28"/>
        </w:rPr>
        <w:t xml:space="preserve"> </w:t>
      </w:r>
      <w:r w:rsidR="00AF0CC6" w:rsidRPr="00732CAF">
        <w:rPr>
          <w:rFonts w:ascii="Times New Roman" w:hAnsi="Times New Roman" w:cs="Times New Roman"/>
          <w:sz w:val="28"/>
          <w:szCs w:val="28"/>
        </w:rPr>
        <w:t>взимаем</w:t>
      </w:r>
      <w:r w:rsidR="00AF0CC6">
        <w:rPr>
          <w:rFonts w:ascii="Times New Roman" w:hAnsi="Times New Roman" w:cs="Times New Roman"/>
          <w:sz w:val="28"/>
          <w:szCs w:val="28"/>
        </w:rPr>
        <w:t>ому</w:t>
      </w:r>
      <w:r w:rsidR="00AF0CC6" w:rsidRPr="00732CAF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доходы физических лиц на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103,2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E87B04" w:rsidRPr="00E87B04" w:rsidRDefault="00E87B04" w:rsidP="00E87B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F0C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AF0CC6" w:rsidRP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доходы физических лиц</w:t>
      </w:r>
      <w:r w:rsidR="00AF0C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AF0CC6"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F0CC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6,6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AF0CC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3,4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CC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%;</w:t>
      </w:r>
    </w:p>
    <w:p w:rsidR="00AF0CC6" w:rsidRDefault="00E87B04" w:rsidP="00E87B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увеличение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="00AF0CC6"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AF0CC6" w:rsidRPr="00732CAF">
        <w:rPr>
          <w:rFonts w:ascii="Times New Roman" w:hAnsi="Times New Roman" w:cs="Times New Roman"/>
          <w:sz w:val="28"/>
          <w:szCs w:val="28"/>
        </w:rPr>
        <w:t>дин</w:t>
      </w:r>
      <w:r w:rsidR="00AF0CC6">
        <w:rPr>
          <w:rFonts w:ascii="Times New Roman" w:hAnsi="Times New Roman" w:cs="Times New Roman"/>
          <w:sz w:val="28"/>
          <w:szCs w:val="28"/>
        </w:rPr>
        <w:t>ому</w:t>
      </w:r>
      <w:r w:rsidR="00AF0CC6" w:rsidRPr="00732CAF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F0CC6">
        <w:rPr>
          <w:rFonts w:ascii="Times New Roman" w:hAnsi="Times New Roman" w:cs="Times New Roman"/>
          <w:sz w:val="28"/>
          <w:szCs w:val="28"/>
        </w:rPr>
        <w:t>у</w:t>
      </w:r>
      <w:r w:rsidR="00AF0CC6" w:rsidRPr="00732CAF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26,1 тыс. рублей, или на 21,8%;</w:t>
      </w:r>
    </w:p>
    <w:p w:rsidR="00E87B04" w:rsidRDefault="00AF0CC6" w:rsidP="00E87B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F0C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E87B04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налогу</w:t>
      </w:r>
      <w:r w:rsidRPr="00732CAF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32CAF">
        <w:rPr>
          <w:rFonts w:ascii="Times New Roman" w:hAnsi="Times New Roman" w:cs="Times New Roman"/>
          <w:sz w:val="28"/>
          <w:szCs w:val="28"/>
        </w:rPr>
        <w:t>в связи с применением патентной системы налогообложения</w:t>
      </w:r>
      <w:r w:rsidR="00E87B04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="00E87B04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21,7 процента</w:t>
      </w:r>
      <w:r w:rsidR="00E87B04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0CC6" w:rsidRPr="00E87B04" w:rsidRDefault="00AF0CC6" w:rsidP="00E87B0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образовался долг по единому сельскохозяйственному  налогу на 13,6 тыс. рублей, или на 100,0 процентов.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E87B04" w:rsidRPr="00E87B04" w:rsidRDefault="00E87B04" w:rsidP="00E87B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июля  201</w:t>
      </w:r>
      <w:r w:rsidR="00145C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</w:t>
      </w:r>
      <w:r w:rsidRPr="00E8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налогу на совокупный доход </w:t>
      </w:r>
      <w:r w:rsidR="00145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73,8</w:t>
      </w:r>
      <w:r w:rsidRPr="00E8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 на втором и последнем месте 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 – </w:t>
      </w:r>
      <w:r w:rsidR="00145CEB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недоимки.</w:t>
      </w:r>
    </w:p>
    <w:p w:rsidR="00E87B04" w:rsidRDefault="00E87B04" w:rsidP="00E87B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E7FCA" w:rsidRPr="00E87B04" w:rsidRDefault="005E7FCA" w:rsidP="00E87B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87B04" w:rsidRPr="00E87B04" w:rsidRDefault="00E87B04" w:rsidP="005E7FCA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района.</w:t>
      </w:r>
      <w:r w:rsidR="005E7FCA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87B04" w:rsidRPr="00E87B04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района за 1 полугодие 201</w:t>
      </w:r>
      <w:r w:rsidR="00A8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A8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116214,7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</w:t>
      </w:r>
      <w:r w:rsidR="00A8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42,2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A83330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275693,</w:t>
      </w:r>
      <w:r w:rsidR="00A83330"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A83330"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</w:t>
      </w:r>
      <w:r w:rsidR="00381E33"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381E33"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12982,9</w:t>
      </w: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81E33"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12,6</w:t>
      </w: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87B04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района по расходам в сравнении с 1 полугодием 201</w:t>
      </w:r>
      <w:r w:rsidR="00656D0A">
        <w:rPr>
          <w:rFonts w:ascii="Times New Roman" w:hAnsi="Times New Roman" w:cs="Times New Roman"/>
          <w:sz w:val="28"/>
          <w:szCs w:val="28"/>
        </w:rPr>
        <w:t>8</w:t>
      </w:r>
      <w:r w:rsidRPr="00E87B04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87B04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87B04">
        <w:rPr>
          <w:rFonts w:ascii="Times New Roman" w:eastAsiaTheme="minorEastAsia" w:hAnsi="Times New Roman" w:cs="Times New Roman"/>
          <w:noProof/>
          <w:lang w:eastAsia="ru-RU"/>
        </w:rPr>
        <w:t xml:space="preserve">         тыс. руб.</w:t>
      </w:r>
    </w:p>
    <w:p w:rsidR="00E87B04" w:rsidRPr="00E87B04" w:rsidRDefault="00BC4F38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34C5F2D" wp14:editId="50BCB610">
            <wp:extent cx="6057900" cy="47625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7B04" w:rsidRPr="005E7FCA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E87B04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</w:t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356A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 за 1 полугодие 201</w:t>
      </w:r>
      <w:r w:rsidR="005E7FCA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района на социальную сферу составили </w:t>
      </w:r>
      <w:r w:rsidR="005E7FCA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83478,9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46,0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полугодием 201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на социальную сферу  увеличились  на 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10937,8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15,1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%),   их доля  в расходах бюджета района  так же увели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чилась с 70,3 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 </w:t>
      </w:r>
      <w:r w:rsidR="00F35D47"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71,8</w:t>
      </w:r>
      <w:r w:rsidRPr="00F35D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356A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района занимают расходы  по разделу «Образование» - 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55,1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«Общегосударственные вопросы» - 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16,5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«Культура и кинематография» - 8,6%, 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«Межбюджетные трансферты  общего характера бюджетам  субъектов РФ и муниципальных образований» - 7,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%,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 - 5,7%,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экономика» - </w:t>
      </w:r>
      <w:r w:rsidR="001B2ABB"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1B2A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- 1,7%, 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расходы по разделам</w:t>
      </w:r>
      <w:r w:rsid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«Здравоохранение»,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«ЖКХ», 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«Средства массовой информации» и  «Охрана окружаю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щей среды» приходится  всего </w:t>
      </w:r>
      <w:r w:rsid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1,6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356A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 расходов бюджета района за 1 полугодие  201</w:t>
      </w:r>
      <w:r w:rsidR="00D85898"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8589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F35D47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BAACB9" wp14:editId="6B596DA7">
            <wp:extent cx="6119495" cy="4542410"/>
            <wp:effectExtent l="0" t="0" r="14605" b="1079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356A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 расходы  производились по всем разделам, которые предусмотрены  решением о бюджете района. </w:t>
      </w:r>
    </w:p>
    <w:p w:rsidR="00E87B04" w:rsidRPr="00385DF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</w:t>
      </w:r>
      <w:r w:rsidR="00385DFD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«Образование», 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85DFD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Здравоохранение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</w:t>
      </w:r>
      <w:r w:rsidR="00385DFD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политика»,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«Физическая культура и спорт», «Средства массовой информации» и «Межбюджетные трансферты  общего характера бюджетам субъектов РФ и муниципальных образований уровень исполнения к годовым назначениям составил менее  50,0%,  в том числе:</w:t>
      </w:r>
    </w:p>
    <w:p w:rsidR="00E87B04" w:rsidRPr="00385DF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бщегосударственные вопросы</w:t>
      </w:r>
      <w:r w:rsid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45,6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E87B04" w:rsidRPr="00385DF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385DFD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</w:t>
      </w:r>
      <w:r w:rsid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385DFD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385DFD" w:rsidRPr="00385DFD" w:rsidRDefault="00385DFD" w:rsidP="00385DFD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«К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ультура и кинематография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19,9 </w:t>
      </w: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994AEE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994AEE"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994AEE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ациональная экономика</w:t>
      </w:r>
      <w:r w:rsid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- 17,1%;</w:t>
      </w:r>
      <w:r w:rsidR="00994AEE"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994AEE" w:rsidRPr="00994AEE" w:rsidRDefault="00994AEE" w:rsidP="00994AE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«Охрана окружающей среды»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8,8</w:t>
      </w: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E87B04" w:rsidRPr="00994AEE" w:rsidRDefault="00994AEE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87B04"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</w:t>
      </w:r>
      <w:r w:rsidR="00E87B04"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илищно-коммунальное хозяйство</w:t>
      </w: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87B04"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E87B04" w:rsidRPr="00994AEE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94A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эффективное использование бюджетных средств.</w:t>
      </w:r>
    </w:p>
    <w:p w:rsidR="00E87B0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4356A7" w:rsidRPr="004356A7" w:rsidRDefault="004356A7" w:rsidP="00994AE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381E33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1E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района по разделам приведены в таблице 5.</w:t>
      </w:r>
    </w:p>
    <w:p w:rsidR="00E87B04" w:rsidRPr="00381E33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381E33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381E33">
        <w:rPr>
          <w:rFonts w:ascii="Times New Roman" w:eastAsiaTheme="minorEastAsia" w:hAnsi="Times New Roman" w:cs="Times New Roman"/>
          <w:lang w:eastAsia="ru-RU"/>
        </w:rPr>
        <w:t>Таблица 5</w:t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</w:r>
      <w:r w:rsidRPr="00381E33">
        <w:rPr>
          <w:rFonts w:ascii="Times New Roman" w:eastAsiaTheme="minorEastAsia" w:hAnsi="Times New Roman" w:cs="Times New Roman"/>
          <w:lang w:eastAsia="ru-RU"/>
        </w:rPr>
        <w:tab/>
        <w:t xml:space="preserve">     </w:t>
      </w:r>
      <w:r w:rsidRPr="00381E33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381E33" w:rsidRPr="00381E33" w:rsidTr="00CE3D49">
        <w:trPr>
          <w:trHeight w:val="970"/>
        </w:trPr>
        <w:tc>
          <w:tcPr>
            <w:tcW w:w="2273" w:type="dxa"/>
          </w:tcPr>
          <w:p w:rsidR="00E87B04" w:rsidRPr="00381E33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E87B04" w:rsidRPr="00381E33" w:rsidRDefault="00E87B04" w:rsidP="004356A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4356A7" w:rsidRPr="00381E33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381E33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E87B04" w:rsidRPr="00381E33" w:rsidRDefault="00E87B04" w:rsidP="004356A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4356A7" w:rsidRPr="00381E33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E87B04" w:rsidRPr="00381E33" w:rsidRDefault="00E87B04" w:rsidP="004356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полугодии 201</w:t>
            </w:r>
            <w:r w:rsidR="004356A7" w:rsidRPr="00381E33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381E33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E87B04" w:rsidRPr="00381E33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E87B04" w:rsidRPr="00381E33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полугодии 201</w:t>
            </w:r>
            <w:r w:rsidR="004356A7" w:rsidRPr="00381E33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полугодия 201</w:t>
            </w:r>
            <w:r w:rsidR="004356A7" w:rsidRPr="00381E33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E87B04" w:rsidRPr="00381E33" w:rsidRDefault="00E87B04" w:rsidP="00E87B04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E87B04" w:rsidRPr="00381E33" w:rsidRDefault="00E87B04" w:rsidP="00E87B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E87B04" w:rsidRPr="00381E33" w:rsidRDefault="00E87B04" w:rsidP="004356A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4356A7" w:rsidRPr="00381E33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381E33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14865,9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42090,7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19209,3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45,6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4343,4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129,2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600,6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1280,8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531,6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41,5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-69,0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88,5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5166,6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25581,9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4373,3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17,1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-793,3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84,6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1852,8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9008,3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113,4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1,3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-1739,4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6,1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Охрана окружающей среды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22,0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126,0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11,1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8,8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-10,9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50,4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58710,1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116543,5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64054,0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55,0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5343,9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109,1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7210,7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50265,6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10006,5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19,9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2795,8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138,8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 xml:space="preserve">Здравоохранение 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64,9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924,8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771,1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83,4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706,2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в 11,9 раза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4785,8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10066,6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6652,3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66,1</w:t>
            </w:r>
          </w:p>
        </w:tc>
        <w:tc>
          <w:tcPr>
            <w:tcW w:w="1344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1866,5</w:t>
            </w:r>
          </w:p>
        </w:tc>
        <w:tc>
          <w:tcPr>
            <w:tcW w:w="1212" w:type="dxa"/>
          </w:tcPr>
          <w:p w:rsidR="00AE67B6" w:rsidRPr="00381E33" w:rsidRDefault="009F3F31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139,0</w:t>
            </w:r>
          </w:p>
        </w:tc>
      </w:tr>
      <w:tr w:rsidR="00381E33" w:rsidRPr="00381E33" w:rsidTr="00CE3D49">
        <w:trPr>
          <w:trHeight w:val="540"/>
        </w:trPr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1769,6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3671,4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1995,0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54,3</w:t>
            </w:r>
          </w:p>
        </w:tc>
        <w:tc>
          <w:tcPr>
            <w:tcW w:w="1344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225,4</w:t>
            </w:r>
          </w:p>
        </w:tc>
        <w:tc>
          <w:tcPr>
            <w:tcW w:w="1212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112,7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Средства массовой информации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320,7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650,0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325,0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50,0</w:t>
            </w:r>
          </w:p>
        </w:tc>
        <w:tc>
          <w:tcPr>
            <w:tcW w:w="1344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4,3</w:t>
            </w:r>
          </w:p>
        </w:tc>
        <w:tc>
          <w:tcPr>
            <w:tcW w:w="1212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101,3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7862,1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15483,5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8172,1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52,8</w:t>
            </w:r>
          </w:p>
        </w:tc>
        <w:tc>
          <w:tcPr>
            <w:tcW w:w="1344" w:type="dxa"/>
          </w:tcPr>
          <w:p w:rsidR="00AE67B6" w:rsidRPr="00381E33" w:rsidRDefault="004A4955" w:rsidP="00E87B04">
            <w:pPr>
              <w:tabs>
                <w:tab w:val="left" w:pos="0"/>
                <w:tab w:val="left" w:pos="1128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310,0</w:t>
            </w:r>
          </w:p>
        </w:tc>
        <w:tc>
          <w:tcPr>
            <w:tcW w:w="1212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lang w:eastAsia="ru-RU"/>
              </w:rPr>
              <w:t>103,9</w:t>
            </w:r>
          </w:p>
        </w:tc>
      </w:tr>
      <w:tr w:rsidR="00381E33" w:rsidRPr="00381E33" w:rsidTr="00CE3D49">
        <w:tc>
          <w:tcPr>
            <w:tcW w:w="227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103231,8</w:t>
            </w:r>
          </w:p>
        </w:tc>
        <w:tc>
          <w:tcPr>
            <w:tcW w:w="1323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275693,1</w:t>
            </w:r>
          </w:p>
        </w:tc>
        <w:tc>
          <w:tcPr>
            <w:tcW w:w="1212" w:type="dxa"/>
          </w:tcPr>
          <w:p w:rsidR="00AE67B6" w:rsidRPr="00381E33" w:rsidRDefault="00AE67B6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116214,7</w:t>
            </w:r>
          </w:p>
        </w:tc>
        <w:tc>
          <w:tcPr>
            <w:tcW w:w="1277" w:type="dxa"/>
          </w:tcPr>
          <w:p w:rsidR="00AE67B6" w:rsidRPr="00381E33" w:rsidRDefault="00AE67B6" w:rsidP="0067790E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42,2</w:t>
            </w:r>
          </w:p>
        </w:tc>
        <w:tc>
          <w:tcPr>
            <w:tcW w:w="1344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12982,9</w:t>
            </w:r>
          </w:p>
        </w:tc>
        <w:tc>
          <w:tcPr>
            <w:tcW w:w="1212" w:type="dxa"/>
          </w:tcPr>
          <w:p w:rsidR="00AE67B6" w:rsidRPr="00381E33" w:rsidRDefault="004A4955" w:rsidP="00E87B04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81E33">
              <w:rPr>
                <w:rFonts w:ascii="Times New Roman" w:eastAsiaTheme="minorEastAsia" w:hAnsi="Times New Roman" w:cs="Times New Roman"/>
                <w:b/>
                <w:lang w:eastAsia="ru-RU"/>
              </w:rPr>
              <w:t>112,6</w:t>
            </w:r>
          </w:p>
        </w:tc>
      </w:tr>
    </w:tbl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356A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E87B04" w:rsidRPr="00450BF3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450B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50B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«Общегосударственные вопросы»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19209,3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45,6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42090,7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4343,4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29,2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E87B04" w:rsidRPr="0064041B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Расходы по подразделу </w:t>
      </w:r>
      <w:r w:rsidRPr="0064041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общегосударственные вопросы»</w:t>
      </w: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7152,9</w:t>
      </w: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т.ч.:</w:t>
      </w:r>
    </w:p>
    <w:p w:rsidR="0064041B" w:rsidRPr="009D0E75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государственную поддержку некоммерческим организациям – </w:t>
      </w:r>
      <w:r w:rsidR="009D0E75" w:rsidRP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126,2</w:t>
      </w:r>
      <w:r w:rsidRP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4041B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распоряжение, владение  муниципальным имуществом – 320,9 тыс. рублей;</w:t>
      </w:r>
    </w:p>
    <w:p w:rsidR="0064041B" w:rsidRPr="0064041B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600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</w:t>
      </w:r>
      <w:r w:rsidR="00F6002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имущества – 127,7 тыс. рублей;</w:t>
      </w:r>
    </w:p>
    <w:p w:rsidR="0064041B" w:rsidRPr="004A6931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041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субсидии для  обеспечения муниципального задания  МБУ «Многофункциональный центр предоставления государственных и 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муниципальных услуг» - 658,6 тыс. рублей;</w:t>
      </w:r>
    </w:p>
    <w:p w:rsidR="0064041B" w:rsidRPr="004A6931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 содержание  казенного учреждения  «Центр обеспечения деятельности учреждений бюджетной сферы» - </w:t>
      </w:r>
      <w:r w:rsidR="004A6931"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1834,2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64041B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содержание казенного учреждения «Центр бюджетного учета и отчетности» - 3381,4 тыс. рублей;</w:t>
      </w:r>
    </w:p>
    <w:p w:rsidR="004A6931" w:rsidRDefault="004A6931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600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взносы в Ассоциацию – 41,2 тыс. рублей;</w:t>
      </w:r>
    </w:p>
    <w:p w:rsidR="004A6931" w:rsidRPr="004A6931" w:rsidRDefault="004A6931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F6002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иные  межбюджетные трансферты поселению Туровецкое</w:t>
      </w:r>
      <w:r w:rsid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приобретения автомашины – 650,0 тыс. рублей;</w:t>
      </w:r>
    </w:p>
    <w:p w:rsidR="0064041B" w:rsidRPr="004A6931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мероприятия по развитию туризма – </w:t>
      </w:r>
      <w:r w:rsidR="004A6931"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4A69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041B" w:rsidRPr="0064041B" w:rsidRDefault="0064041B" w:rsidP="0064041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4041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9D0E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по  разделу «Резервные фонды» не проводились в связи с не востребованностью.</w:t>
      </w:r>
    </w:p>
    <w:p w:rsidR="00E87B04" w:rsidRPr="004356A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450BF3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0B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50BF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450BF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531,6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41,5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1280,8 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 По сравнению с 1 полугодием   201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снизились 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69,0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450BF3"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11,5</w:t>
      </w:r>
      <w:r w:rsidRPr="00450BF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87B04" w:rsidRPr="0080252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по подразделу </w:t>
      </w:r>
      <w:r w:rsidRPr="008025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«Защита населения и территорий от чрезвычайных ситуаций природного и техногенного характера, гражданская оборона» </w:t>
      </w: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80252D"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525,0</w:t>
      </w: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содержание работников ЕДДС. </w:t>
      </w:r>
    </w:p>
    <w:p w:rsidR="00261986" w:rsidRPr="004774E0" w:rsidRDefault="00E87B04" w:rsidP="0026198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80252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национальной безопасности»</w:t>
      </w: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80252D"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6,6</w:t>
      </w:r>
      <w:r w:rsidRPr="00802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том числе </w:t>
      </w:r>
      <w:r w:rsidR="00261986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софинансирование мероприятий по внедрению аппаратно-программного комплекса «Безопасный город»</w:t>
      </w:r>
      <w:r w:rsid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-1,8 тыс. рублей</w:t>
      </w:r>
      <w:r w:rsidR="00261986" w:rsidRPr="00ED39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B052A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052AD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«Национальная экономика»</w:t>
      </w:r>
      <w:r w:rsidRPr="00B052A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</w:t>
      </w:r>
      <w:r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4373,3</w:t>
      </w:r>
      <w:r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на  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17,1</w:t>
      </w:r>
      <w:r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25581,9</w:t>
      </w:r>
      <w:r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61986" w:rsidRPr="00261986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19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 подразделу «Общеэкономические вопросы»</w:t>
      </w:r>
      <w:r w:rsidRP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261986" w:rsidRP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75,6</w:t>
      </w:r>
      <w:r w:rsidRP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организаци</w:t>
      </w:r>
      <w:r w:rsidR="00261986" w:rsidRPr="002619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летней занятости подростков.</w:t>
      </w:r>
    </w:p>
    <w:p w:rsidR="00E87B04" w:rsidRPr="00C36B90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подразделу «</w:t>
      </w:r>
      <w:r w:rsidRPr="00C36B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Транспорт»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261986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372,8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из них, на возмещение убытков от потерь в доходах транспортными организациями и индивидуальными предпринимателями, осуществляющими перевозки автомобильным транспортом –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292,2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 водным транспортом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80,6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C36B9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«Дорожное хозяйство»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3804,0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содержание автомобильных дорог общего пользования –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2647,7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 устройство ледовой переправы за счет средств дорожного фонда  –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525,5 тыс. рублей, на противопаводковые мероприятия – 14,3 тыс. рублей,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осуществление полномочий в сфере дорожной деятельности за счет иных межбюджетных трансфертов – </w:t>
      </w:r>
      <w:r w:rsidR="00C36B90"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>616,5</w:t>
      </w:r>
      <w:r w:rsidRPr="00C36B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7E0150" w:rsidRPr="007E0150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7E015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национальной экономики»</w:t>
      </w: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</w:t>
      </w:r>
      <w:r w:rsidR="00C36B9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120,9</w:t>
      </w: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</w:t>
      </w:r>
      <w:r w:rsidR="00625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т. числе:</w:t>
      </w:r>
      <w:r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015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софинансирование  мероприятий по развитию мобильной торговли 117,3 тыс. рублей, из них 5,9</w:t>
      </w:r>
      <w:r w:rsidR="00625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E015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</w:t>
      </w:r>
      <w:r w:rsidR="006254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7E015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111,4 тыс. рублей субсидия, на организацию семинара для начинающих предпринимателей – 1,8 тыс. рублей и на  организацию и привлечение субъектов малого и</w:t>
      </w:r>
      <w:r w:rsid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E015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среднего предпринимательства к участию в облас</w:t>
      </w:r>
      <w:r w:rsid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="007E0150" w:rsidRPr="007E01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выставках, ярмарках и конкурсах – 1,8 тыс. рублей.</w:t>
      </w:r>
    </w:p>
    <w:p w:rsidR="00E87B04" w:rsidRPr="006E6A87" w:rsidRDefault="007E0150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87B04"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E87B04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201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E87B04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="00E87B04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 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793,3</w:t>
      </w:r>
      <w:r w:rsidR="00E87B04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B052AD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15,4</w:t>
      </w:r>
      <w:r w:rsidR="00E87B04" w:rsidRPr="00B052AD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E87B04" w:rsidRPr="0086198A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по данному разделу  ниже 50,0 % 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как  по подразделу 0408 «Транспорт»  работа по перевозке катером началась в</w:t>
      </w:r>
      <w:r w:rsidR="009C4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более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поздн</w:t>
      </w:r>
      <w:r w:rsidR="009C40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период 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чем планировалось, также  по подразделу 0</w:t>
      </w:r>
      <w:r w:rsid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09 «Дорожное хозяйство (дорожные фонды)</w:t>
      </w:r>
      <w:r w:rsid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мероприятия </w:t>
      </w:r>
      <w:r w:rsidR="0086198A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ремонт</w:t>
      </w:r>
      <w:r w:rsidR="0086198A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EF6007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автомобильных дорог </w:t>
      </w:r>
      <w:r w:rsidR="0086198A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счет  субсидии областного бюджета планируются во втором полугодии 2019 года</w:t>
      </w:r>
      <w:r w:rsid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подразделу 0412 «Другие вопросы в области национальной экономики»  мероприятия также запланированы во втором полугодии 2019 года</w:t>
      </w:r>
      <w:r w:rsidR="0086198A" w:rsidRPr="008619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EB35CE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5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«Жилищно-коммунальное хозяйство»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113,4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9008,3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480A1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«Жилищное хозяйство»</w:t>
      </w:r>
      <w:r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80A18"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102,3</w:t>
      </w:r>
      <w:r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из них на взносы в некоммерческую организации «Фонд капитального ремонта» - </w:t>
      </w:r>
      <w:r w:rsidR="00480A18"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99,2</w:t>
      </w:r>
      <w:r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мероприятия по капитальному ремонту муниципального жилищного фонда – </w:t>
      </w:r>
      <w:r w:rsidR="00480A18"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>3,1 тыс. рублей</w:t>
      </w:r>
      <w:r w:rsidRPr="00480A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87B04" w:rsidRPr="00EB76FA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7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</w:t>
      </w:r>
      <w:r w:rsidRPr="00EB76F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«Коммунальное хозяйство»</w:t>
      </w:r>
      <w:r w:rsidRPr="00EB7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EB76FA" w:rsidRPr="00EB7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11,2</w:t>
      </w:r>
      <w:r w:rsidRPr="00EB76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на </w:t>
      </w:r>
      <w:r w:rsidR="00EB76FA" w:rsidRPr="00EB76F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техосмотр газовых сетей;</w:t>
      </w:r>
    </w:p>
    <w:p w:rsidR="00E87B04" w:rsidRPr="006F4F5B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4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подразделу «Благоустройство»  расходы не </w:t>
      </w:r>
      <w:r w:rsidR="006F4F5B" w:rsidRPr="006F4F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планировались.</w:t>
      </w:r>
    </w:p>
    <w:p w:rsidR="00E87B04" w:rsidRPr="006F4F5B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6F4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 расходов ниже 50,0% связано с тем, что по подразделу «Коммунальное хозяйство»  мероприятия планируются во 3 и 4 кварталах 201</w:t>
      </w:r>
      <w:r w:rsidR="006F4F5B" w:rsidRPr="006F4F5B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F4F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E87B04" w:rsidRPr="00023AE6" w:rsidRDefault="00E87B04" w:rsidP="00023AE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 с 1 полугодием   201</w:t>
      </w:r>
      <w:r w:rsidR="006F4F5B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существенно изменились, их снижение составило </w:t>
      </w:r>
      <w:r w:rsidR="00EB35CE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1739,4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EB35CE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93,9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Данное снижение связано с тем, что в 1 полугодии  201</w:t>
      </w:r>
      <w:r w:rsidR="006F4F5B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бюджетные ассигнования в сумме    </w:t>
      </w:r>
      <w:r w:rsidR="006F4F5B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1500,0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были направлены на </w:t>
      </w:r>
      <w:r w:rsidR="006F4F5B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приобретение жилого дома для  врача общей практики в п. Туровец</w:t>
      </w:r>
      <w:r w:rsidR="00023AE6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</w:t>
      </w:r>
      <w:r w:rsidR="00023AE6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</w:t>
      </w:r>
      <w:r w:rsidR="00023AE6"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такие расходы отсутствуют</w:t>
      </w:r>
      <w:r w:rsidRP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B35CE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5C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«Охрана окружающей среды» - 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составили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11,1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8,8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126,0</w:t>
      </w:r>
      <w:r w:rsid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 подписку периодических изданий – 1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023A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на приобретение расходных материалов для субботника – 1,1 тыс. рублей.</w:t>
      </w:r>
    </w:p>
    <w:p w:rsidR="00E87B04" w:rsidRPr="00EB35CE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201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EB35CE"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снизились на 10,9 тыс. рублей (49,6%)</w:t>
      </w:r>
      <w:r w:rsidRPr="00EB35C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7B04" w:rsidRPr="00712BE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712BE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2BE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712BE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«Образование»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составили  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64054,0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116543,5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5343,9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712BE4"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>9,1</w:t>
      </w:r>
      <w:r w:rsidRPr="00712B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933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«Дошкольное образование»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 </w:t>
      </w:r>
      <w:r w:rsidR="00EB215C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12301,4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57,2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18,4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 Расходы производились на содержание дошкольных образовательных учреждений, в том числе  за счет субвенций в сумме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10631,0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E9338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9338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«Общее образование»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44168,7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54,9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69,1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«Образование». Расходы производились на содержание школ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групп дошкольного воспитания при школах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учреждений дополнительного образования детей –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43075,3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субвенции на обеспечение образовательного процесса –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28688,6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 на обеспечение питанием школьников – 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870,5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E93389"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 обучение детей с ограниченными возможностями – 222,9 тыс. рублей</w:t>
      </w:r>
      <w:r w:rsidRPr="00E933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7B04" w:rsidRPr="000B2A2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0B2A2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«Дополнительное образование»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составили 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4322,3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54,7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6,8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общих расходов раздела «Образование». Расходы проводились на содержание  учреждений дополнительного образования детей.</w:t>
      </w:r>
    </w:p>
    <w:p w:rsidR="000B2A24" w:rsidRPr="000B2A24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0B2A2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«Молодежная политика и оздоровление детей»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214,6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0,2 % от общих расходов раздела «Образование». Расходы производились 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проведение  мероприятия  по молодежной политике – 9,9 тыс. рублей и </w:t>
      </w:r>
      <w:r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организацию и обеспечение летнего  отдыха– </w:t>
      </w:r>
      <w:r w:rsidR="000B2A24" w:rsidRPr="000B2A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204,7 тыс. рублей.</w:t>
      </w:r>
    </w:p>
    <w:p w:rsidR="00E87B04" w:rsidRPr="00FF32A5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FF32A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образования»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3047,0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47,7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 или 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,5 % от общих расходов раздела «Образование». Расходы производились на содержание отдела образования района  - 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905,8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 и казенного учреждения  «Центр обеспечения деятельности учреждений бюджетной сферы» 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FF32A5"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2141,2</w:t>
      </w:r>
      <w:r w:rsidRP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7F25F8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5F8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«Культура и  кинематография»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10006,5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19,9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к годовым назначениям в сумме 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50265,6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2795,8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7F25F8"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38,8%</w:t>
      </w:r>
      <w:r w:rsidRPr="007F25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). </w:t>
      </w:r>
    </w:p>
    <w:p w:rsidR="00FF32A5" w:rsidRPr="00440A58" w:rsidRDefault="00E87B04" w:rsidP="00FF32A5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B345AE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«Культура»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10006,5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19,9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 100 % от общих расходов раздела «Культура и кинематография». 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производились на содержание учреждений МБУК « Междуреченская ЦБС» в сумме 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2951,6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МБУК «Междуреченский музей» - 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913,9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МБУК «Центр культурного развития» - 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4994,8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 </w:t>
      </w:r>
      <w:r w:rsidR="00076B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«Центр обеспечения деятельности учреждений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сферы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FF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1146,2</w:t>
      </w:r>
      <w:r w:rsidR="00FF32A5" w:rsidRPr="002B63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25479" w:rsidRDefault="00FF32A5" w:rsidP="0062547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Исполнение расходов ниже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50,0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% связано с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ем, что по подразделу «Культура, 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кинематография»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капитальный ремонт Дома культуры</w:t>
      </w:r>
      <w:r w:rsidR="0010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с.</w:t>
      </w:r>
      <w:r w:rsidR="0062547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Шуйское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заключен муниципальный контракт от 22.04.2019 года с ООО «Конструктор»  на сумму 17368,2 тыс. рублей, срок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исполнения 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контракта 31.08.2019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работы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по которому будут провод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ся во втором и третьем кварталах 2019 года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также на дополнительные работы по ремонт</w:t>
      </w:r>
      <w:r w:rsidR="0010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Дом</w:t>
      </w:r>
      <w:r w:rsidR="0010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культур</w:t>
      </w:r>
      <w:r w:rsidR="00103EF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района предусмотрены средства из бюджета района на сумму 991,5 тыс. рублей, работы по которым будут выполнены также во второй половине 2019 года</w:t>
      </w:r>
      <w:r w:rsidRPr="00550C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E87B04" w:rsidRPr="006E6A8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B345A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«Здравоохранение»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771,1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83,4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924,8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полугодием 201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706,2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11,9 раза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E87B04" w:rsidRPr="00625479" w:rsidRDefault="00E87B04" w:rsidP="00625479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EC6DC3">
        <w:rPr>
          <w:rFonts w:ascii="Times New Roman" w:hAnsi="Times New Roman" w:cs="Times New Roman"/>
          <w:sz w:val="28"/>
          <w:szCs w:val="28"/>
        </w:rPr>
        <w:t xml:space="preserve">Расходы проведены в </w:t>
      </w:r>
      <w:r w:rsidR="00103EFC" w:rsidRPr="00EC6DC3">
        <w:rPr>
          <w:rFonts w:ascii="Times New Roman" w:hAnsi="Times New Roman" w:cs="Times New Roman"/>
          <w:sz w:val="28"/>
          <w:szCs w:val="28"/>
        </w:rPr>
        <w:t>рамках мероприятий муниципальной программы  «Устойчивое развитие сельских территорий»</w:t>
      </w:r>
      <w:r w:rsidR="00EC6DC3" w:rsidRPr="00EC6DC3">
        <w:rPr>
          <w:rFonts w:ascii="Times New Roman" w:hAnsi="Times New Roman" w:cs="Times New Roman"/>
          <w:sz w:val="28"/>
          <w:szCs w:val="28"/>
        </w:rPr>
        <w:t xml:space="preserve"> на проектно-сметную документацию </w:t>
      </w:r>
      <w:r w:rsidR="0013573C">
        <w:rPr>
          <w:rFonts w:ascii="Times New Roman" w:hAnsi="Times New Roman" w:cs="Times New Roman"/>
          <w:sz w:val="28"/>
          <w:szCs w:val="28"/>
        </w:rPr>
        <w:tab/>
        <w:t>по</w:t>
      </w:r>
      <w:r w:rsidR="00EC6DC3" w:rsidRPr="00EC6DC3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13573C">
        <w:rPr>
          <w:rFonts w:ascii="Times New Roman" w:hAnsi="Times New Roman" w:cs="Times New Roman"/>
          <w:sz w:val="28"/>
          <w:szCs w:val="28"/>
        </w:rPr>
        <w:t>у</w:t>
      </w:r>
      <w:r w:rsidR="00EC6DC3" w:rsidRPr="00EC6DC3">
        <w:rPr>
          <w:rFonts w:ascii="Times New Roman" w:hAnsi="Times New Roman" w:cs="Times New Roman"/>
          <w:sz w:val="28"/>
          <w:szCs w:val="28"/>
        </w:rPr>
        <w:t xml:space="preserve"> ФАПа в д. Имугницево.</w:t>
      </w:r>
    </w:p>
    <w:p w:rsidR="00E87B04" w:rsidRPr="00B345AE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5AE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«Социальная политика»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6652,3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66,1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10066,6 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у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225,4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345AE"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B345A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 </w:t>
      </w:r>
    </w:p>
    <w:p w:rsidR="00E87B04" w:rsidRPr="003A551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EC6D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«Пенсионное обеспечение»</w:t>
      </w: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103EFC"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404,1</w:t>
      </w: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D0A05"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>48,4</w:t>
      </w: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EC6D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производились на выплату доплаты к пенсиям муниципальных служащих</w:t>
      </w: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87B04" w:rsidRPr="003A551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3A551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«Социальное обеспечение»</w:t>
      </w: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3A5519"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5712,0</w:t>
      </w: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3A5519"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71,4</w:t>
      </w: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85,9</w:t>
      </w:r>
      <w:r w:rsidRPr="003A55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производились на:</w:t>
      </w:r>
    </w:p>
    <w:p w:rsidR="00DA2305" w:rsidRPr="007A69DD" w:rsidRDefault="00DA2305" w:rsidP="00DA2305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выплату единовременной денежной компенсации специалистам, работающим и проживающим в сельской местности 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741,3</w:t>
      </w:r>
      <w:r w:rsidRPr="007A69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DA2305" w:rsidRDefault="00DA2305" w:rsidP="00DA23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A69D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- социальную поддержку детей-сирот и детей из многодетных семей в сумме 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321,4 тыс. рублей;</w:t>
      </w:r>
    </w:p>
    <w:p w:rsidR="0013573C" w:rsidRDefault="0013573C" w:rsidP="00DA23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- обеспечение жильем молодых семей по муниципальной программе – 633,8 тыс. рублей;</w:t>
      </w:r>
    </w:p>
    <w:p w:rsidR="00DA2305" w:rsidRPr="007A69DD" w:rsidRDefault="00DA2305" w:rsidP="00DA23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- улучшение жилищных условий граждан, проживающих в сельской местности в соответствии муниципальной программой «Устойчивое развитие сельских территорий» - 3345,3 тыс. рублей;</w:t>
      </w:r>
    </w:p>
    <w:p w:rsidR="00E87B04" w:rsidRPr="00253711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A2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DA2305" w:rsidRPr="00DA23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выплаты взамен предоставления земельного участка гражданам, имеющим трех и </w:t>
      </w:r>
      <w:r w:rsidR="00DA2305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более детей – 670,2 тыс. рублей.</w:t>
      </w:r>
    </w:p>
    <w:p w:rsidR="00E87B04" w:rsidRPr="00253711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25371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«Охрана семьи и детства»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="00DA2305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446,</w:t>
      </w:r>
      <w:r w:rsidR="00135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A2305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42,5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DA2305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политика», расходы осуществлялись</w:t>
      </w:r>
      <w:r w:rsidR="00253711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компенсацию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содержание ребенка в муниципальных образовательных учреждениях в сумме </w:t>
      </w:r>
      <w:r w:rsidR="00253711"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>446,</w:t>
      </w:r>
      <w:r w:rsidR="001357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2537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9307A2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по подразделу </w:t>
      </w:r>
      <w:r w:rsidRPr="009307A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«Другие вопросы в области социальной политики»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 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90,0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(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или 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общих расходов раздела «Социальная политика». Расходы проводились на  поддержку общественной организации инвалидов в сумме  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90,0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0531A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1355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«Физическая культура и спорт»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1995,0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54,3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3671,4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полугодием 201</w:t>
      </w:r>
      <w:r w:rsidR="0013558C"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13558C"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225,4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3558C"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E87B04" w:rsidRPr="000531A1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Расходы производились на  содержание МБУ ФОК «Сухона» в сумме </w:t>
      </w:r>
      <w:r w:rsidR="000531A1"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1902,1 тыс. рублей 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на проведение  спортивных мероприятий в сумме </w:t>
      </w:r>
      <w:r w:rsidR="000531A1"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 w:rsidRPr="00053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13558C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355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«Средства массовой информации»</w:t>
      </w:r>
      <w:r w:rsidRPr="001355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325,0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50,0 % к годовым назначениям. По сравнению с 1 полугодием  201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 на 4,3 тыс. рублей, или на 1,3%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Расходы проводились на выполнение муниципального задания АМУ «Редакция газеты «Междуречье».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3558C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1355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r w:rsidRPr="0013558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Pr="0013558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8172,1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52,8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15483,0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  года расходы увеличились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310,0</w:t>
      </w:r>
      <w:r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(на </w:t>
      </w:r>
      <w:r w:rsidR="0013558C" w:rsidRPr="0013558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Средства в виде дотаций направлены на поддержку поселений Междуреченского муниципального района в виде  выравнивание бюджетной обеспеченности в сумме 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2981,7 тыс. рублей,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обеспечение сбалансированности бюджетов в сумме 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4718,3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307A2"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иные межбюджетные трансферты в сумме 472,1 тыс. рублей</w:t>
      </w:r>
      <w:r w:rsidRPr="00930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C4194" w:rsidRPr="008C4194" w:rsidRDefault="008C4194" w:rsidP="008C419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тексте Приложения 2 к постановлению администрации Междуреченского муниципального района   от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18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7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.201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№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353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имеется арифметическая ошибка, так    в графе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процент исполнения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 по строке «Всего расходов»  цифру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18,4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заменить цифрой «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42,2</w:t>
      </w:r>
      <w:r w:rsidRP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». </w:t>
      </w:r>
    </w:p>
    <w:p w:rsidR="008C4194" w:rsidRPr="005E32D5" w:rsidRDefault="00E87B04" w:rsidP="008C419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C4194" w:rsidRPr="00AA46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Проведена выборочно  сверка данных отчета об исполнении бюджета за 1 полугодие 201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="008C4194" w:rsidRPr="00AA463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с данными  показателями кассового плана, в результате чего  по разделу 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«Национальная экономика» 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кассовый план на 1 и на 2 квартал 201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  не исполнен  на  сумму 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2349,9  тыс. рублей, в том числе по подразделам: 0401 «Общеэкономические вопросы»  не исполнено на 27,8 тыс. рублей, 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0408 «Транспорт»  на 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365,8 тыс. рублей, 0409 «Дорожное хозяйство (дорожные фонды)» на 1378,4 тыс. рублей, 0412 «Другие вопросы в области национальной экономики» на 577,9 тыс. рублей. 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пояснениях  управления финансов  указано, что мероприятия по подразделу «</w:t>
      </w:r>
      <w:r w:rsidR="008C41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Дорожное хозяйство (дорожные фонды)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«Другие вопросы в области национальной экономики» </w:t>
      </w:r>
      <w:r w:rsidR="008C4194"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- 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работы будут проведены в 3 и 4 кварталах (позднее), по «Транспорту» не проводилась оплата по катеру. </w:t>
      </w:r>
    </w:p>
    <w:p w:rsidR="00E57634" w:rsidRDefault="008C4194" w:rsidP="008C419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Таким образом, в нарушение статьи 217.1 Бюджетного кодекса Российской Федерации  не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проведена 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корректировка  кассового плана в ст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рону уменьшения расходов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за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1 и 2 квартала 201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9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года с увеличение на 3 и 4 квартал 201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года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Расхождения наблюдаются  практически по всем 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по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</w:t>
      </w:r>
      <w:r w:rsidRPr="005E32D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разделам </w:t>
      </w:r>
      <w:r w:rsidR="00E576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расходов бюджетной классификации.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BE280A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7B04" w:rsidRPr="00BE280A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района за 1 полугодия  201</w:t>
      </w:r>
      <w:r w:rsidR="00BE280A"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района.</w:t>
      </w:r>
    </w:p>
    <w:p w:rsidR="00E87B04" w:rsidRPr="00BE280A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E87B04" w:rsidRPr="00BE280A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1. Число муниципальных учреждений по состоянию на 01 июля 201</w:t>
      </w:r>
      <w:r w:rsidR="00BE280A"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1</w:t>
      </w:r>
      <w:r w:rsidR="00BE280A"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14 и частично-1),  на  01 июля 201</w:t>
      </w:r>
      <w:r w:rsidR="00BE280A"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–1</w:t>
      </w:r>
      <w:r w:rsidR="00BE280A"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14  и частично-1).</w:t>
      </w:r>
    </w:p>
    <w:p w:rsidR="00E87B04" w:rsidRPr="00BE280A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28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Штатная численность работников муниципальных учреждений по состоянию на 01 июля 201</w:t>
      </w:r>
      <w:r w:rsidR="00BE280A"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8</w:t>
      </w:r>
      <w:r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201</w:t>
      </w:r>
      <w:r w:rsidR="00BE280A"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9</w:t>
      </w:r>
      <w:r w:rsidRPr="00BE280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годов отсутствует.</w:t>
      </w:r>
    </w:p>
    <w:p w:rsidR="00E87B04" w:rsidRPr="009B724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Объем расходов на оплату труда в муниципальных учреждениях района составил:</w:t>
      </w:r>
    </w:p>
    <w:p w:rsidR="00E87B04" w:rsidRPr="009B724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 201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– 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51912,7 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87B04" w:rsidRPr="009B724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 201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 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58947,0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9B7249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Увеличение  расходов  на оплату труда  работников муниципальных учреждений в сравнении с аналогичным периодом прошлого года произошло  на 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7034,3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9B7249"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13,5</w:t>
      </w:r>
      <w:r w:rsidRPr="009B72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что связано с повышением заработной платы работникам  в связи с  выполнениями «майских указов» и повышением МРОТ</w:t>
      </w:r>
      <w:r w:rsidRPr="009B7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E87B04" w:rsidRPr="0048430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района представлена  следующими данными.</w:t>
      </w:r>
    </w:p>
    <w:p w:rsidR="00E87B04" w:rsidRPr="0048430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01 июля 201</w:t>
      </w:r>
      <w:r w:rsidR="0048430D"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</w:t>
      </w:r>
      <w:r w:rsidR="0048430D"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67,5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ед., на 01 июля 201</w:t>
      </w:r>
      <w:r w:rsidR="0048430D"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65,5 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шт. единиц.</w:t>
      </w:r>
    </w:p>
    <w:p w:rsidR="00E87B04" w:rsidRPr="0048430D" w:rsidRDefault="00E87B04" w:rsidP="00E87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района на 01 июля 201</w:t>
      </w:r>
      <w:r w:rsidR="0048430D"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июля  201</w:t>
      </w:r>
      <w:r w:rsidR="0048430D"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снизилась на </w:t>
      </w:r>
      <w:r w:rsid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484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единиц.</w:t>
      </w:r>
    </w:p>
    <w:p w:rsidR="00E87B04" w:rsidRPr="004806C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E87B04" w:rsidRPr="004806C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 полугодие 201</w:t>
      </w:r>
      <w:r w:rsidR="0048430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</w:t>
      </w:r>
      <w:r w:rsidR="0048430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13201,3</w:t>
      </w:r>
      <w:r w:rsidR="0048430D" w:rsidRPr="004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E87B04" w:rsidRPr="004806C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 полугодие 201</w:t>
      </w:r>
      <w:r w:rsidR="0048430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-    </w:t>
      </w:r>
      <w:r w:rsidR="004806C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12455,6</w:t>
      </w:r>
      <w:r w:rsidRPr="00480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рублей.</w:t>
      </w:r>
    </w:p>
    <w:p w:rsidR="00E87B04" w:rsidRPr="004806CD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 расходов на оплату труда работников  органов местного самоуправления в сравнении с аналогичным периодом прошлого года произошло на </w:t>
      </w:r>
      <w:r w:rsidR="004806C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745,7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806CD"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5,6</w:t>
      </w:r>
      <w:r w:rsidRPr="004806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что связано с уменьшением штатной численности.</w:t>
      </w:r>
    </w:p>
    <w:p w:rsidR="00E87B04" w:rsidRPr="006E6A87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87B04" w:rsidRPr="002F21F2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E87B04" w:rsidRPr="002F21F2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F21F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района. </w:t>
      </w:r>
      <w:r w:rsidR="00F02EAE" w:rsidRPr="002F21F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  </w:t>
      </w:r>
    </w:p>
    <w:p w:rsidR="00E87B04" w:rsidRPr="006E6A87" w:rsidRDefault="00E87B04" w:rsidP="00E87B0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E87B04" w:rsidRPr="006E6A87" w:rsidRDefault="00E87B04" w:rsidP="00F02EAE">
      <w:pPr>
        <w:spacing w:after="0" w:line="240" w:lineRule="auto"/>
        <w:ind w:firstLine="686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60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района  сформирован с дефицитом в сумме </w:t>
      </w:r>
      <w:r w:rsidR="00606D42" w:rsidRPr="00606D42">
        <w:rPr>
          <w:rFonts w:ascii="Times New Roman" w:eastAsia="Times New Roman" w:hAnsi="Times New Roman" w:cs="Times New Roman"/>
          <w:sz w:val="28"/>
          <w:szCs w:val="28"/>
          <w:lang w:eastAsia="ru-RU"/>
        </w:rPr>
        <w:t>4421,9</w:t>
      </w:r>
      <w:r w:rsidRPr="0060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06D4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 w:rsidRPr="0090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или </w:t>
      </w:r>
      <w:r w:rsidR="0090506F" w:rsidRPr="0090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20,5 </w:t>
      </w:r>
      <w:r w:rsidRPr="0090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 с </w:t>
      </w:r>
      <w:r w:rsidRPr="0034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учетом остатка средств бюджета района на 01.01.201</w:t>
      </w:r>
      <w:r w:rsidR="00341976" w:rsidRPr="0034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3419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  <w:r w:rsidR="00F02EAE" w:rsidRPr="000C52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F02EAE" w:rsidRPr="000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умма остатка средств на счете бюджета по состоянию  на 01.01.2019 года составляла - 17772,9 тыс. рублей. 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полугодия 201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района производились два раза на основании  решений  Представительного Собрания района 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 февраля 2019 года №4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3B54E2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B54E2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3B54E2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в результате чего дефицит бюджета увеличился на 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7013,6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 и составил 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11435,5</w:t>
      </w:r>
      <w:r w:rsidRPr="003B5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или 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53,1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</w:t>
      </w:r>
      <w:r w:rsidR="00F02EAE"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E87B04" w:rsidRPr="003B54E2" w:rsidRDefault="00E87B04" w:rsidP="00E87B04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54E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района   является изменение остатков средств на счетах по учету средств бюджета района.</w:t>
      </w:r>
    </w:p>
    <w:p w:rsidR="00E87B04" w:rsidRPr="003B54E2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E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района за 1 полугодие 201</w:t>
      </w:r>
      <w:r w:rsidR="00F02EAE" w:rsidRPr="003B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B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размере </w:t>
      </w:r>
      <w:r w:rsidR="00F02EAE" w:rsidRPr="003B54E2">
        <w:rPr>
          <w:rFonts w:ascii="Times New Roman" w:eastAsia="Times New Roman" w:hAnsi="Times New Roman" w:cs="Times New Roman"/>
          <w:sz w:val="28"/>
          <w:szCs w:val="28"/>
          <w:lang w:eastAsia="ru-RU"/>
        </w:rPr>
        <w:t>8436,8</w:t>
      </w:r>
      <w:r w:rsidRPr="003B5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87B04" w:rsidRPr="003B54E2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4E2">
        <w:rPr>
          <w:rFonts w:ascii="Times New Roman" w:hAnsi="Times New Roman" w:cs="Times New Roman"/>
          <w:sz w:val="28"/>
          <w:szCs w:val="28"/>
        </w:rPr>
        <w:t xml:space="preserve">          Изменение дефицита бюджета  района отражено на следующей  диаграмме:</w:t>
      </w:r>
    </w:p>
    <w:p w:rsidR="00E87B04" w:rsidRPr="003B54E2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B04" w:rsidRPr="003B54E2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5156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4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B54E2">
        <w:rPr>
          <w:rFonts w:ascii="Times New Roman" w:hAnsi="Times New Roman" w:cs="Times New Roman"/>
          <w:b/>
          <w:sz w:val="32"/>
          <w:szCs w:val="32"/>
        </w:rPr>
        <w:t xml:space="preserve"> дефицит(-),  профицит (+) , тыс. руб.</w:t>
      </w:r>
    </w:p>
    <w:p w:rsidR="002F21F2" w:rsidRDefault="002F21F2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1F2" w:rsidRDefault="002F21F2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509A0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21F2" w:rsidRDefault="00B509A0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45B72C1" wp14:editId="7AA668E5">
            <wp:extent cx="6038850" cy="48577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87B04" w:rsidRPr="003B54E2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r w:rsidRPr="003B54E2">
        <w:rPr>
          <w:noProof/>
          <w:lang w:eastAsia="ru-RU"/>
        </w:rPr>
        <w:t xml:space="preserve"> </w:t>
      </w:r>
    </w:p>
    <w:p w:rsidR="00E87B04" w:rsidRPr="00E87B04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87B04" w:rsidRPr="006E6A87" w:rsidRDefault="00E87B04" w:rsidP="00E87B0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E87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 сравнении данных дефицита бюджета  за 1 полугодие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данными соответствующего периода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установлено следующее,  первоначально утвержденный  бюджет  на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принят с дефицитом в сумме 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4421,9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первоначальный бюджет был принят также с дефицитом в размере 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6961,0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В связи с внесением изменений в бюджет района течении 1 полугодия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дефицит бюджета увеличился  и составил 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11435,5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  <w:r w:rsidR="0072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за 1 полугодие 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также  с дефицитом в сумме  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8436,8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за данный период 201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 с дефицитом  в сумме </w:t>
      </w:r>
      <w:r w:rsidR="00723EA5"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22174,7</w:t>
      </w:r>
      <w:r w:rsidRPr="00723E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87B04" w:rsidRPr="0067790E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7790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района.</w:t>
      </w:r>
    </w:p>
    <w:p w:rsidR="00E87B04" w:rsidRPr="0067790E" w:rsidRDefault="00E87B04" w:rsidP="00E87B0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87B04" w:rsidRPr="0067790E" w:rsidRDefault="00E87B04" w:rsidP="00E87B0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Представительного Собрания района от 1</w:t>
      </w:r>
      <w:r w:rsidR="0067790E"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67790E"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</w:t>
      </w:r>
      <w:r w:rsidR="0067790E"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59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723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(п.29) 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района по состоянию на 1 января 20</w:t>
      </w:r>
      <w:r w:rsidR="0067790E"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67790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E87B04" w:rsidRPr="00772339" w:rsidRDefault="00E87B04" w:rsidP="00E87B0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23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района можно   предусмотреть в размере 50 % общего годового объема доходов  бюджета района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E87B04" w:rsidRPr="00772339" w:rsidRDefault="00E87B04" w:rsidP="00E87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77233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772339" w:rsidRPr="0077233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772339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E87B04" w:rsidRPr="006E6A87" w:rsidRDefault="00E87B04" w:rsidP="00E87B0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E87B04" w:rsidRPr="006E6A87" w:rsidRDefault="00E87B04" w:rsidP="00E87B04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E87B04" w:rsidRPr="002F21F2" w:rsidRDefault="00E87B04" w:rsidP="00E87B0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2F21F2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2F21F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E87B04" w:rsidRPr="006E6A87" w:rsidRDefault="00E87B04" w:rsidP="00E87B0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E87B04" w:rsidRPr="006E6A8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057751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057751" w:rsidRPr="00057751">
        <w:rPr>
          <w:rFonts w:ascii="Times New Roman" w:hAnsi="Times New Roman" w:cs="Times New Roman"/>
          <w:sz w:val="28"/>
          <w:szCs w:val="28"/>
        </w:rPr>
        <w:t>8</w:t>
      </w:r>
      <w:r w:rsidRPr="000577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7751" w:rsidRPr="00057751">
        <w:rPr>
          <w:rFonts w:ascii="Times New Roman" w:hAnsi="Times New Roman" w:cs="Times New Roman"/>
          <w:sz w:val="28"/>
          <w:szCs w:val="28"/>
        </w:rPr>
        <w:t>4562,0</w:t>
      </w:r>
      <w:r w:rsidRPr="00057751">
        <w:rPr>
          <w:rFonts w:ascii="Times New Roman" w:hAnsi="Times New Roman" w:cs="Times New Roman"/>
          <w:sz w:val="28"/>
          <w:szCs w:val="28"/>
        </w:rPr>
        <w:t xml:space="preserve">  тыс. рублей (в том числе просроченной – 0,0 тыс. рублей),</w:t>
      </w:r>
      <w:r w:rsidRPr="0005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01  июля  201</w:t>
      </w:r>
      <w:r w:rsidR="00057751" w:rsidRPr="0005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5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057751" w:rsidRPr="0005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>5555,1</w:t>
      </w:r>
      <w:r w:rsidRPr="000577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 (в том числе просроченной 0,0 тыс. рублей), 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на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января 201</w:t>
      </w:r>
      <w:r w:rsidR="00D32755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32755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67,8</w:t>
      </w:r>
      <w:r w:rsidRPr="00D327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(в том числе просроченной – 0,0 тыс. рублей), на 01 июля 201</w:t>
      </w:r>
      <w:r w:rsidR="00D32755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D32755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5451,1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0,0 тыс. рулей). </w:t>
      </w:r>
    </w:p>
    <w:p w:rsidR="00E87B04" w:rsidRPr="00D32755" w:rsidRDefault="00D32755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2019 года по сравнению с началом прошлого года уменьшился  на 4494,2 тыс. рублей, или  на 98,5%.  </w:t>
      </w:r>
      <w:r w:rsidR="00E87B0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1 полугодие текущего года объем кредиторской задолженности по сравнению с аналогичным периодом прошлого года  также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снизился, сумма снижения</w:t>
      </w:r>
      <w:r w:rsidR="00E87B0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составила –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101,0</w:t>
      </w:r>
      <w:r w:rsidR="00E87B0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="00E87B04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просроченная задолженность отсутствует.        </w:t>
      </w:r>
    </w:p>
    <w:p w:rsidR="00E87B04" w:rsidRPr="001466C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237A6B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237A6B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648,7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июля 201</w:t>
      </w:r>
      <w:r w:rsidR="00237A6B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37A6B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201,8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</w:t>
      </w:r>
      <w:r w:rsidR="00237A6B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237A6B" w:rsidRPr="001466C7">
        <w:rPr>
          <w:rFonts w:ascii="Times New Roman" w:eastAsia="Times New Roman" w:hAnsi="Times New Roman" w:cs="Times New Roman"/>
          <w:sz w:val="28"/>
          <w:szCs w:val="28"/>
          <w:lang w:eastAsia="ru-RU"/>
        </w:rPr>
        <w:t>5076,6</w:t>
      </w:r>
      <w:r w:rsidR="00237A6B" w:rsidRPr="001466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на 01 июля  201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246,0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87B04" w:rsidRPr="006E6A87" w:rsidRDefault="001466C7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на начало 2019 года по сравнению с началом прошлого года увеличился  на 4427,9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или в 7,8 раза.  Резкое увеличение связано с тем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на конец года была начислена задолженность  по арендной плате за земли в сумме 2400,9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остаток  по иным межбюджетным трансфертам, переданным в поселения Сухонское и Туровецкое – 1769,6 тыс. рублей. В ходе исполнения бюджета района за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года объем дебиторской задолженности увеличился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44,2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21,9</w:t>
      </w:r>
      <w:r w:rsidRPr="001D6F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E87B04"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:rsidR="00E87B04" w:rsidRPr="006E6A8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1466C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466C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1466C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1. Изменения в решение «О бюджете района на 201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-202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проводились два  раза решениями Представительного Собрания района от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1466C7"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</w:t>
      </w:r>
      <w:r w:rsidRPr="001466C7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повлекли изменение в основные параметры бюджета района.</w:t>
      </w:r>
    </w:p>
    <w:p w:rsidR="00E87B04" w:rsidRPr="00615891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полугодие  201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района составили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107777,9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40,8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264257,6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в том числе налоговые и неналоговые доходы –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30665,8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46,3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безвозмездные поступления –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77112,1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38,9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E87B04" w:rsidRPr="00615891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района являлись налог на доходы физических лиц,  акцизы по подакцизным товарам,  налог на совокупный доход, доходы от использования имущества, находящегося в муниципальной собственности и  доходы от продажи материальных и нематериальных активов, доля которых в объеме налоговых и неналоговых доходов бюджета района составила </w:t>
      </w:r>
      <w:r w:rsidR="00615891"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95,9</w:t>
      </w:r>
      <w:r w:rsidRPr="006158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87B04" w:rsidRPr="008C7C0C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района доля налоговых и неналоговых доходов составила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28,5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71,5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E87B04" w:rsidRPr="006E6A8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  <w:r w:rsidRPr="006E6A87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8C7C0C">
        <w:rPr>
          <w:rFonts w:ascii="Times New Roman" w:hAnsi="Times New Roman" w:cs="Times New Roman"/>
          <w:sz w:val="28"/>
          <w:szCs w:val="28"/>
        </w:rPr>
        <w:t>В сравнении с 1 полугодием  201</w:t>
      </w:r>
      <w:r w:rsidR="008C7C0C" w:rsidRPr="008C7C0C">
        <w:rPr>
          <w:rFonts w:ascii="Times New Roman" w:hAnsi="Times New Roman" w:cs="Times New Roman"/>
          <w:sz w:val="28"/>
          <w:szCs w:val="28"/>
        </w:rPr>
        <w:t>8</w:t>
      </w:r>
      <w:r w:rsidRPr="008C7C0C">
        <w:rPr>
          <w:rFonts w:ascii="Times New Roman" w:hAnsi="Times New Roman" w:cs="Times New Roman"/>
          <w:sz w:val="28"/>
          <w:szCs w:val="28"/>
        </w:rPr>
        <w:t xml:space="preserve">  года поступление налоговых и неналоговых доходов у</w:t>
      </w:r>
      <w:r w:rsidR="008C7C0C" w:rsidRPr="008C7C0C">
        <w:rPr>
          <w:rFonts w:ascii="Times New Roman" w:hAnsi="Times New Roman" w:cs="Times New Roman"/>
          <w:sz w:val="28"/>
          <w:szCs w:val="28"/>
        </w:rPr>
        <w:t>величилось</w:t>
      </w:r>
      <w:r w:rsidRPr="008C7C0C">
        <w:rPr>
          <w:rFonts w:ascii="Times New Roman" w:hAnsi="Times New Roman" w:cs="Times New Roman"/>
          <w:sz w:val="28"/>
          <w:szCs w:val="28"/>
        </w:rPr>
        <w:t xml:space="preserve"> на </w:t>
      </w:r>
      <w:r w:rsidR="008C7C0C" w:rsidRPr="008C7C0C">
        <w:rPr>
          <w:rFonts w:ascii="Times New Roman" w:hAnsi="Times New Roman" w:cs="Times New Roman"/>
          <w:sz w:val="28"/>
          <w:szCs w:val="28"/>
        </w:rPr>
        <w:t xml:space="preserve">2284,8 </w:t>
      </w:r>
      <w:r w:rsidRPr="008C7C0C">
        <w:rPr>
          <w:rFonts w:ascii="Times New Roman" w:hAnsi="Times New Roman" w:cs="Times New Roman"/>
          <w:sz w:val="28"/>
          <w:szCs w:val="28"/>
        </w:rPr>
        <w:t xml:space="preserve"> тыс. рублей, и</w:t>
      </w:r>
      <w:r w:rsidR="008C7C0C" w:rsidRPr="008C7C0C">
        <w:rPr>
          <w:rFonts w:ascii="Times New Roman" w:hAnsi="Times New Roman" w:cs="Times New Roman"/>
          <w:sz w:val="28"/>
          <w:szCs w:val="28"/>
        </w:rPr>
        <w:t xml:space="preserve">ли на </w:t>
      </w:r>
      <w:r w:rsidRPr="008C7C0C">
        <w:rPr>
          <w:rFonts w:ascii="Times New Roman" w:hAnsi="Times New Roman" w:cs="Times New Roman"/>
          <w:sz w:val="28"/>
          <w:szCs w:val="28"/>
        </w:rPr>
        <w:t xml:space="preserve"> </w:t>
      </w:r>
      <w:r w:rsidR="008C7C0C" w:rsidRPr="008C7C0C">
        <w:rPr>
          <w:rFonts w:ascii="Times New Roman" w:hAnsi="Times New Roman" w:cs="Times New Roman"/>
          <w:sz w:val="28"/>
          <w:szCs w:val="28"/>
        </w:rPr>
        <w:t>8,1</w:t>
      </w:r>
      <w:r w:rsidRPr="008C7C0C">
        <w:rPr>
          <w:rFonts w:ascii="Times New Roman" w:hAnsi="Times New Roman" w:cs="Times New Roman"/>
          <w:sz w:val="28"/>
          <w:szCs w:val="28"/>
        </w:rPr>
        <w:t xml:space="preserve"> %, в том числе доходы от налога на доходы физических лиц на </w:t>
      </w:r>
      <w:r w:rsidR="008C7C0C" w:rsidRPr="008C7C0C">
        <w:rPr>
          <w:rFonts w:ascii="Times New Roman" w:hAnsi="Times New Roman" w:cs="Times New Roman"/>
          <w:sz w:val="28"/>
          <w:szCs w:val="28"/>
        </w:rPr>
        <w:t>2359,3</w:t>
      </w:r>
      <w:r w:rsidRPr="008C7C0C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8C7C0C" w:rsidRPr="008C7C0C">
        <w:rPr>
          <w:rFonts w:ascii="Times New Roman" w:hAnsi="Times New Roman" w:cs="Times New Roman"/>
          <w:sz w:val="28"/>
          <w:szCs w:val="28"/>
        </w:rPr>
        <w:t>11,2%.   Наблюдается снижение по налогу на совокупный доход на 426,7</w:t>
      </w:r>
      <w:r w:rsidR="008C7C0C">
        <w:rPr>
          <w:rFonts w:ascii="Times New Roman" w:hAnsi="Times New Roman" w:cs="Times New Roman"/>
          <w:sz w:val="28"/>
          <w:szCs w:val="28"/>
        </w:rPr>
        <w:t xml:space="preserve"> тыс. рублей (18,2%),по доходам </w:t>
      </w:r>
      <w:r w:rsidR="008C7C0C" w:rsidRPr="008C7C0C">
        <w:rPr>
          <w:rFonts w:ascii="Times New Roman" w:hAnsi="Times New Roman" w:cs="Times New Roman"/>
          <w:sz w:val="28"/>
          <w:szCs w:val="28"/>
        </w:rPr>
        <w:t xml:space="preserve"> от использования муниципального имущества на 346,7 тыс. рублей (46,5%), по доходам от продажи материальных и нематериальных активов на 161,1 тыс. рублей (9,3%), по платежам при пользовании природными ресурсами на 2,0 тыс. рублей (0,8%).</w:t>
      </w:r>
    </w:p>
    <w:p w:rsidR="00E87B04" w:rsidRPr="006E6A87" w:rsidRDefault="00E87B04" w:rsidP="00E87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hAnsi="Times New Roman" w:cs="Times New Roman"/>
          <w:color w:val="C00000"/>
          <w:sz w:val="28"/>
          <w:szCs w:val="28"/>
        </w:rPr>
        <w:t xml:space="preserve">    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района исполнены в сумме 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116214,7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42,2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275693,1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>.</w:t>
      </w:r>
    </w:p>
    <w:p w:rsidR="00E87B04" w:rsidRPr="008C7C0C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района в 1 полугодии  201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83478,9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8C7C0C"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>71,8</w:t>
      </w:r>
      <w:r w:rsidRPr="008C7C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района.</w:t>
      </w:r>
    </w:p>
    <w:p w:rsidR="00E53CAC" w:rsidRDefault="00E53CAC" w:rsidP="00E53CA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5D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всем разделам классификации расходов, за исключением  разделов «Образование», «Здравоохранение», «Социальная политика», «Физическая культура и спорт», «Средства массовой информации» и «Межбюджетные трансферты  общего характера бюджетам субъектов РФ и муниципальных образований»  уровень исполнения к годовым назначениям составил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менее  50,0 процентов.</w:t>
      </w:r>
    </w:p>
    <w:p w:rsidR="00E53CAC" w:rsidRPr="00E87B04" w:rsidRDefault="00E87B04" w:rsidP="00E53CA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4</w:t>
      </w:r>
      <w:r w:rsidR="00E53CAC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 сравнении задолженности по состоянию на 01.07.201</w:t>
      </w:r>
      <w:r w:rsid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201</w:t>
      </w:r>
      <w:r w:rsid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 произошло </w:t>
      </w:r>
      <w:r w:rsid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снижение 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55,9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6,7</w:t>
      </w:r>
      <w:r w:rsidR="00E53CAC"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E53CAC" w:rsidRPr="00E87B04" w:rsidRDefault="00E53CAC" w:rsidP="00E53C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CAF">
        <w:rPr>
          <w:rFonts w:ascii="Times New Roman" w:hAnsi="Times New Roman" w:cs="Times New Roman"/>
          <w:sz w:val="28"/>
          <w:szCs w:val="28"/>
        </w:rPr>
        <w:t>взимаем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32CAF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доходы физических лиц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103,2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20,3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%;</w:t>
      </w:r>
    </w:p>
    <w:p w:rsidR="00E53CAC" w:rsidRPr="00E87B04" w:rsidRDefault="00E53CAC" w:rsidP="00E53C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AF0C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налогу на доходы физических лиц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6,6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3,4</w:t>
      </w:r>
      <w:r w:rsidRPr="00E87B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%;</w:t>
      </w:r>
    </w:p>
    <w:p w:rsidR="00E53CAC" w:rsidRDefault="00E53CAC" w:rsidP="00E53C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87B0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увеличение 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</w:t>
      </w:r>
      <w:r w:rsidRPr="00732CA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32CAF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2CAF">
        <w:rPr>
          <w:rFonts w:ascii="Times New Roman" w:hAnsi="Times New Roman" w:cs="Times New Roman"/>
          <w:sz w:val="28"/>
          <w:szCs w:val="28"/>
        </w:rPr>
        <w:t xml:space="preserve"> на вмененный доход для отдельных видов деятельности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26,1 тыс. рублей, или на 21,8%;</w:t>
      </w:r>
    </w:p>
    <w:p w:rsidR="00E53CAC" w:rsidRDefault="00E53CAC" w:rsidP="00E53C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AF0CC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налогу</w:t>
      </w:r>
      <w:r w:rsidRPr="00732CAF">
        <w:rPr>
          <w:rFonts w:ascii="Times New Roman" w:hAnsi="Times New Roman" w:cs="Times New Roman"/>
          <w:sz w:val="28"/>
          <w:szCs w:val="28"/>
        </w:rPr>
        <w:t>, взимаем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732CAF">
        <w:rPr>
          <w:rFonts w:ascii="Times New Roman" w:hAnsi="Times New Roman" w:cs="Times New Roman"/>
          <w:sz w:val="28"/>
          <w:szCs w:val="28"/>
        </w:rPr>
        <w:t>в связи с применением патентной системы налогообложения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1,0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21,7 процента</w:t>
      </w:r>
      <w:r w:rsidRPr="00E87B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53CAC" w:rsidRPr="00E53CAC" w:rsidRDefault="00E53CAC" w:rsidP="00E53C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того, образовался долг по единому сельскохозяйственному  налогу на 13,6 тыс. рублей, или на 100,0 процентов.</w:t>
      </w:r>
    </w:p>
    <w:p w:rsidR="00E53CAC" w:rsidRPr="00E87B04" w:rsidRDefault="00E53CAC" w:rsidP="00E53C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структуре недоимки по платежам в бюджет на 01 июля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занимает задолженность</w:t>
      </w:r>
      <w:r w:rsidRPr="00E8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налогу на совокупный доход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73,8</w:t>
      </w:r>
      <w:r w:rsidRPr="00E87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%,  на втором и последнем месте 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E87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недоимки.</w:t>
      </w:r>
    </w:p>
    <w:p w:rsidR="00E87B04" w:rsidRPr="006E6A87" w:rsidRDefault="00E53CAC" w:rsidP="00E53CA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="00E87B04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полугодие  201</w:t>
      </w:r>
      <w:r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87B04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бюджет района исполнен с дефицитом  в сумме  </w:t>
      </w:r>
      <w:r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8436,8</w:t>
      </w:r>
      <w:r w:rsidR="00E87B04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E53CAC" w:rsidRPr="00D32755" w:rsidRDefault="00E87B04" w:rsidP="00E53CA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6.</w:t>
      </w:r>
      <w:r w:rsidR="00E53CAC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E53CAC" w:rsidRPr="00D327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района за 1 полугодие текущего года объем кредиторской задолженности по сравнению с аналогичным периодом прошлого года  также снизился, сумма снижения составила – 101,0 тыс. рублей, или на 1,9%,  просроченная задолженность отсутствует.        </w:t>
      </w:r>
    </w:p>
    <w:p w:rsidR="00E53CAC" w:rsidRPr="00E53CAC" w:rsidRDefault="00E87B04" w:rsidP="00E53CA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 также увеличился</w:t>
      </w:r>
      <w:r w:rsidR="00E53CAC" w:rsidRPr="00E53C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44,2 тыс. рублей, или на 21,9 процента.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E87B04" w:rsidRPr="006E6A87" w:rsidRDefault="00E87B04" w:rsidP="00363A9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363A91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3A9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района:</w:t>
      </w:r>
    </w:p>
    <w:p w:rsidR="00363A91" w:rsidRPr="006E6A87" w:rsidRDefault="00363A91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363A91" w:rsidRDefault="00903AB3" w:rsidP="0090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 </w:t>
      </w:r>
      <w:r w:rsidR="00363A91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Устранить ошибку в  Приложении </w:t>
      </w:r>
      <w:r w:rsidR="0004046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63A91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  <w:r w:rsid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3A91" w:rsidRPr="00EF22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Междуреченского муниципального района   от 10.05.2018 года №193, отмеченную данным заключением.</w:t>
      </w:r>
    </w:p>
    <w:p w:rsidR="00363A91" w:rsidRPr="00363A91" w:rsidRDefault="00363A91" w:rsidP="0090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Проводить  корректировку показателей кассового плана  </w:t>
      </w:r>
      <w:r w:rsidR="000404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</w:t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данными  отчета об исполнении бюджета.</w:t>
      </w:r>
    </w:p>
    <w:p w:rsidR="00903AB3" w:rsidRPr="00D82425" w:rsidRDefault="00363A91" w:rsidP="0090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3</w:t>
      </w:r>
      <w:r w:rsidR="00903AB3" w:rsidRP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внесении изменений  в 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3AB3" w:rsidRP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</w:t>
      </w:r>
      <w:r w:rsidR="009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тавительного Собрания района 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рогнозн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3E6E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</w:t>
      </w:r>
      <w:r w:rsidR="00903AB3" w:rsidRPr="00557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необходимо также корректировать в сторону увеличения </w:t>
      </w:r>
      <w:r w:rsidR="00903AB3" w:rsidRPr="00D8242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сумму  от реализации имущества.</w:t>
      </w:r>
    </w:p>
    <w:p w:rsidR="00903AB3" w:rsidRPr="004206FB" w:rsidRDefault="00903AB3" w:rsidP="00903AB3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 </w:t>
      </w:r>
      <w:r w:rsid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8242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Не допускать   роста кредиторской задолженности, также   принять все  необходимые меры по  ее сокращению.</w:t>
      </w:r>
    </w:p>
    <w:p w:rsidR="00903AB3" w:rsidRDefault="00903AB3" w:rsidP="00903AB3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206FB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A4059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целях пополнения доходной части  бюджета района  рекомендуем принять все необходимые меры по сокращению задолженности по налоговым доходам, в части  налога на совокупный доход и налога на доходы физических лиц.</w:t>
      </w:r>
    </w:p>
    <w:p w:rsidR="00903AB3" w:rsidRPr="004206FB" w:rsidRDefault="00903AB3" w:rsidP="00903AB3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</w:pPr>
    </w:p>
    <w:p w:rsidR="00E87B04" w:rsidRPr="006E6A87" w:rsidRDefault="00E87B04" w:rsidP="00363A91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eastAsia="ru-RU"/>
        </w:rPr>
        <w:t xml:space="preserve">              </w:t>
      </w:r>
    </w:p>
    <w:p w:rsidR="00E87B04" w:rsidRPr="006E6A87" w:rsidRDefault="00E87B04" w:rsidP="00E87B04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</w:t>
      </w:r>
    </w:p>
    <w:p w:rsidR="00E87B04" w:rsidRPr="006E6A87" w:rsidRDefault="00E87B04" w:rsidP="00E87B04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6E6A87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</w:p>
    <w:p w:rsidR="00E87B04" w:rsidRPr="00363A91" w:rsidRDefault="00E87B04" w:rsidP="00E87B04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E87B04" w:rsidRPr="00363A91" w:rsidRDefault="00E87B04" w:rsidP="00E87B04">
      <w:pPr>
        <w:spacing w:after="0" w:line="240" w:lineRule="auto"/>
        <w:ind w:right="-2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363A9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М.И. Шестакова</w:t>
      </w:r>
    </w:p>
    <w:p w:rsidR="00E87B04" w:rsidRPr="006E6A87" w:rsidRDefault="00E87B04" w:rsidP="00E87B04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E87B04" w:rsidRPr="006E6A87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87B04" w:rsidRPr="006E6A87" w:rsidRDefault="00E87B04" w:rsidP="00E87B04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E87B04" w:rsidRPr="006E6A87" w:rsidRDefault="00E87B04" w:rsidP="00E87B04">
      <w:pPr>
        <w:rPr>
          <w:rFonts w:eastAsiaTheme="minorEastAsia"/>
          <w:color w:val="C00000"/>
          <w:lang w:eastAsia="ru-RU"/>
        </w:rPr>
      </w:pPr>
    </w:p>
    <w:p w:rsidR="00E87B04" w:rsidRPr="006E6A87" w:rsidRDefault="00E87B04" w:rsidP="00E87B04">
      <w:pPr>
        <w:rPr>
          <w:color w:val="C00000"/>
        </w:rPr>
      </w:pPr>
    </w:p>
    <w:p w:rsidR="00E87B04" w:rsidRPr="006E6A87" w:rsidRDefault="00E87B04" w:rsidP="00E87B04">
      <w:pPr>
        <w:spacing w:after="0" w:line="240" w:lineRule="auto"/>
        <w:ind w:firstLine="705"/>
        <w:contextualSpacing/>
        <w:jc w:val="both"/>
        <w:rPr>
          <w:color w:val="C00000"/>
        </w:rPr>
      </w:pPr>
    </w:p>
    <w:p w:rsidR="00C1545D" w:rsidRPr="006E6A87" w:rsidRDefault="00C1545D">
      <w:pPr>
        <w:rPr>
          <w:color w:val="C00000"/>
        </w:rPr>
      </w:pPr>
    </w:p>
    <w:sectPr w:rsidR="00C1545D" w:rsidRPr="006E6A87" w:rsidSect="00CE3D49">
      <w:headerReference w:type="even" r:id="rId15"/>
      <w:headerReference w:type="default" r:id="rId1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9E" w:rsidRDefault="00E3619E">
      <w:pPr>
        <w:spacing w:after="0" w:line="240" w:lineRule="auto"/>
      </w:pPr>
      <w:r>
        <w:separator/>
      </w:r>
    </w:p>
  </w:endnote>
  <w:endnote w:type="continuationSeparator" w:id="0">
    <w:p w:rsidR="00E3619E" w:rsidRDefault="00E3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9E" w:rsidRDefault="00E3619E">
      <w:pPr>
        <w:spacing w:after="0" w:line="240" w:lineRule="auto"/>
      </w:pPr>
      <w:r>
        <w:separator/>
      </w:r>
    </w:p>
  </w:footnote>
  <w:footnote w:type="continuationSeparator" w:id="0">
    <w:p w:rsidR="00E3619E" w:rsidRDefault="00E3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0D" w:rsidRDefault="0048430D" w:rsidP="00CE3D4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48430D" w:rsidRDefault="004843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0D" w:rsidRDefault="0048430D" w:rsidP="00CE3D4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31D80">
      <w:rPr>
        <w:rStyle w:val="a8"/>
        <w:noProof/>
      </w:rPr>
      <w:t>5</w:t>
    </w:r>
    <w:r>
      <w:rPr>
        <w:rStyle w:val="a8"/>
      </w:rPr>
      <w:fldChar w:fldCharType="end"/>
    </w:r>
  </w:p>
  <w:p w:rsidR="0048430D" w:rsidRDefault="004843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8A"/>
    <w:rsid w:val="00020F36"/>
    <w:rsid w:val="00023AE6"/>
    <w:rsid w:val="000304A7"/>
    <w:rsid w:val="0004046B"/>
    <w:rsid w:val="000531A1"/>
    <w:rsid w:val="00057751"/>
    <w:rsid w:val="00076B46"/>
    <w:rsid w:val="00082783"/>
    <w:rsid w:val="000B2A24"/>
    <w:rsid w:val="000B7EF0"/>
    <w:rsid w:val="000C4BED"/>
    <w:rsid w:val="000E69B9"/>
    <w:rsid w:val="00103EFC"/>
    <w:rsid w:val="00124D07"/>
    <w:rsid w:val="00130086"/>
    <w:rsid w:val="00131D80"/>
    <w:rsid w:val="0013558C"/>
    <w:rsid w:val="0013573C"/>
    <w:rsid w:val="00145CEB"/>
    <w:rsid w:val="001466C7"/>
    <w:rsid w:val="00154917"/>
    <w:rsid w:val="00157050"/>
    <w:rsid w:val="00171C7A"/>
    <w:rsid w:val="00174EDD"/>
    <w:rsid w:val="001A1FFC"/>
    <w:rsid w:val="001A78AB"/>
    <w:rsid w:val="001B2ABB"/>
    <w:rsid w:val="001D18DD"/>
    <w:rsid w:val="001E677E"/>
    <w:rsid w:val="002003B2"/>
    <w:rsid w:val="00236F57"/>
    <w:rsid w:val="00237A6B"/>
    <w:rsid w:val="00253711"/>
    <w:rsid w:val="00261986"/>
    <w:rsid w:val="002A34E3"/>
    <w:rsid w:val="002B0AD8"/>
    <w:rsid w:val="002F21F2"/>
    <w:rsid w:val="00325AD0"/>
    <w:rsid w:val="00331E1C"/>
    <w:rsid w:val="00331E65"/>
    <w:rsid w:val="003331E3"/>
    <w:rsid w:val="003333D0"/>
    <w:rsid w:val="00341976"/>
    <w:rsid w:val="00346914"/>
    <w:rsid w:val="00363A91"/>
    <w:rsid w:val="0037668A"/>
    <w:rsid w:val="00381E33"/>
    <w:rsid w:val="00382956"/>
    <w:rsid w:val="00385DFD"/>
    <w:rsid w:val="0039350B"/>
    <w:rsid w:val="003A5519"/>
    <w:rsid w:val="003B54E2"/>
    <w:rsid w:val="003E6E8B"/>
    <w:rsid w:val="003F0492"/>
    <w:rsid w:val="004248C6"/>
    <w:rsid w:val="004356A7"/>
    <w:rsid w:val="0044168B"/>
    <w:rsid w:val="00450BF3"/>
    <w:rsid w:val="0047670C"/>
    <w:rsid w:val="004806CD"/>
    <w:rsid w:val="00480A18"/>
    <w:rsid w:val="0048430D"/>
    <w:rsid w:val="004A4955"/>
    <w:rsid w:val="004A6931"/>
    <w:rsid w:val="004D0A05"/>
    <w:rsid w:val="004D53A1"/>
    <w:rsid w:val="00503DA9"/>
    <w:rsid w:val="0053463E"/>
    <w:rsid w:val="0054629D"/>
    <w:rsid w:val="00551886"/>
    <w:rsid w:val="00563237"/>
    <w:rsid w:val="00573499"/>
    <w:rsid w:val="00587ADB"/>
    <w:rsid w:val="00596B07"/>
    <w:rsid w:val="005D4234"/>
    <w:rsid w:val="005E7FCA"/>
    <w:rsid w:val="00606D42"/>
    <w:rsid w:val="00615891"/>
    <w:rsid w:val="00625479"/>
    <w:rsid w:val="00632615"/>
    <w:rsid w:val="00637086"/>
    <w:rsid w:val="0064041B"/>
    <w:rsid w:val="00655300"/>
    <w:rsid w:val="00656D0A"/>
    <w:rsid w:val="00667E21"/>
    <w:rsid w:val="0067790E"/>
    <w:rsid w:val="00692A75"/>
    <w:rsid w:val="006A4EC5"/>
    <w:rsid w:val="006C30C5"/>
    <w:rsid w:val="006E6A87"/>
    <w:rsid w:val="006F0246"/>
    <w:rsid w:val="006F118B"/>
    <w:rsid w:val="006F4F5B"/>
    <w:rsid w:val="00702819"/>
    <w:rsid w:val="00712BE4"/>
    <w:rsid w:val="00716A3D"/>
    <w:rsid w:val="0072299A"/>
    <w:rsid w:val="00723EA5"/>
    <w:rsid w:val="007466E4"/>
    <w:rsid w:val="0075337A"/>
    <w:rsid w:val="00757109"/>
    <w:rsid w:val="00772339"/>
    <w:rsid w:val="007E0150"/>
    <w:rsid w:val="007E66B4"/>
    <w:rsid w:val="007F25F8"/>
    <w:rsid w:val="0080252D"/>
    <w:rsid w:val="00826EB6"/>
    <w:rsid w:val="0086198A"/>
    <w:rsid w:val="008824CA"/>
    <w:rsid w:val="0088664C"/>
    <w:rsid w:val="008933E0"/>
    <w:rsid w:val="008C4194"/>
    <w:rsid w:val="008C7C0C"/>
    <w:rsid w:val="00903AB3"/>
    <w:rsid w:val="0090506F"/>
    <w:rsid w:val="00925156"/>
    <w:rsid w:val="009307A2"/>
    <w:rsid w:val="00954873"/>
    <w:rsid w:val="00957BBD"/>
    <w:rsid w:val="00960A3D"/>
    <w:rsid w:val="0098131D"/>
    <w:rsid w:val="00991200"/>
    <w:rsid w:val="00994AEE"/>
    <w:rsid w:val="009A175C"/>
    <w:rsid w:val="009B7249"/>
    <w:rsid w:val="009C4010"/>
    <w:rsid w:val="009D0BEE"/>
    <w:rsid w:val="009D0E75"/>
    <w:rsid w:val="009F3F31"/>
    <w:rsid w:val="00A14632"/>
    <w:rsid w:val="00A83330"/>
    <w:rsid w:val="00A91A56"/>
    <w:rsid w:val="00A91ADF"/>
    <w:rsid w:val="00AA2165"/>
    <w:rsid w:val="00AA3D9C"/>
    <w:rsid w:val="00AB1294"/>
    <w:rsid w:val="00AC5B4D"/>
    <w:rsid w:val="00AE67B6"/>
    <w:rsid w:val="00AE6E93"/>
    <w:rsid w:val="00AF0CC6"/>
    <w:rsid w:val="00B052AD"/>
    <w:rsid w:val="00B128D5"/>
    <w:rsid w:val="00B243A1"/>
    <w:rsid w:val="00B345AE"/>
    <w:rsid w:val="00B509A0"/>
    <w:rsid w:val="00B652A8"/>
    <w:rsid w:val="00B71BA6"/>
    <w:rsid w:val="00B72DCE"/>
    <w:rsid w:val="00BC4F38"/>
    <w:rsid w:val="00BD7B1B"/>
    <w:rsid w:val="00BE280A"/>
    <w:rsid w:val="00C03B8F"/>
    <w:rsid w:val="00C1545D"/>
    <w:rsid w:val="00C33B8C"/>
    <w:rsid w:val="00C36B90"/>
    <w:rsid w:val="00C81EEC"/>
    <w:rsid w:val="00C830E9"/>
    <w:rsid w:val="00C9045B"/>
    <w:rsid w:val="00CB06F0"/>
    <w:rsid w:val="00CE3D49"/>
    <w:rsid w:val="00D26A68"/>
    <w:rsid w:val="00D32755"/>
    <w:rsid w:val="00D5430D"/>
    <w:rsid w:val="00D85898"/>
    <w:rsid w:val="00DA2305"/>
    <w:rsid w:val="00DA70BF"/>
    <w:rsid w:val="00DE2C89"/>
    <w:rsid w:val="00DF64B7"/>
    <w:rsid w:val="00E1305B"/>
    <w:rsid w:val="00E3619E"/>
    <w:rsid w:val="00E53CAC"/>
    <w:rsid w:val="00E57634"/>
    <w:rsid w:val="00E87B04"/>
    <w:rsid w:val="00E93389"/>
    <w:rsid w:val="00E93DE7"/>
    <w:rsid w:val="00EB215C"/>
    <w:rsid w:val="00EB3360"/>
    <w:rsid w:val="00EB35CE"/>
    <w:rsid w:val="00EB76FA"/>
    <w:rsid w:val="00EC6DC3"/>
    <w:rsid w:val="00EE6BD7"/>
    <w:rsid w:val="00EF6007"/>
    <w:rsid w:val="00F02EAE"/>
    <w:rsid w:val="00F147F6"/>
    <w:rsid w:val="00F157BD"/>
    <w:rsid w:val="00F35D47"/>
    <w:rsid w:val="00F6002E"/>
    <w:rsid w:val="00FB2C7D"/>
    <w:rsid w:val="00FB2EAB"/>
    <w:rsid w:val="00FF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7B04"/>
  </w:style>
  <w:style w:type="table" w:styleId="a3">
    <w:name w:val="Table Grid"/>
    <w:basedOn w:val="a1"/>
    <w:rsid w:val="00E8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7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87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87B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B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87B04"/>
  </w:style>
  <w:style w:type="paragraph" w:customStyle="1" w:styleId="ConsPlusTitle">
    <w:name w:val="ConsPlusTitle"/>
    <w:rsid w:val="00E8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87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E87B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E87B0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B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87B0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7B0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87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7B04"/>
  </w:style>
  <w:style w:type="table" w:styleId="a3">
    <w:name w:val="Table Grid"/>
    <w:basedOn w:val="a1"/>
    <w:rsid w:val="00E87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87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E87B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87B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B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E87B04"/>
  </w:style>
  <w:style w:type="paragraph" w:customStyle="1" w:styleId="ConsPlusTitle">
    <w:name w:val="ConsPlusTitle"/>
    <w:rsid w:val="00E8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E87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87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8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E87B0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E87B0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7B0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87B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E87B04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7B04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E87B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задолженность и перерасчеты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23437.9</c:v>
                </c:pt>
                <c:pt idx="1">
                  <c:v>2789</c:v>
                </c:pt>
                <c:pt idx="2">
                  <c:v>1922.2</c:v>
                </c:pt>
                <c:pt idx="3">
                  <c:v>366.6</c:v>
                </c:pt>
                <c:pt idx="4">
                  <c:v>0.4</c:v>
                </c:pt>
                <c:pt idx="5">
                  <c:v>880.6</c:v>
                </c:pt>
                <c:pt idx="6">
                  <c:v>239.5</c:v>
                </c:pt>
                <c:pt idx="7">
                  <c:v>99.2</c:v>
                </c:pt>
                <c:pt idx="8">
                  <c:v>385.8</c:v>
                </c:pt>
                <c:pt idx="9">
                  <c:v>544.6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6 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Лист1!$A$3:$A$12</c:f>
              <c:strCache>
                <c:ptCount val="10"/>
                <c:pt idx="0">
                  <c:v>НДФЛ</c:v>
                </c:pt>
                <c:pt idx="1">
                  <c:v>Акцизы и подакцизные товары</c:v>
                </c:pt>
                <c:pt idx="2">
                  <c:v>Налог на совокупный доход </c:v>
                </c:pt>
                <c:pt idx="3">
                  <c:v>Государственная пошлина</c:v>
                </c:pt>
                <c:pt idx="4">
                  <c:v>задолженность и перерасчеты по отмененным налогам</c:v>
                </c:pt>
                <c:pt idx="5">
                  <c:v>Доходы от использования мун. имущества</c:v>
                </c:pt>
                <c:pt idx="6">
                  <c:v>Платежи при использовании природных рессурсов</c:v>
                </c:pt>
                <c:pt idx="7">
                  <c:v>Платежи от оказания платных услуг и компенсация затрат</c:v>
                </c:pt>
                <c:pt idx="8">
                  <c:v>Доходы от продажи материальных ценностей</c:v>
                </c:pt>
                <c:pt idx="9">
                  <c:v>Штрафы, санкции, возмещение ущерба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21078.6</c:v>
                </c:pt>
                <c:pt idx="1">
                  <c:v>2367.8000000000002</c:v>
                </c:pt>
                <c:pt idx="2">
                  <c:v>2348.9</c:v>
                </c:pt>
                <c:pt idx="3">
                  <c:v>247.4</c:v>
                </c:pt>
                <c:pt idx="4">
                  <c:v>0</c:v>
                </c:pt>
                <c:pt idx="5">
                  <c:v>1227.3</c:v>
                </c:pt>
                <c:pt idx="6">
                  <c:v>241.5</c:v>
                </c:pt>
                <c:pt idx="7">
                  <c:v>71.099999999999994</c:v>
                </c:pt>
                <c:pt idx="8">
                  <c:v>546.9</c:v>
                </c:pt>
                <c:pt idx="9">
                  <c:v>251.5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06963328"/>
        <c:axId val="106964864"/>
        <c:axId val="0"/>
      </c:bar3DChart>
      <c:catAx>
        <c:axId val="106963328"/>
        <c:scaling>
          <c:orientation val="minMax"/>
        </c:scaling>
        <c:delete val="0"/>
        <c:axPos val="l"/>
        <c:majorTickMark val="out"/>
        <c:minorTickMark val="none"/>
        <c:tickLblPos val="nextTo"/>
        <c:crossAx val="106964864"/>
        <c:crosses val="autoZero"/>
        <c:auto val="1"/>
        <c:lblAlgn val="ctr"/>
        <c:lblOffset val="100"/>
        <c:noMultiLvlLbl val="0"/>
      </c:catAx>
      <c:valAx>
        <c:axId val="1069648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6963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6 месяцев  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доходы от возвратап остатков субсидий, субвенций, ИМТ</c:v>
                </c:pt>
              </c:strCache>
            </c:strRef>
          </c:cat>
          <c:val>
            <c:numRef>
              <c:f>Лист1!$B$34:$F$34</c:f>
              <c:numCache>
                <c:formatCode>General</c:formatCode>
                <c:ptCount val="5"/>
                <c:pt idx="0">
                  <c:v>24583</c:v>
                </c:pt>
                <c:pt idx="1">
                  <c:v>43421</c:v>
                </c:pt>
                <c:pt idx="2">
                  <c:v>8581.5</c:v>
                </c:pt>
                <c:pt idx="3">
                  <c:v>483.1</c:v>
                </c:pt>
                <c:pt idx="4">
                  <c:v>43.5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6  месяцев   2018 года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1.2441679626749535E-2"/>
                  <c:y val="1.4124293785310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доходы от возвратап остатков субсидий, субвенций, ИМТ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0">
                  <c:v>13071.6</c:v>
                </c:pt>
                <c:pt idx="1">
                  <c:v>36862.5</c:v>
                </c:pt>
                <c:pt idx="2">
                  <c:v>2642.6</c:v>
                </c:pt>
                <c:pt idx="3">
                  <c:v>105.9</c:v>
                </c:pt>
                <c:pt idx="4">
                  <c:v>-6.5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584896"/>
        <c:axId val="107590784"/>
        <c:axId val="0"/>
      </c:bar3DChart>
      <c:catAx>
        <c:axId val="10758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7590784"/>
        <c:crosses val="autoZero"/>
        <c:auto val="1"/>
        <c:lblAlgn val="ctr"/>
        <c:lblOffset val="100"/>
        <c:noMultiLvlLbl val="0"/>
      </c:catAx>
      <c:valAx>
        <c:axId val="107590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584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4703209396122781"/>
          <c:y val="1.1244103910033582E-2"/>
          <c:w val="0.58890313968485897"/>
          <c:h val="0.897806061128469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Лист1!$C$110</c:f>
              <c:strCache>
                <c:ptCount val="1"/>
                <c:pt idx="0">
                  <c:v>Факт 6 месяцев 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Лист1!$B$111:$B$123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  <c:pt idx="12">
                  <c:v>Итого расходов:</c:v>
                </c:pt>
              </c:strCache>
            </c:strRef>
          </c:cat>
          <c:val>
            <c:numRef>
              <c:f>Лист1!$C$111:$C$123</c:f>
              <c:numCache>
                <c:formatCode>General</c:formatCode>
                <c:ptCount val="13"/>
                <c:pt idx="0">
                  <c:v>19209.3</c:v>
                </c:pt>
                <c:pt idx="1">
                  <c:v>531.6</c:v>
                </c:pt>
                <c:pt idx="2">
                  <c:v>4373.3</c:v>
                </c:pt>
                <c:pt idx="3">
                  <c:v>113.4</c:v>
                </c:pt>
                <c:pt idx="4">
                  <c:v>11.1</c:v>
                </c:pt>
                <c:pt idx="5">
                  <c:v>64054</c:v>
                </c:pt>
                <c:pt idx="6">
                  <c:v>10006.5</c:v>
                </c:pt>
                <c:pt idx="7">
                  <c:v>771.1</c:v>
                </c:pt>
                <c:pt idx="8">
                  <c:v>6652.3</c:v>
                </c:pt>
                <c:pt idx="9">
                  <c:v>1995</c:v>
                </c:pt>
                <c:pt idx="10">
                  <c:v>325</c:v>
                </c:pt>
                <c:pt idx="11">
                  <c:v>8172.1</c:v>
                </c:pt>
                <c:pt idx="12">
                  <c:v>116214.70000000001</c:v>
                </c:pt>
              </c:numCache>
            </c:numRef>
          </c:val>
        </c:ser>
        <c:ser>
          <c:idx val="1"/>
          <c:order val="1"/>
          <c:tx>
            <c:strRef>
              <c:f>Лист1!$D$110</c:f>
              <c:strCache>
                <c:ptCount val="1"/>
                <c:pt idx="0">
                  <c:v>Факт 6 месяцев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Лист1!$B$111:$B$123</c:f>
              <c:strCache>
                <c:ptCount val="13"/>
                <c:pt idx="0">
                  <c:v>Общегосударственные вопросы</c:v>
                </c:pt>
                <c:pt idx="1">
                  <c:v>Национальная безопасность и правоохраниельная деятельность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  <c:pt idx="12">
                  <c:v>Итого расходов:</c:v>
                </c:pt>
              </c:strCache>
            </c:strRef>
          </c:cat>
          <c:val>
            <c:numRef>
              <c:f>Лист1!$D$111:$D$123</c:f>
              <c:numCache>
                <c:formatCode>General</c:formatCode>
                <c:ptCount val="13"/>
                <c:pt idx="0">
                  <c:v>14865.9</c:v>
                </c:pt>
                <c:pt idx="1">
                  <c:v>600.6</c:v>
                </c:pt>
                <c:pt idx="2">
                  <c:v>5166.6000000000004</c:v>
                </c:pt>
                <c:pt idx="3">
                  <c:v>1852.8</c:v>
                </c:pt>
                <c:pt idx="4">
                  <c:v>22</c:v>
                </c:pt>
                <c:pt idx="5">
                  <c:v>58710.1</c:v>
                </c:pt>
                <c:pt idx="6">
                  <c:v>7210.7</c:v>
                </c:pt>
                <c:pt idx="7">
                  <c:v>64.900000000000006</c:v>
                </c:pt>
                <c:pt idx="8">
                  <c:v>4785.8</c:v>
                </c:pt>
                <c:pt idx="9">
                  <c:v>1769.6</c:v>
                </c:pt>
                <c:pt idx="10">
                  <c:v>320.7</c:v>
                </c:pt>
                <c:pt idx="11">
                  <c:v>7862.1</c:v>
                </c:pt>
                <c:pt idx="12">
                  <c:v>103231.8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670144"/>
        <c:axId val="107823488"/>
        <c:axId val="0"/>
      </c:bar3DChart>
      <c:catAx>
        <c:axId val="107670144"/>
        <c:scaling>
          <c:orientation val="minMax"/>
        </c:scaling>
        <c:delete val="0"/>
        <c:axPos val="l"/>
        <c:majorTickMark val="out"/>
        <c:minorTickMark val="none"/>
        <c:tickLblPos val="nextTo"/>
        <c:crossAx val="107823488"/>
        <c:crosses val="autoZero"/>
        <c:auto val="1"/>
        <c:lblAlgn val="ctr"/>
        <c:lblOffset val="100"/>
        <c:noMultiLvlLbl val="0"/>
      </c:catAx>
      <c:valAx>
        <c:axId val="107823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767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16,5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 3,8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92638036809816E-2"/>
                  <c:y val="-0.125589990087343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ЖКХ 0,09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Охрана окружающей среды 0,01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55,1%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8,6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Здравоохранение 0,7 %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Социальная политика 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СМИ </a:t>
                    </a:r>
                    <a:r>
                      <a:rPr lang="en-US"/>
                      <a:t>0,3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Межбюджетные трансферты 7,0%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Лист1!$A$58:$A$69</c:f>
              <c:strCache>
                <c:ptCount val="12"/>
                <c:pt idx="0">
                  <c:v>Общегосударственные 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Здравоохранение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СМИ</c:v>
                </c:pt>
                <c:pt idx="11">
                  <c:v>Межбюджетные трансферты</c:v>
                </c:pt>
              </c:strCache>
            </c:strRef>
          </c:cat>
          <c:val>
            <c:numRef>
              <c:f>Лист1!$B$58:$B$69</c:f>
              <c:numCache>
                <c:formatCode>General</c:formatCode>
                <c:ptCount val="12"/>
                <c:pt idx="0">
                  <c:v>16.5</c:v>
                </c:pt>
                <c:pt idx="1">
                  <c:v>0.5</c:v>
                </c:pt>
                <c:pt idx="2">
                  <c:v>3.8</c:v>
                </c:pt>
                <c:pt idx="3">
                  <c:v>0.09</c:v>
                </c:pt>
                <c:pt idx="4">
                  <c:v>0.01</c:v>
                </c:pt>
                <c:pt idx="5">
                  <c:v>55.1</c:v>
                </c:pt>
                <c:pt idx="6">
                  <c:v>8.6</c:v>
                </c:pt>
                <c:pt idx="7">
                  <c:v>0.7</c:v>
                </c:pt>
                <c:pt idx="8">
                  <c:v>5.7</c:v>
                </c:pt>
                <c:pt idx="9">
                  <c:v>1.7</c:v>
                </c:pt>
                <c:pt idx="10">
                  <c:v>0.3</c:v>
                </c:pt>
                <c:pt idx="1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668640362917318"/>
          <c:y val="1.7058060176642111E-2"/>
          <c:w val="0.78980246801815202"/>
          <c:h val="0.8577832489329633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Лист1!$A$309:$A$315</c:f>
              <c:strCache>
                <c:ptCount val="7"/>
                <c:pt idx="0">
                  <c:v>Исполнено за 6 месяцев 2018  года</c:v>
                </c:pt>
                <c:pt idx="1">
                  <c:v>Первоначальный бюджет на 2018  год</c:v>
                </c:pt>
                <c:pt idx="2">
                  <c:v>С учетом поправок по состоянию на 01.07.2018 года</c:v>
                </c:pt>
                <c:pt idx="4">
                  <c:v>Исполнено за 6 месяцев  2019 года</c:v>
                </c:pt>
                <c:pt idx="5">
                  <c:v>Первоначальный бюджет на 2019 год</c:v>
                </c:pt>
                <c:pt idx="6">
                  <c:v>С учетом поправок по состоянию на 01.07.2019 года</c:v>
                </c:pt>
              </c:strCache>
            </c:strRef>
          </c:cat>
          <c:val>
            <c:numRef>
              <c:f>Лист1!$B$309:$B$315</c:f>
              <c:numCache>
                <c:formatCode>General</c:formatCode>
                <c:ptCount val="7"/>
                <c:pt idx="0">
                  <c:v>-22174.7</c:v>
                </c:pt>
                <c:pt idx="1">
                  <c:v>-6961</c:v>
                </c:pt>
                <c:pt idx="2">
                  <c:v>-25315.200000000001</c:v>
                </c:pt>
                <c:pt idx="4">
                  <c:v>-8436.7999999999993</c:v>
                </c:pt>
                <c:pt idx="5">
                  <c:v>-4421.8999999999996</c:v>
                </c:pt>
                <c:pt idx="6">
                  <c:v>-11435.5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353984"/>
        <c:axId val="107355520"/>
      </c:barChart>
      <c:catAx>
        <c:axId val="10735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355520"/>
        <c:crosses val="autoZero"/>
        <c:auto val="1"/>
        <c:lblAlgn val="ctr"/>
        <c:lblOffset val="100"/>
        <c:noMultiLvlLbl val="0"/>
      </c:catAx>
      <c:valAx>
        <c:axId val="10735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35398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676D-5688-44ED-A9A8-974545F3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8124</Words>
  <Characters>46311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2019-08-13T07:25:00Z</cp:lastPrinted>
  <dcterms:created xsi:type="dcterms:W3CDTF">2019-08-15T11:41:00Z</dcterms:created>
  <dcterms:modified xsi:type="dcterms:W3CDTF">2019-08-15T11:41:00Z</dcterms:modified>
</cp:coreProperties>
</file>