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8A" w:rsidRPr="009D7C8A" w:rsidRDefault="009D7C8A" w:rsidP="009D7C8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437C8737" wp14:editId="1B5C2C57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C8A" w:rsidRPr="009D7C8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C8A" w:rsidRPr="009D7C8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D7C8A" w:rsidRPr="009D7C8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9D7C8A" w:rsidRPr="009D7C8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9D7C8A" w:rsidRPr="009D7C8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C8A" w:rsidRPr="009D7C8A" w:rsidRDefault="009D7C8A" w:rsidP="009D7C8A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C8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D7C8A" w:rsidRPr="009D7C8A" w:rsidRDefault="009D7C8A" w:rsidP="009D7C8A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C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D7C8A" w:rsidRPr="009D7C8A" w:rsidRDefault="009D7C8A" w:rsidP="009D7C8A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C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9D7C8A" w:rsidRPr="009D7C8A" w:rsidRDefault="009D7C8A" w:rsidP="009D7C8A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C8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 w:rsidR="00357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9D7C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Дудина </w:t>
      </w:r>
    </w:p>
    <w:p w:rsidR="009D7C8A" w:rsidRPr="009D7C8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C8A" w:rsidRPr="009D7C8A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7C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9D7C8A" w:rsidRPr="009D7C8A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C8A" w:rsidRPr="009D7C8A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Туровецкое</w:t>
      </w:r>
    </w:p>
    <w:p w:rsidR="009D7C8A" w:rsidRPr="009D7C8A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201</w:t>
      </w:r>
      <w:r w:rsidR="00B820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D7C8A" w:rsidRPr="009D7C8A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9D7C8A" w:rsidRDefault="009D7C8A" w:rsidP="009D7C8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204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820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</w:t>
      </w:r>
      <w:r w:rsidR="00EF14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 Плана работы  ревизионной комиссии 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B820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полугодие  201</w:t>
      </w:r>
      <w:r w:rsidR="00B82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proofErr w:type="gramEnd"/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Отчет об исполнении бюджета поселения за 1 полугодие 201</w:t>
      </w:r>
      <w:r w:rsidR="00B8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D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утвержден постановлением администрации  поселения Туровецкое от </w:t>
      </w:r>
      <w:r w:rsidR="00B8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9D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Pr="009D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</w:t>
      </w:r>
      <w:r w:rsidR="00B82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D7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года №22.</w:t>
      </w: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сопоставление исполненных показателей бюджета поселения  за 1 полугодие 201</w:t>
      </w:r>
      <w:r w:rsidR="00B820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выявление возможных несоответствий (нарушений) и подготовка предложений, направленных на их устранение.</w:t>
      </w: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полугодие 201</w:t>
      </w:r>
      <w:r w:rsidR="00B820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9D7C8A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поселения.</w:t>
      </w:r>
    </w:p>
    <w:p w:rsidR="007E18BB" w:rsidRDefault="009D7C8A" w:rsidP="007E18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Отчет об исполнении бюджета поселения за 1 полугодие   201</w:t>
      </w:r>
      <w:r w:rsidR="00B820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D7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Туровецкое в форме приложений: 1 – по доходам бюджета поселения, 2 – по расходам  бюджета поселения по разделам,  3 – по показателям дефицита (профицита) бюджета 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9D7C8A" w:rsidRPr="00DD198B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201</w:t>
      </w:r>
      <w:r w:rsidR="00DD198B"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DD198B"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D198B"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1 полугодии 201</w:t>
      </w:r>
      <w:r w:rsidR="00A61A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DD198B"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 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DD198B"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Совета поселения Туровецкое 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D198B"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25.02.2019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D198B"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DD1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201</w:t>
      </w:r>
      <w:r w:rsidR="004611A4"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 решением Совета поселения Туровецкое от </w:t>
      </w:r>
      <w:r w:rsidR="004611A4"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611A4"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611A4"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9D7C8A" w:rsidRPr="004611A4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 w:rsidR="004611A4"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4021,8</w:t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C8A" w:rsidRPr="004611A4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4611A4"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4021,8</w:t>
      </w: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C8A" w:rsidRPr="004611A4" w:rsidRDefault="009D7C8A" w:rsidP="009D7C8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поселения </w:t>
      </w:r>
      <w:proofErr w:type="gramStart"/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дефицита.</w:t>
      </w:r>
    </w:p>
    <w:p w:rsidR="009D7C8A" w:rsidRPr="004611A4" w:rsidRDefault="009D7C8A" w:rsidP="009D7C8A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1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Туровецкое  имеет следующие параметры:</w:t>
      </w:r>
    </w:p>
    <w:p w:rsidR="009D7C8A" w:rsidRPr="00236F86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 w:rsidR="00236F86"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C8A" w:rsidRPr="00236F86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236F86"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C8A" w:rsidRPr="00236F86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бюджета поселения </w:t>
      </w:r>
      <w:proofErr w:type="gramStart"/>
      <w:r w:rsidR="00236F86"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="00236F86"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</w:t>
      </w:r>
      <w:r w:rsidRPr="00236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Pr="0071796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составили </w:t>
      </w:r>
      <w:r w:rsidR="00717967"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>3001,</w:t>
      </w:r>
      <w:r w:rsidR="00BB3A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17967"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>57,9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17967"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– </w:t>
      </w:r>
      <w:r w:rsidR="00717967"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>2838,9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17967"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17967"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составил </w:t>
      </w:r>
      <w:r w:rsidR="00717967"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>162,9</w:t>
      </w:r>
      <w:r w:rsidRPr="0071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7C8A" w:rsidRPr="00335ADB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за 1 полугодие 201</w:t>
      </w:r>
      <w:r w:rsidR="00834187"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834187"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9D7C8A" w:rsidRPr="00335ADB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5AD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834187" w:rsidRPr="0033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35ADB">
        <w:rPr>
          <w:rFonts w:ascii="Times New Roman" w:eastAsia="Times New Roman" w:hAnsi="Times New Roman" w:cs="Times New Roman"/>
          <w:lang w:eastAsia="ru-RU"/>
        </w:rPr>
        <w:t>тыс. руб.</w:t>
      </w:r>
    </w:p>
    <w:p w:rsidR="009D7C8A" w:rsidRP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134"/>
        <w:gridCol w:w="1418"/>
        <w:gridCol w:w="1276"/>
        <w:gridCol w:w="1417"/>
        <w:gridCol w:w="1417"/>
      </w:tblGrid>
      <w:tr w:rsidR="009D7C8A" w:rsidRPr="009D7C8A" w:rsidTr="007E18BB">
        <w:trPr>
          <w:trHeight w:val="2158"/>
        </w:trPr>
        <w:tc>
          <w:tcPr>
            <w:tcW w:w="1809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7C8A" w:rsidRPr="009D7C8A" w:rsidRDefault="009D7C8A" w:rsidP="008341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полугодие 201</w:t>
            </w:r>
            <w:r w:rsidR="0083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134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83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9D7C8A" w:rsidRPr="009D7C8A" w:rsidRDefault="009D7C8A" w:rsidP="008341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83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17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83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834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201</w:t>
            </w:r>
            <w:r w:rsidR="00335A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9D7C8A" w:rsidRPr="009D7C8A" w:rsidRDefault="009D7C8A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7C8A" w:rsidRPr="009D7C8A" w:rsidTr="007E18BB">
        <w:trPr>
          <w:trHeight w:val="261"/>
        </w:trPr>
        <w:tc>
          <w:tcPr>
            <w:tcW w:w="1809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9D7C8A" w:rsidRPr="009D7C8A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34187" w:rsidRPr="009D7C8A" w:rsidTr="007E18BB">
        <w:tc>
          <w:tcPr>
            <w:tcW w:w="1809" w:type="dxa"/>
          </w:tcPr>
          <w:p w:rsidR="00834187" w:rsidRPr="009D7C8A" w:rsidRDefault="00834187" w:rsidP="009D7C8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834187" w:rsidRPr="009D7C8A" w:rsidRDefault="00834187" w:rsidP="007E18B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1942,7</w:t>
            </w:r>
          </w:p>
        </w:tc>
        <w:tc>
          <w:tcPr>
            <w:tcW w:w="1134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5188,3</w:t>
            </w:r>
          </w:p>
        </w:tc>
        <w:tc>
          <w:tcPr>
            <w:tcW w:w="1418" w:type="dxa"/>
          </w:tcPr>
          <w:p w:rsidR="00834187" w:rsidRPr="009D7C8A" w:rsidRDefault="00834187" w:rsidP="00BB3A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3001,</w:t>
            </w:r>
            <w:r w:rsidR="00BB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417" w:type="dxa"/>
          </w:tcPr>
          <w:p w:rsidR="00834187" w:rsidRPr="009D7C8A" w:rsidRDefault="00BB3AB6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1059,1</w:t>
            </w:r>
          </w:p>
        </w:tc>
        <w:tc>
          <w:tcPr>
            <w:tcW w:w="1417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154,5</w:t>
            </w:r>
          </w:p>
        </w:tc>
      </w:tr>
      <w:tr w:rsidR="00834187" w:rsidRPr="009D7C8A" w:rsidTr="007E18BB">
        <w:tc>
          <w:tcPr>
            <w:tcW w:w="1809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834187" w:rsidRPr="009D7C8A" w:rsidRDefault="00834187" w:rsidP="007E18B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1922,7</w:t>
            </w:r>
          </w:p>
        </w:tc>
        <w:tc>
          <w:tcPr>
            <w:tcW w:w="1134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5188,3</w:t>
            </w:r>
          </w:p>
        </w:tc>
        <w:tc>
          <w:tcPr>
            <w:tcW w:w="1418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2838,9</w:t>
            </w:r>
          </w:p>
        </w:tc>
        <w:tc>
          <w:tcPr>
            <w:tcW w:w="1276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417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916,2</w:t>
            </w:r>
          </w:p>
        </w:tc>
        <w:tc>
          <w:tcPr>
            <w:tcW w:w="1417" w:type="dxa"/>
          </w:tcPr>
          <w:p w:rsidR="00834187" w:rsidRPr="009D7C8A" w:rsidRDefault="00335ADB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</w:tr>
      <w:tr w:rsidR="00834187" w:rsidRPr="009D7C8A" w:rsidTr="007E18BB">
        <w:tc>
          <w:tcPr>
            <w:tcW w:w="1809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834187" w:rsidRPr="009D7C8A" w:rsidRDefault="00834187" w:rsidP="007E18B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834187" w:rsidRPr="009D7C8A" w:rsidRDefault="00834187" w:rsidP="00BB3A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</w:t>
            </w:r>
            <w:r w:rsidR="00BB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834187" w:rsidRPr="009D7C8A" w:rsidRDefault="00834187" w:rsidP="00BB3A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</w:t>
            </w:r>
            <w:r w:rsidR="00BB3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834187" w:rsidRPr="009D7C8A" w:rsidRDefault="00834187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7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9D7C8A" w:rsidRPr="004972A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4972A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201</w:t>
      </w:r>
      <w:r w:rsidR="00CE1A93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 w:rsidR="004972A1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972A1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1059,</w:t>
      </w:r>
      <w:r w:rsidR="00BB3A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972A1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54,5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</w:t>
      </w:r>
      <w:r w:rsidR="004972A1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увеличи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лись на </w:t>
      </w:r>
      <w:r w:rsidR="004972A1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916,2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4972A1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47,6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1 полугодие 201</w:t>
      </w:r>
      <w:r w:rsidR="004972A1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  в сумме  </w:t>
      </w:r>
      <w:r w:rsidR="00BB3AB6">
        <w:rPr>
          <w:rFonts w:ascii="Times New Roman" w:eastAsia="Times New Roman" w:hAnsi="Times New Roman" w:cs="Times New Roman"/>
          <w:sz w:val="28"/>
          <w:szCs w:val="28"/>
          <w:lang w:eastAsia="ru-RU"/>
        </w:rPr>
        <w:t>162,9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4972A1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также с профицитом в сумме </w:t>
      </w:r>
      <w:r w:rsidR="004972A1"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49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1AB3" w:rsidRPr="004972A1" w:rsidRDefault="00A61AB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7C8A" w:rsidRPr="004972A1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3B3BF8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3B3B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по доходам за 1 полугодие 201</w:t>
      </w:r>
      <w:r w:rsidR="004972A1" w:rsidRPr="003B3BF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B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3B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3B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7C8A" w:rsidRPr="003B3BF8" w:rsidRDefault="009D7C8A" w:rsidP="009D7C8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3BF8">
        <w:rPr>
          <w:rFonts w:ascii="Times New Roman" w:eastAsia="Times New Roman" w:hAnsi="Times New Roman" w:cs="Times New Roman"/>
          <w:lang w:eastAsia="ru-RU"/>
        </w:rPr>
        <w:t>Таблица № 2</w:t>
      </w:r>
      <w:r w:rsidRPr="003B3BF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992"/>
        <w:gridCol w:w="851"/>
        <w:gridCol w:w="708"/>
        <w:gridCol w:w="236"/>
      </w:tblGrid>
      <w:tr w:rsidR="00834187" w:rsidRPr="003B3BF8" w:rsidTr="007E18BB">
        <w:trPr>
          <w:gridAfter w:val="1"/>
          <w:wAfter w:w="236" w:type="dxa"/>
          <w:trHeight w:val="3152"/>
        </w:trPr>
        <w:tc>
          <w:tcPr>
            <w:tcW w:w="2802" w:type="dxa"/>
          </w:tcPr>
          <w:p w:rsidR="009D7C8A" w:rsidRPr="003B3BF8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9D7C8A" w:rsidRPr="003B3BF8" w:rsidRDefault="009D7C8A" w:rsidP="0049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4972A1"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9D7C8A" w:rsidRPr="003B3BF8" w:rsidRDefault="009D7C8A" w:rsidP="0049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201</w:t>
            </w:r>
            <w:r w:rsidR="004972A1"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9D7C8A" w:rsidRPr="003B3BF8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9D7C8A" w:rsidRPr="003B3BF8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D7C8A" w:rsidRPr="003B3BF8" w:rsidRDefault="009D7C8A" w:rsidP="0049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4972A1"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9D7C8A" w:rsidRPr="003B3BF8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9D7C8A" w:rsidRPr="003B3BF8" w:rsidRDefault="009D7C8A" w:rsidP="004972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201</w:t>
            </w:r>
            <w:r w:rsidR="004972A1"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2" w:type="dxa"/>
          </w:tcPr>
          <w:p w:rsidR="009D7C8A" w:rsidRPr="003B3BF8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9D7C8A" w:rsidRPr="003B3BF8" w:rsidRDefault="009D7C8A" w:rsidP="009D7C8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D7C8A" w:rsidRPr="003B3BF8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9D7C8A" w:rsidRPr="003B3BF8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9D7C8A" w:rsidRPr="003B3BF8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9D7C8A" w:rsidRPr="003B3BF8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4972A1"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9D7C8A" w:rsidRPr="003B3BF8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полугодия </w:t>
            </w:r>
          </w:p>
          <w:p w:rsidR="009D7C8A" w:rsidRPr="003B3BF8" w:rsidRDefault="009D7C8A" w:rsidP="004972A1">
            <w:pPr>
              <w:spacing w:after="0" w:line="240" w:lineRule="auto"/>
              <w:ind w:left="-108" w:righ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4972A1"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9D7C8A" w:rsidRPr="003B3BF8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9D7C8A" w:rsidRPr="003B3BF8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1 полугодия </w:t>
            </w:r>
          </w:p>
          <w:p w:rsidR="009D7C8A" w:rsidRPr="003B3BF8" w:rsidRDefault="009D7C8A" w:rsidP="009D7C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4972A1"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3B3BF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9D7C8A" w:rsidRPr="003B3BF8" w:rsidRDefault="009D7C8A" w:rsidP="009D7C8A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285,0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122,2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42,9</w:t>
            </w:r>
          </w:p>
        </w:tc>
        <w:tc>
          <w:tcPr>
            <w:tcW w:w="850" w:type="dxa"/>
          </w:tcPr>
          <w:p w:rsidR="004972A1" w:rsidRPr="003B3BF8" w:rsidRDefault="004972A1" w:rsidP="00521A0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21A00"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8,0</w:t>
            </w:r>
          </w:p>
        </w:tc>
        <w:tc>
          <w:tcPr>
            <w:tcW w:w="851" w:type="dxa"/>
          </w:tcPr>
          <w:p w:rsidR="004972A1" w:rsidRPr="003B3BF8" w:rsidRDefault="004972A1" w:rsidP="00BB3A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152,</w:t>
            </w:r>
            <w:r w:rsidR="00BB3AB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40,4</w:t>
            </w:r>
          </w:p>
        </w:tc>
        <w:tc>
          <w:tcPr>
            <w:tcW w:w="851" w:type="dxa"/>
          </w:tcPr>
          <w:p w:rsidR="004972A1" w:rsidRPr="003B3BF8" w:rsidRDefault="00521A00" w:rsidP="00BB3A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30,</w:t>
            </w:r>
            <w:r w:rsidR="00BB3AB6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8" w:type="dxa"/>
          </w:tcPr>
          <w:p w:rsidR="004972A1" w:rsidRPr="003B3BF8" w:rsidRDefault="00521A00" w:rsidP="00521A0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124,0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  <w:tc>
          <w:tcPr>
            <w:tcW w:w="850" w:type="dxa"/>
          </w:tcPr>
          <w:p w:rsidR="004972A1" w:rsidRPr="003B3BF8" w:rsidRDefault="004972A1" w:rsidP="009D7C8A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851" w:type="dxa"/>
          </w:tcPr>
          <w:p w:rsidR="004972A1" w:rsidRPr="003B3BF8" w:rsidRDefault="004972A1" w:rsidP="009D7C8A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99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9,7</w:t>
            </w:r>
          </w:p>
        </w:tc>
        <w:tc>
          <w:tcPr>
            <w:tcW w:w="708" w:type="dxa"/>
          </w:tcPr>
          <w:p w:rsidR="004972A1" w:rsidRPr="003B3BF8" w:rsidRDefault="00521A00" w:rsidP="00521A0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850" w:type="dxa"/>
          </w:tcPr>
          <w:p w:rsidR="004972A1" w:rsidRPr="003B3BF8" w:rsidRDefault="004972A1" w:rsidP="009D7C8A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851" w:type="dxa"/>
          </w:tcPr>
          <w:p w:rsidR="004972A1" w:rsidRPr="003B3BF8" w:rsidRDefault="00BB3AB6" w:rsidP="009D7C8A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9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51" w:type="dxa"/>
          </w:tcPr>
          <w:p w:rsidR="004972A1" w:rsidRPr="003B3BF8" w:rsidRDefault="00521A00" w:rsidP="00BB3A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 w:rsidR="00BB3A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4972A1" w:rsidRPr="003B3BF8" w:rsidRDefault="00521A00" w:rsidP="00521A0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228,2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850" w:type="dxa"/>
          </w:tcPr>
          <w:p w:rsidR="004972A1" w:rsidRPr="003B3BF8" w:rsidRDefault="004972A1" w:rsidP="009D7C8A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851" w:type="dxa"/>
          </w:tcPr>
          <w:p w:rsidR="004972A1" w:rsidRPr="003B3BF8" w:rsidRDefault="004972A1" w:rsidP="009D7C8A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  <w:tc>
          <w:tcPr>
            <w:tcW w:w="99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708" w:type="dxa"/>
          </w:tcPr>
          <w:p w:rsidR="004972A1" w:rsidRPr="003B3BF8" w:rsidRDefault="00521A00" w:rsidP="00521A0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128,7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4972A1" w:rsidRPr="003B3BF8" w:rsidRDefault="004972A1" w:rsidP="009D7C8A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</w:tcPr>
          <w:p w:rsidR="004972A1" w:rsidRPr="003B3BF8" w:rsidRDefault="004972A1" w:rsidP="009D7C8A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99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8" w:type="dxa"/>
          </w:tcPr>
          <w:p w:rsidR="004972A1" w:rsidRPr="003B3BF8" w:rsidRDefault="00521A00" w:rsidP="00521A0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0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4972A1" w:rsidRPr="003B3BF8" w:rsidRDefault="004972A1" w:rsidP="009D7C8A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4972A1" w:rsidRPr="003B3BF8" w:rsidRDefault="00012198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521A00"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708" w:type="dxa"/>
          </w:tcPr>
          <w:p w:rsidR="004972A1" w:rsidRPr="003B3BF8" w:rsidRDefault="00521A00" w:rsidP="00521A00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709" w:type="dxa"/>
          </w:tcPr>
          <w:p w:rsidR="004972A1" w:rsidRPr="003B3BF8" w:rsidRDefault="00521A00" w:rsidP="0069326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</w:tcPr>
          <w:p w:rsidR="004972A1" w:rsidRPr="003B3BF8" w:rsidRDefault="004972A1" w:rsidP="009D7C8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4972A1" w:rsidRPr="003B3BF8" w:rsidRDefault="004972A1" w:rsidP="009D7C8A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4972A1" w:rsidRPr="003B3BF8" w:rsidRDefault="004972A1" w:rsidP="009D7C8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-73,0</w:t>
            </w:r>
          </w:p>
        </w:tc>
        <w:tc>
          <w:tcPr>
            <w:tcW w:w="708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358,0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195,2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54,5</w:t>
            </w:r>
          </w:p>
        </w:tc>
        <w:tc>
          <w:tcPr>
            <w:tcW w:w="850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378,0</w:t>
            </w:r>
          </w:p>
        </w:tc>
        <w:tc>
          <w:tcPr>
            <w:tcW w:w="851" w:type="dxa"/>
          </w:tcPr>
          <w:p w:rsidR="004972A1" w:rsidRPr="003B3BF8" w:rsidRDefault="00521A00" w:rsidP="00BB3A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152,</w:t>
            </w:r>
            <w:r w:rsidR="00BB3AB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40,4</w:t>
            </w:r>
          </w:p>
        </w:tc>
        <w:tc>
          <w:tcPr>
            <w:tcW w:w="851" w:type="dxa"/>
          </w:tcPr>
          <w:p w:rsidR="004972A1" w:rsidRPr="003B3BF8" w:rsidRDefault="00521A00" w:rsidP="00BB3A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-42,</w:t>
            </w:r>
            <w:r w:rsidR="00BB3AB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8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78,2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4427,2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1747,5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39,5</w:t>
            </w:r>
          </w:p>
        </w:tc>
        <w:tc>
          <w:tcPr>
            <w:tcW w:w="850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4810,3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2849,0</w:t>
            </w:r>
          </w:p>
        </w:tc>
        <w:tc>
          <w:tcPr>
            <w:tcW w:w="992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59,2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1101,5</w:t>
            </w:r>
          </w:p>
        </w:tc>
        <w:tc>
          <w:tcPr>
            <w:tcW w:w="708" w:type="dxa"/>
          </w:tcPr>
          <w:p w:rsidR="004972A1" w:rsidRPr="003B3BF8" w:rsidRDefault="00521A00" w:rsidP="00521A0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163,0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3187,4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1617,8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50,8</w:t>
            </w:r>
          </w:p>
        </w:tc>
        <w:tc>
          <w:tcPr>
            <w:tcW w:w="850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2665,7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1527,2</w:t>
            </w:r>
          </w:p>
        </w:tc>
        <w:tc>
          <w:tcPr>
            <w:tcW w:w="992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-90,6</w:t>
            </w:r>
          </w:p>
        </w:tc>
        <w:tc>
          <w:tcPr>
            <w:tcW w:w="708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850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992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708" w:type="dxa"/>
          </w:tcPr>
          <w:p w:rsidR="004972A1" w:rsidRPr="003B3BF8" w:rsidRDefault="00521A00" w:rsidP="00521A00">
            <w:pPr>
              <w:tabs>
                <w:tab w:val="left" w:pos="196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1119,6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45,1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1501,5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982,4</w:t>
            </w:r>
          </w:p>
        </w:tc>
        <w:tc>
          <w:tcPr>
            <w:tcW w:w="992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851" w:type="dxa"/>
          </w:tcPr>
          <w:p w:rsidR="004972A1" w:rsidRPr="003B3BF8" w:rsidRDefault="003B3BF8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937,3</w:t>
            </w:r>
          </w:p>
        </w:tc>
        <w:tc>
          <w:tcPr>
            <w:tcW w:w="708" w:type="dxa"/>
          </w:tcPr>
          <w:p w:rsidR="004972A1" w:rsidRPr="003B3BF8" w:rsidRDefault="003B3BF8" w:rsidP="003B3BF8">
            <w:pPr>
              <w:tabs>
                <w:tab w:val="left" w:pos="480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в 21,8 раза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прочие субсидии бюджетам сельских поселений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34,1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550,6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992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851" w:type="dxa"/>
          </w:tcPr>
          <w:p w:rsidR="004972A1" w:rsidRPr="003B3BF8" w:rsidRDefault="003B3BF8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302,3</w:t>
            </w:r>
          </w:p>
        </w:tc>
        <w:tc>
          <w:tcPr>
            <w:tcW w:w="708" w:type="dxa"/>
          </w:tcPr>
          <w:p w:rsidR="004972A1" w:rsidRPr="003B3BF8" w:rsidRDefault="003B3BF8" w:rsidP="003B3BF8">
            <w:pPr>
              <w:tabs>
                <w:tab w:val="left" w:pos="480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в 9,9 раза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доходы 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-43,5</w:t>
            </w:r>
          </w:p>
        </w:tc>
        <w:tc>
          <w:tcPr>
            <w:tcW w:w="992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4972A1" w:rsidRPr="003B3BF8" w:rsidRDefault="003B3BF8" w:rsidP="0001219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-43,</w:t>
            </w:r>
            <w:r w:rsidR="000121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</w:tcPr>
          <w:p w:rsidR="004972A1" w:rsidRPr="003B3BF8" w:rsidRDefault="003B3BF8" w:rsidP="009D7C8A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972A1" w:rsidRPr="003B3BF8" w:rsidTr="007E18BB">
        <w:trPr>
          <w:gridAfter w:val="1"/>
          <w:wAfter w:w="236" w:type="dxa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4972A1" w:rsidRPr="003B3BF8" w:rsidRDefault="003B3BF8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-7,5</w:t>
            </w:r>
          </w:p>
        </w:tc>
        <w:tc>
          <w:tcPr>
            <w:tcW w:w="708" w:type="dxa"/>
          </w:tcPr>
          <w:p w:rsidR="004972A1" w:rsidRPr="003B3BF8" w:rsidRDefault="003B3BF8" w:rsidP="009D7C8A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B3BF8" w:rsidRPr="003B3BF8" w:rsidTr="007E18BB">
        <w:trPr>
          <w:trHeight w:val="309"/>
        </w:trPr>
        <w:tc>
          <w:tcPr>
            <w:tcW w:w="2802" w:type="dxa"/>
          </w:tcPr>
          <w:p w:rsidR="004972A1" w:rsidRPr="003B3BF8" w:rsidRDefault="004972A1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4785,2</w:t>
            </w:r>
          </w:p>
        </w:tc>
        <w:tc>
          <w:tcPr>
            <w:tcW w:w="992" w:type="dxa"/>
          </w:tcPr>
          <w:p w:rsidR="004972A1" w:rsidRPr="003B3BF8" w:rsidRDefault="004972A1" w:rsidP="00693262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1942,7</w:t>
            </w:r>
          </w:p>
        </w:tc>
        <w:tc>
          <w:tcPr>
            <w:tcW w:w="709" w:type="dxa"/>
          </w:tcPr>
          <w:p w:rsidR="004972A1" w:rsidRPr="003B3BF8" w:rsidRDefault="004972A1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40,6</w:t>
            </w:r>
          </w:p>
        </w:tc>
        <w:tc>
          <w:tcPr>
            <w:tcW w:w="850" w:type="dxa"/>
          </w:tcPr>
          <w:p w:rsidR="004972A1" w:rsidRPr="003B3BF8" w:rsidRDefault="00521A00" w:rsidP="009D7C8A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5188,3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972A1" w:rsidRPr="003B3BF8" w:rsidRDefault="00521A00" w:rsidP="00BB3AB6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3001,</w:t>
            </w:r>
            <w:r w:rsidR="00BB3AB6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4972A1" w:rsidRPr="003B3BF8" w:rsidRDefault="00521A00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57,9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972A1" w:rsidRPr="003B3BF8" w:rsidRDefault="003B3BF8" w:rsidP="00BB3A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1059,</w:t>
            </w:r>
            <w:r w:rsidR="00BB3AB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4972A1" w:rsidRPr="003B3BF8" w:rsidRDefault="003B3BF8" w:rsidP="003B3BF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3BF8">
              <w:rPr>
                <w:rFonts w:ascii="Times New Roman" w:eastAsia="Times New Roman" w:hAnsi="Times New Roman" w:cs="Times New Roman"/>
                <w:b/>
                <w:lang w:eastAsia="ru-RU"/>
              </w:rPr>
              <w:t>154,5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972A1" w:rsidRPr="003B3BF8" w:rsidRDefault="004972A1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B3BF8" w:rsidRDefault="003B3BF8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3BF8" w:rsidRDefault="003B3BF8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3BF8" w:rsidRDefault="003B3BF8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C8A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3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3B3BF8" w:rsidRPr="003B3BF8" w:rsidRDefault="003B3BF8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C8A" w:rsidRPr="00674041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D7C8A" w:rsidRPr="00674041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152,</w:t>
      </w:r>
      <w:r w:rsidR="00BB3A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40,4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378,0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201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42,</w:t>
      </w:r>
      <w:r w:rsidR="00BB3A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снижение только по прочим  доходам от компенсации затрат бюджетов сельских поселений, по остальным видам 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674041" w:rsidRPr="006740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наблюдается рост.</w:t>
      </w:r>
    </w:p>
    <w:p w:rsidR="009D7C8A" w:rsidRPr="00674041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041">
        <w:rPr>
          <w:rFonts w:ascii="Times New Roman" w:eastAsia="Calibri" w:hAnsi="Times New Roman" w:cs="Times New Roman"/>
          <w:sz w:val="28"/>
          <w:szCs w:val="28"/>
        </w:rPr>
        <w:t xml:space="preserve">        Структура налоговых  и неналоговых доходов бюджета района в сравнении с 1  полугодием  201</w:t>
      </w:r>
      <w:r w:rsidR="00674041" w:rsidRPr="00674041">
        <w:rPr>
          <w:rFonts w:ascii="Times New Roman" w:eastAsia="Calibri" w:hAnsi="Times New Roman" w:cs="Times New Roman"/>
          <w:sz w:val="28"/>
          <w:szCs w:val="28"/>
        </w:rPr>
        <w:t>8</w:t>
      </w:r>
      <w:r w:rsidRPr="00674041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9D7C8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8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674041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B2474A" w:rsidRDefault="00900949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4FDC49" wp14:editId="7D1CD61E">
            <wp:extent cx="6067425" cy="43815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474A" w:rsidRPr="00834187" w:rsidRDefault="00B2474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9D7C8A" w:rsidRPr="009B687C" w:rsidRDefault="00900949" w:rsidP="00900949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                                         </w:t>
      </w:r>
      <w:r w:rsidR="009D7C8A" w:rsidRPr="009B687C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9D7C8A" w:rsidRPr="009B687C" w:rsidRDefault="009D7C8A" w:rsidP="009D7C8A">
      <w:pPr>
        <w:spacing w:after="0" w:line="240" w:lineRule="auto"/>
        <w:ind w:firstLine="705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D7C8A" w:rsidRPr="009B687C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87C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 исполнены в сумме </w:t>
      </w:r>
      <w:r w:rsidR="009B687C" w:rsidRPr="009B687C">
        <w:rPr>
          <w:rFonts w:ascii="Times New Roman" w:eastAsia="Calibri" w:hAnsi="Times New Roman" w:cs="Times New Roman"/>
          <w:sz w:val="28"/>
          <w:szCs w:val="28"/>
        </w:rPr>
        <w:t>152,</w:t>
      </w:r>
      <w:r w:rsidR="00BB3AB6">
        <w:rPr>
          <w:rFonts w:ascii="Times New Roman" w:eastAsia="Calibri" w:hAnsi="Times New Roman" w:cs="Times New Roman"/>
          <w:sz w:val="28"/>
          <w:szCs w:val="28"/>
        </w:rPr>
        <w:t>8</w:t>
      </w:r>
      <w:r w:rsidRPr="009B687C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B687C" w:rsidRPr="009B687C">
        <w:rPr>
          <w:rFonts w:ascii="Times New Roman" w:eastAsia="Calibri" w:hAnsi="Times New Roman" w:cs="Times New Roman"/>
          <w:sz w:val="28"/>
          <w:szCs w:val="28"/>
        </w:rPr>
        <w:t>40,4</w:t>
      </w:r>
      <w:r w:rsidRPr="009B687C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9B687C" w:rsidRPr="009B687C">
        <w:rPr>
          <w:rFonts w:ascii="Times New Roman" w:eastAsia="Calibri" w:hAnsi="Times New Roman" w:cs="Times New Roman"/>
          <w:sz w:val="28"/>
          <w:szCs w:val="28"/>
        </w:rPr>
        <w:t>378,0</w:t>
      </w:r>
      <w:r w:rsidRPr="009B687C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налоговых доходов в структуре доходов бюджета  поселения составила </w:t>
      </w:r>
      <w:r w:rsidR="009B687C" w:rsidRPr="009B687C">
        <w:rPr>
          <w:rFonts w:ascii="Times New Roman" w:eastAsia="Calibri" w:hAnsi="Times New Roman" w:cs="Times New Roman"/>
          <w:sz w:val="28"/>
          <w:szCs w:val="28"/>
        </w:rPr>
        <w:t>5,1</w:t>
      </w:r>
      <w:r w:rsidR="00BB3A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87C">
        <w:rPr>
          <w:rFonts w:ascii="Times New Roman" w:eastAsia="Calibri" w:hAnsi="Times New Roman" w:cs="Times New Roman"/>
          <w:sz w:val="28"/>
          <w:szCs w:val="28"/>
        </w:rPr>
        <w:t>процента.</w:t>
      </w:r>
    </w:p>
    <w:p w:rsidR="009D7C8A" w:rsidRPr="009B687C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8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полугодии 201</w:t>
      </w:r>
      <w:r w:rsidR="009B687C" w:rsidRPr="009B68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9D7C8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949" w:rsidRPr="009B687C" w:rsidRDefault="00900949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9B687C">
        <w:rPr>
          <w:rFonts w:ascii="Times New Roman" w:eastAsia="Times New Roman" w:hAnsi="Times New Roman" w:cs="Times New Roman"/>
          <w:lang w:eastAsia="ru-RU"/>
        </w:rPr>
        <w:t>Таблица № 3</w:t>
      </w:r>
      <w:r w:rsidRPr="009B687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</w:t>
      </w:r>
      <w:r w:rsidRPr="00900949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Style w:val="a3"/>
        <w:tblW w:w="9639" w:type="dxa"/>
        <w:tblInd w:w="108" w:type="dxa"/>
        <w:tblLook w:val="01E0" w:firstRow="1" w:lastRow="1" w:firstColumn="1" w:lastColumn="1" w:noHBand="0" w:noVBand="0"/>
      </w:tblPr>
      <w:tblGrid>
        <w:gridCol w:w="1862"/>
        <w:gridCol w:w="1824"/>
        <w:gridCol w:w="2117"/>
        <w:gridCol w:w="1852"/>
        <w:gridCol w:w="1984"/>
      </w:tblGrid>
      <w:tr w:rsidR="00834187" w:rsidRPr="00834187" w:rsidTr="00AA2FDB">
        <w:tc>
          <w:tcPr>
            <w:tcW w:w="1862" w:type="dxa"/>
          </w:tcPr>
          <w:p w:rsidR="009D7C8A" w:rsidRPr="00AA2FDB" w:rsidRDefault="009D7C8A" w:rsidP="00AA2FDB">
            <w:pPr>
              <w:contextualSpacing/>
              <w:jc w:val="both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lastRenderedPageBreak/>
              <w:t>Фактическое исполнение за 1 полугодие 201</w:t>
            </w:r>
            <w:r w:rsidR="00AA2FDB" w:rsidRPr="00AA2FDB">
              <w:rPr>
                <w:sz w:val="28"/>
                <w:szCs w:val="28"/>
              </w:rPr>
              <w:t>8</w:t>
            </w:r>
            <w:r w:rsidRPr="00AA2F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4" w:type="dxa"/>
          </w:tcPr>
          <w:p w:rsidR="009D7C8A" w:rsidRPr="00AA2FDB" w:rsidRDefault="009D7C8A" w:rsidP="00AA2FDB">
            <w:pPr>
              <w:contextualSpacing/>
              <w:jc w:val="both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t>% исполнения от плановых назначений на 201</w:t>
            </w:r>
            <w:r w:rsidR="00AA2FDB" w:rsidRPr="00AA2FDB">
              <w:rPr>
                <w:sz w:val="28"/>
                <w:szCs w:val="28"/>
              </w:rPr>
              <w:t>8</w:t>
            </w:r>
            <w:r w:rsidRPr="00AA2FD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7" w:type="dxa"/>
          </w:tcPr>
          <w:p w:rsidR="009D7C8A" w:rsidRPr="00AA2FDB" w:rsidRDefault="009D7C8A" w:rsidP="00AA2FDB">
            <w:pPr>
              <w:contextualSpacing/>
              <w:jc w:val="both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t>Фактическое исполнение за 1 полугодие 201</w:t>
            </w:r>
            <w:r w:rsidR="00AA2FDB" w:rsidRPr="00AA2FDB">
              <w:rPr>
                <w:sz w:val="28"/>
                <w:szCs w:val="28"/>
              </w:rPr>
              <w:t>9</w:t>
            </w:r>
            <w:r w:rsidRPr="00AA2F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9D7C8A" w:rsidRPr="00AA2FDB" w:rsidRDefault="009D7C8A" w:rsidP="00AA2FDB">
            <w:pPr>
              <w:contextualSpacing/>
              <w:jc w:val="both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t>% исполнения от плановых назначений на 201</w:t>
            </w:r>
            <w:r w:rsidR="00AA2FDB" w:rsidRPr="00AA2FDB">
              <w:rPr>
                <w:sz w:val="28"/>
                <w:szCs w:val="28"/>
              </w:rPr>
              <w:t xml:space="preserve">9 </w:t>
            </w:r>
            <w:r w:rsidRPr="00AA2FDB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9D7C8A" w:rsidRPr="00AA2FDB" w:rsidRDefault="009D7C8A" w:rsidP="00AA2FDB">
            <w:pPr>
              <w:contextualSpacing/>
              <w:jc w:val="both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t>Отклонение 1 полугодия 201</w:t>
            </w:r>
            <w:r w:rsidR="00AA2FDB" w:rsidRPr="00AA2FDB">
              <w:rPr>
                <w:sz w:val="28"/>
                <w:szCs w:val="28"/>
              </w:rPr>
              <w:t>9</w:t>
            </w:r>
            <w:r w:rsidRPr="00AA2FDB">
              <w:rPr>
                <w:sz w:val="28"/>
                <w:szCs w:val="28"/>
              </w:rPr>
              <w:t xml:space="preserve"> года от 1 полугодия 201</w:t>
            </w:r>
            <w:r w:rsidR="00AA2FDB" w:rsidRPr="00AA2FDB">
              <w:rPr>
                <w:sz w:val="28"/>
                <w:szCs w:val="28"/>
              </w:rPr>
              <w:t>8</w:t>
            </w:r>
            <w:r w:rsidRPr="00AA2FDB">
              <w:rPr>
                <w:sz w:val="28"/>
                <w:szCs w:val="28"/>
              </w:rPr>
              <w:t xml:space="preserve"> года</w:t>
            </w:r>
          </w:p>
        </w:tc>
      </w:tr>
      <w:tr w:rsidR="00834187" w:rsidRPr="00834187" w:rsidTr="00AA2FDB">
        <w:tc>
          <w:tcPr>
            <w:tcW w:w="1862" w:type="dxa"/>
          </w:tcPr>
          <w:p w:rsidR="009D7C8A" w:rsidRPr="00AA2FDB" w:rsidRDefault="00AA2FDB" w:rsidP="009D7C8A">
            <w:pPr>
              <w:contextualSpacing/>
              <w:jc w:val="right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t>89,0</w:t>
            </w:r>
          </w:p>
        </w:tc>
        <w:tc>
          <w:tcPr>
            <w:tcW w:w="1824" w:type="dxa"/>
          </w:tcPr>
          <w:p w:rsidR="009D7C8A" w:rsidRPr="00AA2FDB" w:rsidRDefault="00AA2FDB" w:rsidP="009D7C8A">
            <w:pPr>
              <w:contextualSpacing/>
              <w:jc w:val="right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t>71,8</w:t>
            </w:r>
          </w:p>
        </w:tc>
        <w:tc>
          <w:tcPr>
            <w:tcW w:w="2117" w:type="dxa"/>
          </w:tcPr>
          <w:p w:rsidR="009D7C8A" w:rsidRPr="00AA2FDB" w:rsidRDefault="00AA2FDB" w:rsidP="009D7C8A">
            <w:pPr>
              <w:contextualSpacing/>
              <w:jc w:val="center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t>98,7</w:t>
            </w:r>
          </w:p>
        </w:tc>
        <w:tc>
          <w:tcPr>
            <w:tcW w:w="1852" w:type="dxa"/>
          </w:tcPr>
          <w:p w:rsidR="009D7C8A" w:rsidRPr="00AA2FDB" w:rsidRDefault="00AA2FDB" w:rsidP="009D7C8A">
            <w:pPr>
              <w:contextualSpacing/>
              <w:jc w:val="right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t>51,9</w:t>
            </w:r>
          </w:p>
        </w:tc>
        <w:tc>
          <w:tcPr>
            <w:tcW w:w="1984" w:type="dxa"/>
          </w:tcPr>
          <w:p w:rsidR="009D7C8A" w:rsidRPr="00AA2FDB" w:rsidRDefault="00AA2FDB" w:rsidP="009D7C8A">
            <w:pPr>
              <w:contextualSpacing/>
              <w:jc w:val="right"/>
              <w:rPr>
                <w:sz w:val="28"/>
                <w:szCs w:val="28"/>
              </w:rPr>
            </w:pPr>
            <w:r w:rsidRPr="00AA2FDB">
              <w:rPr>
                <w:sz w:val="28"/>
                <w:szCs w:val="28"/>
              </w:rPr>
              <w:t>9,7</w:t>
            </w:r>
          </w:p>
        </w:tc>
      </w:tr>
    </w:tbl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         Т. о., первое место по объему налоговых доходов занимает налог на доходы физических лиц (далее - НДФЛ). Объем поступлений указанного налога составил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98,7 тыс. рублей, или 51,9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190,0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выше уровня 1 полугодия  201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8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9,7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10,9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%. </w:t>
      </w:r>
      <w:r w:rsidR="00AA2FDB">
        <w:rPr>
          <w:rFonts w:ascii="Times New Roman" w:eastAsia="Calibri" w:hAnsi="Times New Roman" w:cs="Times New Roman"/>
          <w:sz w:val="28"/>
          <w:szCs w:val="28"/>
        </w:rPr>
        <w:t>Однако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, д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оля НДФЛ в налоговых доходах бюджета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снизилась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90CDD">
        <w:rPr>
          <w:rFonts w:ascii="Times New Roman" w:eastAsia="Calibri" w:hAnsi="Times New Roman" w:cs="Times New Roman"/>
          <w:sz w:val="28"/>
          <w:szCs w:val="28"/>
        </w:rPr>
        <w:t>с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72,8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D90CDD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64,6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9D7C8A" w:rsidRPr="00AC52F9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8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Второе  место по величине поступлений в бюджет поселения занимает налоговый доходный источник – земельный налог. Поступление указанного налога составило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37,7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43,3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87,0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 201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8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земельного налога увеличилось на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8,4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28,7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%. Доля земельного налога в налоговых доходах бюджета поселения </w:t>
      </w:r>
      <w:r w:rsidR="00AA2FDB" w:rsidRPr="00AA2FDB">
        <w:rPr>
          <w:rFonts w:ascii="Times New Roman" w:eastAsia="Calibri" w:hAnsi="Times New Roman" w:cs="Times New Roman"/>
          <w:sz w:val="28"/>
          <w:szCs w:val="28"/>
        </w:rPr>
        <w:t>увеличилась на 0,7%</w:t>
      </w:r>
      <w:r w:rsidRPr="00AA2FD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составила </w:t>
      </w:r>
      <w:r w:rsidR="00AA2FDB" w:rsidRPr="00AC52F9">
        <w:rPr>
          <w:rFonts w:ascii="Times New Roman" w:eastAsia="Calibri" w:hAnsi="Times New Roman" w:cs="Times New Roman"/>
          <w:sz w:val="28"/>
          <w:szCs w:val="28"/>
        </w:rPr>
        <w:t>24,7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9D7C8A" w:rsidRPr="00AC52F9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         Третий   по  величине налоговый доходный источник -  налог на имущество физических лиц. Поступление указанного налога составило </w:t>
      </w:r>
      <w:r w:rsidR="00BB3AB6">
        <w:rPr>
          <w:rFonts w:ascii="Times New Roman" w:eastAsia="Calibri" w:hAnsi="Times New Roman" w:cs="Times New Roman"/>
          <w:sz w:val="28"/>
          <w:szCs w:val="28"/>
        </w:rPr>
        <w:t>9,0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9,8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91,0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201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8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увеличилось на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5,</w:t>
      </w:r>
      <w:r w:rsidR="00BB3AB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тыс. рублей, или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в 2,3 раза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. Доля налога  на имущество физических лиц в налоговых доходах бюджета поселения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3,2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5,8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9D7C8A" w:rsidRPr="00AC52F9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     Четвертый 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 xml:space="preserve">и последний 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по  величине налоговый доходный источник – государственная пошлина. 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 xml:space="preserve">Поступление указанного налога составило 7,4 тыс. рублей, или 74,0% к плановым назначениям в размере 10,0 тыс. рублей. </w:t>
      </w:r>
      <w:r w:rsidRPr="00AC52F9">
        <w:rPr>
          <w:rFonts w:ascii="Times New Roman" w:eastAsia="Calibri" w:hAnsi="Times New Roman" w:cs="Times New Roman"/>
          <w:sz w:val="28"/>
          <w:szCs w:val="28"/>
        </w:rPr>
        <w:t>По сравнению с 1 полугодием 201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8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увеличилось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7,4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государственной пошлины в налоговых доходах бюджета поселения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0,0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AC52F9" w:rsidRPr="00AC52F9">
        <w:rPr>
          <w:rFonts w:ascii="Times New Roman" w:eastAsia="Calibri" w:hAnsi="Times New Roman" w:cs="Times New Roman"/>
          <w:sz w:val="28"/>
          <w:szCs w:val="28"/>
        </w:rPr>
        <w:t>4,8</w:t>
      </w:r>
      <w:r w:rsidRPr="00AC52F9">
        <w:rPr>
          <w:rFonts w:ascii="Times New Roman" w:eastAsia="Calibri" w:hAnsi="Times New Roman" w:cs="Times New Roman"/>
          <w:sz w:val="28"/>
          <w:szCs w:val="28"/>
        </w:rPr>
        <w:t xml:space="preserve">  процента. </w:t>
      </w: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3418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proofErr w:type="gramStart"/>
      <w:r w:rsidRPr="000F4A68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за 1 полугодие 201</w:t>
      </w:r>
      <w:r w:rsidR="000F4A68" w:rsidRPr="000F4A68">
        <w:rPr>
          <w:rFonts w:ascii="Times New Roman" w:eastAsia="Calibri" w:hAnsi="Times New Roman" w:cs="Times New Roman"/>
          <w:sz w:val="28"/>
          <w:szCs w:val="28"/>
        </w:rPr>
        <w:t>9</w:t>
      </w:r>
      <w:r w:rsidRPr="000F4A68">
        <w:rPr>
          <w:rFonts w:ascii="Times New Roman" w:eastAsia="Calibri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9D7C8A" w:rsidRPr="00900949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900949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00949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D3221A" w:rsidRPr="000E4DAD" w:rsidRDefault="009D7C8A" w:rsidP="00D322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8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</w:t>
      </w:r>
      <w:r w:rsidR="00D3221A" w:rsidRPr="000E4DAD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0,0 тыс. рублей. Поступление неналоговых платежей бюджетом не планировались, так как сдаваемое в аренду имущество жилищно-коммунального комплекса передано </w:t>
      </w:r>
      <w:r w:rsidR="00D3221A">
        <w:rPr>
          <w:rFonts w:ascii="Times New Roman" w:eastAsia="Calibri" w:hAnsi="Times New Roman" w:cs="Times New Roman"/>
          <w:sz w:val="28"/>
          <w:szCs w:val="28"/>
        </w:rPr>
        <w:t xml:space="preserve">в 2017 году </w:t>
      </w:r>
      <w:r w:rsidR="00D3221A" w:rsidRPr="000E4DAD">
        <w:rPr>
          <w:rFonts w:ascii="Times New Roman" w:eastAsia="Calibri" w:hAnsi="Times New Roman" w:cs="Times New Roman"/>
          <w:sz w:val="28"/>
          <w:szCs w:val="28"/>
        </w:rPr>
        <w:t>из собственности поселения в собственность района в соответствии с исполняемыми полномочиями.</w:t>
      </w:r>
    </w:p>
    <w:p w:rsidR="009D7C8A" w:rsidRPr="00834187" w:rsidRDefault="009D7C8A" w:rsidP="00D322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9D7C8A" w:rsidRPr="00D3221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3221A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9D7C8A" w:rsidRPr="00D3221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D7C8A" w:rsidRPr="00D3221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1A">
        <w:rPr>
          <w:rFonts w:ascii="Times New Roman" w:eastAsia="Calibri" w:hAnsi="Times New Roman" w:cs="Times New Roman"/>
          <w:sz w:val="28"/>
          <w:szCs w:val="28"/>
        </w:rPr>
        <w:t xml:space="preserve">          Безвозмездные поступления в бюджет поселения составили </w:t>
      </w:r>
      <w:r w:rsidR="00D3221A" w:rsidRPr="00D3221A">
        <w:rPr>
          <w:rFonts w:ascii="Times New Roman" w:eastAsia="Calibri" w:hAnsi="Times New Roman" w:cs="Times New Roman"/>
          <w:sz w:val="28"/>
          <w:szCs w:val="28"/>
        </w:rPr>
        <w:t>2849,0 тыс. рублей, или 59,2</w:t>
      </w:r>
      <w:r w:rsidRPr="00D3221A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D3221A" w:rsidRPr="00D3221A">
        <w:rPr>
          <w:rFonts w:ascii="Times New Roman" w:eastAsia="Calibri" w:hAnsi="Times New Roman" w:cs="Times New Roman"/>
          <w:sz w:val="28"/>
          <w:szCs w:val="28"/>
        </w:rPr>
        <w:t>4810,0</w:t>
      </w:r>
      <w:r w:rsidRPr="00D3221A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201</w:t>
      </w:r>
      <w:r w:rsidR="00D3221A" w:rsidRPr="00D3221A">
        <w:rPr>
          <w:rFonts w:ascii="Times New Roman" w:eastAsia="Calibri" w:hAnsi="Times New Roman" w:cs="Times New Roman"/>
          <w:sz w:val="28"/>
          <w:szCs w:val="28"/>
        </w:rPr>
        <w:t>8</w:t>
      </w:r>
      <w:r w:rsidRPr="00D3221A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</w:t>
      </w:r>
      <w:r w:rsidR="00D3221A" w:rsidRPr="00D3221A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Pr="00D3221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3221A" w:rsidRPr="00D3221A">
        <w:rPr>
          <w:rFonts w:ascii="Times New Roman" w:eastAsia="Calibri" w:hAnsi="Times New Roman" w:cs="Times New Roman"/>
          <w:sz w:val="28"/>
          <w:szCs w:val="28"/>
        </w:rPr>
        <w:t>1101,5</w:t>
      </w:r>
      <w:r w:rsidRPr="00D3221A">
        <w:rPr>
          <w:rFonts w:ascii="Times New Roman" w:eastAsia="Calibri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D3221A" w:rsidRPr="00D3221A">
        <w:rPr>
          <w:rFonts w:ascii="Times New Roman" w:eastAsia="Calibri" w:hAnsi="Times New Roman" w:cs="Times New Roman"/>
          <w:sz w:val="28"/>
          <w:szCs w:val="28"/>
        </w:rPr>
        <w:t>94,9</w:t>
      </w:r>
      <w:r w:rsidRPr="00D3221A">
        <w:rPr>
          <w:rFonts w:ascii="Times New Roman" w:eastAsia="Calibri" w:hAnsi="Times New Roman" w:cs="Times New Roman"/>
          <w:sz w:val="28"/>
          <w:szCs w:val="28"/>
        </w:rPr>
        <w:t xml:space="preserve">  процентов.</w:t>
      </w:r>
    </w:p>
    <w:p w:rsidR="009D7C8A" w:rsidRPr="00D3221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21A">
        <w:rPr>
          <w:rFonts w:ascii="Times New Roman" w:eastAsia="Calibri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201</w:t>
      </w:r>
      <w:r w:rsidR="00D3221A" w:rsidRPr="00D3221A">
        <w:rPr>
          <w:rFonts w:ascii="Times New Roman" w:eastAsia="Calibri" w:hAnsi="Times New Roman" w:cs="Times New Roman"/>
          <w:sz w:val="28"/>
          <w:szCs w:val="28"/>
        </w:rPr>
        <w:t>8</w:t>
      </w:r>
      <w:r w:rsidRPr="00D3221A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</w:p>
    <w:p w:rsidR="009D7C8A" w:rsidRPr="0067110C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67110C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тыс. руб.</w:t>
      </w:r>
    </w:p>
    <w:p w:rsidR="00900949" w:rsidRPr="00834187" w:rsidRDefault="00900949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43954D" wp14:editId="6FC387CE">
            <wp:extent cx="6119495" cy="4594215"/>
            <wp:effectExtent l="0" t="0" r="14605" b="165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</w:p>
    <w:p w:rsidR="009D7C8A" w:rsidRPr="00900949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18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r w:rsidRPr="00900949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в сумме </w:t>
      </w:r>
      <w:r w:rsidR="00900949" w:rsidRPr="00900949">
        <w:rPr>
          <w:rFonts w:ascii="Times New Roman" w:eastAsia="Calibri" w:hAnsi="Times New Roman" w:cs="Times New Roman"/>
          <w:sz w:val="28"/>
          <w:szCs w:val="28"/>
        </w:rPr>
        <w:t>1527,2</w:t>
      </w:r>
      <w:r w:rsidRPr="0090094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00949" w:rsidRPr="00900949">
        <w:rPr>
          <w:rFonts w:ascii="Times New Roman" w:eastAsia="Calibri" w:hAnsi="Times New Roman" w:cs="Times New Roman"/>
          <w:sz w:val="28"/>
          <w:szCs w:val="28"/>
        </w:rPr>
        <w:t>57,3</w:t>
      </w:r>
      <w:r w:rsidRPr="00900949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900949" w:rsidRPr="00900949">
        <w:rPr>
          <w:rFonts w:ascii="Times New Roman" w:eastAsia="Calibri" w:hAnsi="Times New Roman" w:cs="Times New Roman"/>
          <w:sz w:val="28"/>
          <w:szCs w:val="28"/>
        </w:rPr>
        <w:t>2665,7</w:t>
      </w:r>
      <w:r w:rsidRPr="0090094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D90CDD">
        <w:rPr>
          <w:rFonts w:ascii="Times New Roman" w:eastAsia="Calibri" w:hAnsi="Times New Roman" w:cs="Times New Roman"/>
          <w:sz w:val="28"/>
          <w:szCs w:val="28"/>
        </w:rPr>
        <w:t xml:space="preserve"> В сравнении с аналогичным периодом 2018 года дотации уменьшились на 90,6 тыс. рублей, или на 5,6 процента.</w:t>
      </w:r>
    </w:p>
    <w:p w:rsidR="009D7C8A" w:rsidRPr="00900949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949">
        <w:rPr>
          <w:rFonts w:ascii="Times New Roman" w:eastAsia="Calibri" w:hAnsi="Times New Roman" w:cs="Times New Roman"/>
          <w:sz w:val="28"/>
          <w:szCs w:val="28"/>
        </w:rPr>
        <w:t xml:space="preserve">       Доля дотаций в общем объеме безвозмездных поступлений составила </w:t>
      </w:r>
      <w:r w:rsidR="00900949" w:rsidRPr="00900949">
        <w:rPr>
          <w:rFonts w:ascii="Times New Roman" w:eastAsia="Calibri" w:hAnsi="Times New Roman" w:cs="Times New Roman"/>
          <w:sz w:val="28"/>
          <w:szCs w:val="28"/>
        </w:rPr>
        <w:t>53,6</w:t>
      </w:r>
      <w:r w:rsidRPr="0090094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3418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46,5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50,3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 xml:space="preserve">92,5 </w:t>
      </w:r>
      <w:r w:rsidRPr="00F255DB">
        <w:rPr>
          <w:rFonts w:ascii="Times New Roman" w:eastAsia="Calibri" w:hAnsi="Times New Roman" w:cs="Times New Roman"/>
          <w:sz w:val="28"/>
          <w:szCs w:val="28"/>
        </w:rPr>
        <w:t>тыс. рублей</w:t>
      </w:r>
      <w:proofErr w:type="gramStart"/>
      <w:r w:rsidRPr="00F255D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3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238A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7238A8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течение 1 полугодия  текущего года поступила субвенция на осуществление первичного воинского учета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AB6">
        <w:rPr>
          <w:rFonts w:ascii="Times New Roman" w:eastAsia="Calibri" w:hAnsi="Times New Roman" w:cs="Times New Roman"/>
          <w:sz w:val="28"/>
          <w:szCs w:val="28"/>
        </w:rPr>
        <w:t xml:space="preserve">в сумме 46,1 тыс. рублей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 xml:space="preserve">и на </w:t>
      </w:r>
      <w:r w:rsidR="00BB3AB6">
        <w:rPr>
          <w:rFonts w:ascii="Times New Roman" w:eastAsia="Calibri" w:hAnsi="Times New Roman" w:cs="Times New Roman"/>
          <w:sz w:val="28"/>
          <w:szCs w:val="28"/>
        </w:rPr>
        <w:t xml:space="preserve">осуществление полномочий в сфере административных </w:t>
      </w:r>
      <w:r w:rsidR="00BB3A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отношений в сумме 0,4 тыс. рублей. 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По сравнению с 1 полугодием 201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8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года субвенция увеличилась на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3,6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8,4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1,6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3418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Прочие с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убсидии бюджетам субъектов Российской Федерации и муниципальных образований поступили в сумме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336,4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61,6</w:t>
      </w:r>
      <w:r w:rsidRPr="00F255DB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F255DB" w:rsidRPr="00F255DB">
        <w:rPr>
          <w:rFonts w:ascii="Times New Roman" w:eastAsia="Calibri" w:hAnsi="Times New Roman" w:cs="Times New Roman"/>
          <w:sz w:val="28"/>
          <w:szCs w:val="28"/>
        </w:rPr>
        <w:t>550,</w:t>
      </w:r>
      <w:r w:rsidR="00F255DB" w:rsidRPr="00FA45A5">
        <w:rPr>
          <w:rFonts w:ascii="Times New Roman" w:eastAsia="Calibri" w:hAnsi="Times New Roman" w:cs="Times New Roman"/>
          <w:sz w:val="28"/>
          <w:szCs w:val="28"/>
        </w:rPr>
        <w:t>6</w:t>
      </w:r>
      <w:r w:rsidRPr="00FA45A5">
        <w:rPr>
          <w:rFonts w:ascii="Times New Roman" w:eastAsia="Calibri" w:hAnsi="Times New Roman" w:cs="Times New Roman"/>
          <w:sz w:val="28"/>
          <w:szCs w:val="28"/>
        </w:rPr>
        <w:t xml:space="preserve"> тыс. рублей. Поступила субсидия из областного бюджета по  программе «Энергосбережение и повышение энергетической эффективности на территории Вологодской области на 2014-2020 годы»</w:t>
      </w:r>
      <w:r w:rsidR="00FA45A5" w:rsidRPr="00FA45A5">
        <w:rPr>
          <w:rFonts w:ascii="Times New Roman" w:eastAsia="Calibri" w:hAnsi="Times New Roman" w:cs="Times New Roman"/>
          <w:sz w:val="28"/>
          <w:szCs w:val="28"/>
        </w:rPr>
        <w:t xml:space="preserve"> в сумме 196,4 тыс. рублей и на реализацию проекта «Народный бюджет» в сумме 140,0 тыс. рублей</w:t>
      </w:r>
      <w:r w:rsidRPr="00FA45A5">
        <w:rPr>
          <w:rFonts w:ascii="Times New Roman" w:eastAsia="Calibri" w:hAnsi="Times New Roman" w:cs="Times New Roman"/>
          <w:sz w:val="28"/>
          <w:szCs w:val="28"/>
        </w:rPr>
        <w:t>. По сравнению с 1 полугодием 201</w:t>
      </w:r>
      <w:r w:rsidR="00FA45A5" w:rsidRPr="00FA45A5">
        <w:rPr>
          <w:rFonts w:ascii="Times New Roman" w:eastAsia="Calibri" w:hAnsi="Times New Roman" w:cs="Times New Roman"/>
          <w:sz w:val="28"/>
          <w:szCs w:val="28"/>
        </w:rPr>
        <w:t>8</w:t>
      </w:r>
      <w:r w:rsidRPr="00FA45A5">
        <w:rPr>
          <w:rFonts w:ascii="Times New Roman" w:eastAsia="Calibri" w:hAnsi="Times New Roman" w:cs="Times New Roman"/>
          <w:sz w:val="28"/>
          <w:szCs w:val="28"/>
        </w:rPr>
        <w:t xml:space="preserve"> года субсидия увеличилась на </w:t>
      </w:r>
      <w:r w:rsidR="00FA45A5" w:rsidRPr="00FA45A5">
        <w:rPr>
          <w:rFonts w:ascii="Times New Roman" w:eastAsia="Calibri" w:hAnsi="Times New Roman" w:cs="Times New Roman"/>
          <w:sz w:val="28"/>
          <w:szCs w:val="28"/>
        </w:rPr>
        <w:t>302,3</w:t>
      </w:r>
      <w:r w:rsidRPr="00FA45A5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FA45A5" w:rsidRPr="00FA45A5">
        <w:rPr>
          <w:rFonts w:ascii="Times New Roman" w:eastAsia="Calibri" w:hAnsi="Times New Roman" w:cs="Times New Roman"/>
          <w:sz w:val="28"/>
          <w:szCs w:val="28"/>
        </w:rPr>
        <w:t>в 9,9 раза</w:t>
      </w:r>
      <w:r w:rsidRPr="00FA45A5">
        <w:rPr>
          <w:rFonts w:ascii="Times New Roman" w:eastAsia="Calibri" w:hAnsi="Times New Roman" w:cs="Times New Roman"/>
          <w:sz w:val="28"/>
          <w:szCs w:val="28"/>
        </w:rPr>
        <w:t>. Доля субсидий в общем объеме безвозмезд</w:t>
      </w:r>
      <w:r w:rsidR="00FA45A5" w:rsidRPr="00FA45A5">
        <w:rPr>
          <w:rFonts w:ascii="Times New Roman" w:eastAsia="Calibri" w:hAnsi="Times New Roman" w:cs="Times New Roman"/>
          <w:sz w:val="28"/>
          <w:szCs w:val="28"/>
        </w:rPr>
        <w:t>ных поступлений составила 11,8</w:t>
      </w:r>
      <w:r w:rsidRPr="00FA45A5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83418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</w:t>
      </w:r>
      <w:proofErr w:type="gramStart"/>
      <w:r w:rsidRPr="000D15D7">
        <w:rPr>
          <w:rFonts w:ascii="Times New Roman" w:eastAsia="Calibri" w:hAnsi="Times New Roman" w:cs="Times New Roman"/>
          <w:sz w:val="28"/>
          <w:szCs w:val="28"/>
        </w:rPr>
        <w:t>Поступление иных межбюджетные трансфертов  в 1 полугодии 201</w:t>
      </w:r>
      <w:r w:rsidR="000D15D7" w:rsidRPr="000D15D7">
        <w:rPr>
          <w:rFonts w:ascii="Times New Roman" w:eastAsia="Calibri" w:hAnsi="Times New Roman" w:cs="Times New Roman"/>
          <w:sz w:val="28"/>
          <w:szCs w:val="28"/>
        </w:rPr>
        <w:t>9</w:t>
      </w:r>
      <w:r w:rsidRPr="000D15D7">
        <w:rPr>
          <w:rFonts w:ascii="Times New Roman" w:eastAsia="Calibri" w:hAnsi="Times New Roman" w:cs="Times New Roman"/>
          <w:sz w:val="28"/>
          <w:szCs w:val="28"/>
        </w:rPr>
        <w:t xml:space="preserve"> года составило  </w:t>
      </w:r>
      <w:r w:rsidR="000D15D7" w:rsidRPr="000D15D7">
        <w:rPr>
          <w:rFonts w:ascii="Times New Roman" w:eastAsia="Calibri" w:hAnsi="Times New Roman" w:cs="Times New Roman"/>
          <w:sz w:val="28"/>
          <w:szCs w:val="28"/>
        </w:rPr>
        <w:t>982,4</w:t>
      </w:r>
      <w:r w:rsidR="00FA45A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на осуществление полномочий  по администрированию расходов в сфере дорожной деятельности – 3,6 тыс. рублей, на осуществление дорожной деятельности</w:t>
      </w:r>
      <w:r w:rsidR="00FA45A5" w:rsidRPr="00FA45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48C3" w:rsidRPr="00FA45A5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 w:rsidR="00FA45A5" w:rsidRPr="00FA45A5">
        <w:rPr>
          <w:rFonts w:ascii="Times New Roman" w:hAnsi="Times New Roman" w:cs="Times New Roman"/>
          <w:sz w:val="28"/>
          <w:szCs w:val="28"/>
        </w:rPr>
        <w:t>между администрацией района и администрацией поселения – 42,0 тыс. рублей,</w:t>
      </w:r>
      <w:r w:rsidR="00FA45A5">
        <w:rPr>
          <w:rFonts w:ascii="Times New Roman" w:hAnsi="Times New Roman" w:cs="Times New Roman"/>
          <w:sz w:val="28"/>
          <w:szCs w:val="28"/>
        </w:rPr>
        <w:t xml:space="preserve"> на приобретение автомашины для поселения – 650,0 тыс. рублей, для реализации расходных </w:t>
      </w:r>
      <w:r w:rsidR="007B3838">
        <w:rPr>
          <w:rFonts w:ascii="Times New Roman" w:hAnsi="Times New Roman" w:cs="Times New Roman"/>
          <w:sz w:val="28"/>
          <w:szCs w:val="28"/>
        </w:rPr>
        <w:t>обязательств в</w:t>
      </w:r>
      <w:proofErr w:type="gramEnd"/>
      <w:r w:rsidR="007B3838">
        <w:rPr>
          <w:rFonts w:ascii="Times New Roman" w:hAnsi="Times New Roman" w:cs="Times New Roman"/>
          <w:sz w:val="28"/>
          <w:szCs w:val="28"/>
        </w:rPr>
        <w:t xml:space="preserve"> части заработной платы – 286,8 тыс. рубле</w:t>
      </w:r>
      <w:r w:rsidR="007B3838" w:rsidRPr="007B3838">
        <w:rPr>
          <w:rFonts w:ascii="Times New Roman" w:hAnsi="Times New Roman" w:cs="Times New Roman"/>
          <w:sz w:val="28"/>
          <w:szCs w:val="28"/>
        </w:rPr>
        <w:t>й</w:t>
      </w:r>
      <w:r w:rsidR="00B548C3" w:rsidRPr="007B3838">
        <w:rPr>
          <w:rFonts w:ascii="Times New Roman" w:hAnsi="Times New Roman" w:cs="Times New Roman"/>
          <w:sz w:val="28"/>
          <w:szCs w:val="28"/>
        </w:rPr>
        <w:t xml:space="preserve">. </w:t>
      </w:r>
      <w:r w:rsidRPr="007B3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5D7">
        <w:rPr>
          <w:rFonts w:ascii="Times New Roman" w:eastAsia="Calibri" w:hAnsi="Times New Roman" w:cs="Times New Roman"/>
          <w:sz w:val="28"/>
          <w:szCs w:val="28"/>
        </w:rPr>
        <w:t>По сравнению с 1 полугодием 201</w:t>
      </w:r>
      <w:r w:rsidR="000D15D7" w:rsidRPr="000D15D7">
        <w:rPr>
          <w:rFonts w:ascii="Times New Roman" w:eastAsia="Calibri" w:hAnsi="Times New Roman" w:cs="Times New Roman"/>
          <w:sz w:val="28"/>
          <w:szCs w:val="28"/>
        </w:rPr>
        <w:t>8</w:t>
      </w:r>
      <w:r w:rsidRPr="000D15D7">
        <w:rPr>
          <w:rFonts w:ascii="Times New Roman" w:eastAsia="Calibri" w:hAnsi="Times New Roman" w:cs="Times New Roman"/>
          <w:sz w:val="28"/>
          <w:szCs w:val="28"/>
        </w:rPr>
        <w:t xml:space="preserve"> года размер иных межбюджетных трансфертов увеличился на </w:t>
      </w:r>
      <w:r w:rsidR="000D15D7" w:rsidRPr="000D15D7">
        <w:rPr>
          <w:rFonts w:ascii="Times New Roman" w:eastAsia="Calibri" w:hAnsi="Times New Roman" w:cs="Times New Roman"/>
          <w:sz w:val="28"/>
          <w:szCs w:val="28"/>
        </w:rPr>
        <w:t>937,3</w:t>
      </w:r>
      <w:r w:rsidRPr="000D15D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0D15D7" w:rsidRPr="000D15D7">
        <w:rPr>
          <w:rFonts w:ascii="Times New Roman" w:eastAsia="Calibri" w:hAnsi="Times New Roman" w:cs="Times New Roman"/>
          <w:sz w:val="28"/>
          <w:szCs w:val="28"/>
        </w:rPr>
        <w:t>в 21,8 раза</w:t>
      </w:r>
      <w:r w:rsidRPr="000D15D7">
        <w:rPr>
          <w:rFonts w:ascii="Times New Roman" w:eastAsia="Calibri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="000D15D7" w:rsidRPr="000D15D7">
        <w:rPr>
          <w:rFonts w:ascii="Times New Roman" w:eastAsia="Calibri" w:hAnsi="Times New Roman" w:cs="Times New Roman"/>
          <w:sz w:val="28"/>
          <w:szCs w:val="28"/>
        </w:rPr>
        <w:t>34,5</w:t>
      </w:r>
      <w:r w:rsidRPr="000D15D7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9D7C8A" w:rsidRPr="00834187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418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</w:t>
      </w:r>
      <w:r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безвозмездные поступления в 1 полугодии 201</w:t>
      </w:r>
      <w:r w:rsidR="00B548C3"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548C3"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</w:t>
      </w:r>
      <w:r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Решением о бюджете данные доходы в 201</w:t>
      </w:r>
      <w:r w:rsidR="00B548C3"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планировались. </w:t>
      </w:r>
      <w:r w:rsidR="00B548C3"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полугодии 2018 года прочие безвозмездные поступления составили – 7,5 тыс. рублей (</w:t>
      </w:r>
      <w:r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ООО ПКП «Северная сосна» для проведения Дня поселка</w:t>
      </w:r>
      <w:r w:rsidR="00B548C3"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54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Default="00B548C3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 (доходы) остатков субсидий, субвенций и иных межбюджетных трансфертов</w:t>
      </w:r>
      <w:r w:rsidR="00E80264"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полугодии 2019 года  составили  -</w:t>
      </w:r>
      <w:r w:rsidR="0072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264"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>43,5 тыс. рублей (возврат</w:t>
      </w:r>
      <w:r w:rsidR="007B3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дорожной деятельности</w:t>
      </w:r>
      <w:r w:rsidR="00E80264"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1 полугодии 2018 года 0,1 тыс. рублей (доходы).</w:t>
      </w:r>
      <w:r w:rsidR="007B3838" w:rsidRPr="007B3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838" w:rsidRPr="000D15D7">
        <w:rPr>
          <w:rFonts w:ascii="Times New Roman" w:eastAsia="Calibri" w:hAnsi="Times New Roman" w:cs="Times New Roman"/>
          <w:sz w:val="28"/>
          <w:szCs w:val="28"/>
        </w:rPr>
        <w:t xml:space="preserve">Доля иных межбюджетных трансфертов в общем объеме безвозмездных поступлений составила </w:t>
      </w:r>
      <w:r w:rsidR="007B3838">
        <w:rPr>
          <w:rFonts w:ascii="Times New Roman" w:eastAsia="Calibri" w:hAnsi="Times New Roman" w:cs="Times New Roman"/>
          <w:sz w:val="28"/>
          <w:szCs w:val="28"/>
        </w:rPr>
        <w:t>-1,5</w:t>
      </w:r>
      <w:r w:rsidR="007B3838" w:rsidRPr="000D15D7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E80264" w:rsidRPr="00E80264" w:rsidRDefault="00E80264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E80264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июля  201</w:t>
      </w:r>
      <w:r w:rsidR="00E80264"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июля 201</w:t>
      </w:r>
      <w:r w:rsidR="00E80264"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9D7C8A" w:rsidRPr="00E80264" w:rsidRDefault="009D7C8A" w:rsidP="009D7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C8A" w:rsidRPr="00E80264" w:rsidRDefault="009D7C8A" w:rsidP="009D7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9D7C8A" w:rsidRPr="00834187" w:rsidRDefault="009D7C8A" w:rsidP="009D7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7110C" w:rsidRPr="00B82092" w:rsidRDefault="0067110C" w:rsidP="0067110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82092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67110C" w:rsidRPr="00B82092" w:rsidTr="00693262">
        <w:trPr>
          <w:trHeight w:val="1985"/>
        </w:trPr>
        <w:tc>
          <w:tcPr>
            <w:tcW w:w="3227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Наименование налоговых доходов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</w:t>
            </w:r>
          </w:p>
          <w:p w:rsidR="0067110C" w:rsidRPr="00B82092" w:rsidRDefault="0067110C" w:rsidP="0069326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 состоянию на 01.01.201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67110C" w:rsidRPr="00B82092" w:rsidRDefault="0067110C" w:rsidP="0069326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67110C" w:rsidRPr="00B82092" w:rsidRDefault="0067110C" w:rsidP="0069326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01.01.201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67110C" w:rsidRPr="00B82092" w:rsidRDefault="0067110C" w:rsidP="0067110C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67110C" w:rsidRPr="00B82092" w:rsidRDefault="0067110C" w:rsidP="0067110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  на 01.01.201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от 01.01.201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67110C" w:rsidRPr="00B82092" w:rsidRDefault="0067110C" w:rsidP="0067110C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на 01.0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 года от 01.07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.201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(+-увеличение;- уменьшение)</w:t>
            </w:r>
          </w:p>
        </w:tc>
      </w:tr>
      <w:tr w:rsidR="0067110C" w:rsidRPr="00B82092" w:rsidTr="00693262">
        <w:tc>
          <w:tcPr>
            <w:tcW w:w="3227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7110C" w:rsidRPr="00B82092" w:rsidRDefault="0067110C" w:rsidP="0069326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7110C" w:rsidRPr="00B82092" w:rsidTr="00693262">
        <w:tc>
          <w:tcPr>
            <w:tcW w:w="3227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</w:tcPr>
          <w:p w:rsidR="0067110C" w:rsidRPr="0067110C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10C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</w:tcPr>
          <w:p w:rsidR="0067110C" w:rsidRPr="00B82092" w:rsidRDefault="00693262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34" w:type="dxa"/>
          </w:tcPr>
          <w:p w:rsidR="0067110C" w:rsidRPr="00B82092" w:rsidRDefault="00521509" w:rsidP="00693262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0,1</w:t>
            </w:r>
          </w:p>
        </w:tc>
      </w:tr>
      <w:tr w:rsidR="0067110C" w:rsidRPr="00B82092" w:rsidTr="00693262">
        <w:tc>
          <w:tcPr>
            <w:tcW w:w="3227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992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992" w:type="dxa"/>
          </w:tcPr>
          <w:p w:rsidR="0067110C" w:rsidRPr="0067110C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10C">
              <w:rPr>
                <w:rFonts w:ascii="Times New Roman" w:eastAsia="Times New Roman" w:hAnsi="Times New Roman" w:cs="Times New Roman"/>
                <w:lang w:eastAsia="ru-RU"/>
              </w:rPr>
              <w:t>58,5</w:t>
            </w:r>
          </w:p>
        </w:tc>
        <w:tc>
          <w:tcPr>
            <w:tcW w:w="1134" w:type="dxa"/>
          </w:tcPr>
          <w:p w:rsidR="0067110C" w:rsidRPr="00B82092" w:rsidRDefault="00693262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67,0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134" w:type="dxa"/>
          </w:tcPr>
          <w:p w:rsidR="0067110C" w:rsidRPr="00B82092" w:rsidRDefault="00521509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67110C" w:rsidRPr="00B82092" w:rsidTr="00693262">
        <w:tc>
          <w:tcPr>
            <w:tcW w:w="3227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92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92" w:type="dxa"/>
          </w:tcPr>
          <w:p w:rsidR="0067110C" w:rsidRPr="0067110C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10C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1134" w:type="dxa"/>
          </w:tcPr>
          <w:p w:rsidR="0067110C" w:rsidRPr="00B82092" w:rsidRDefault="00693262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-1,9</w:t>
            </w:r>
          </w:p>
        </w:tc>
        <w:tc>
          <w:tcPr>
            <w:tcW w:w="1134" w:type="dxa"/>
          </w:tcPr>
          <w:p w:rsidR="0067110C" w:rsidRPr="00B82092" w:rsidRDefault="00521509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0,3</w:t>
            </w:r>
          </w:p>
        </w:tc>
      </w:tr>
      <w:tr w:rsidR="0067110C" w:rsidRPr="00B82092" w:rsidTr="00693262">
        <w:tc>
          <w:tcPr>
            <w:tcW w:w="3227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71,9</w:t>
            </w:r>
          </w:p>
        </w:tc>
        <w:tc>
          <w:tcPr>
            <w:tcW w:w="992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84,6</w:t>
            </w:r>
          </w:p>
        </w:tc>
        <w:tc>
          <w:tcPr>
            <w:tcW w:w="992" w:type="dxa"/>
          </w:tcPr>
          <w:p w:rsidR="0067110C" w:rsidRPr="0067110C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10C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  <w:tc>
          <w:tcPr>
            <w:tcW w:w="1134" w:type="dxa"/>
          </w:tcPr>
          <w:p w:rsidR="0067110C" w:rsidRPr="00B82092" w:rsidRDefault="00693262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</w:tcPr>
          <w:p w:rsidR="0067110C" w:rsidRPr="00B82092" w:rsidRDefault="0067110C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134" w:type="dxa"/>
          </w:tcPr>
          <w:p w:rsidR="0067110C" w:rsidRPr="00B82092" w:rsidRDefault="00521509" w:rsidP="0069326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8,9</w:t>
            </w:r>
          </w:p>
        </w:tc>
      </w:tr>
    </w:tbl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521509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вышеприведенного анализа  наблюдается незначительный  рост  задолженности плательщиков по платежам в бюджет  в сравнении задолженности на 01.01.</w:t>
      </w:r>
      <w:r w:rsidRPr="000733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2019  года с аналогичным периодом прошлого года   на 12,7 тыс. рублей, или на 17,7 %, </w:t>
      </w:r>
      <w:r w:rsidR="009D7C8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01.07.201</w:t>
      </w:r>
      <w:r w:rsidR="0007339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7C8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07339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8,9</w:t>
      </w:r>
      <w:r w:rsidR="009D7C8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="009D7C8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D7C8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9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="009D7C8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proofErr w:type="gramStart"/>
      <w:r w:rsidR="009D7C8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D7C8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9D7C8A" w:rsidRPr="0007339A" w:rsidRDefault="009D7C8A" w:rsidP="009D7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на </w:t>
      </w:r>
      <w:r w:rsidR="0007339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8,5</w:t>
      </w: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07339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D7C8A" w:rsidRPr="0007339A" w:rsidRDefault="009D7C8A" w:rsidP="009D7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 на  0,</w:t>
      </w:r>
      <w:r w:rsidR="0007339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7339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9D7C8A" w:rsidRPr="0007339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НДФЛ  на 0,</w:t>
      </w:r>
      <w:r w:rsidR="0007339A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1 тыс. рублей, или на 14,3 процента</w:t>
      </w: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Pr="00834187" w:rsidRDefault="009D7C8A" w:rsidP="009D7C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01.07.201</w:t>
      </w:r>
      <w:r w:rsidR="00027BAC"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027BAC"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>95,5</w:t>
      </w:r>
      <w:r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 по земельному налогу – </w:t>
      </w:r>
      <w:r w:rsidR="00027BAC"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на третьем </w:t>
      </w:r>
      <w:r w:rsidR="00027BAC"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последнем </w:t>
      </w:r>
      <w:r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–</w:t>
      </w:r>
      <w:r w:rsid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НДФЛ -1,1  процента.</w:t>
      </w:r>
    </w:p>
    <w:p w:rsidR="009D7C8A" w:rsidRPr="00834187" w:rsidRDefault="009D7C8A" w:rsidP="009D7C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F31CAD" w:rsidRDefault="009D7C8A" w:rsidP="009D7C8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31C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9D7C8A" w:rsidRPr="00834187" w:rsidRDefault="009D7C8A" w:rsidP="009D7C8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D7C8A" w:rsidRPr="00140408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поселения за 1 полугодие 201</w:t>
      </w:r>
      <w:r w:rsidR="00F31CAD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сумме </w:t>
      </w:r>
      <w:r w:rsidR="00140408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2838,9</w:t>
      </w:r>
      <w:r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40408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 сумме </w:t>
      </w:r>
      <w:r w:rsidR="00140408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201</w:t>
      </w:r>
      <w:r w:rsidR="00140408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140408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40408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916,2</w:t>
      </w:r>
      <w:r w:rsidR="00EF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140408"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47,6</w:t>
      </w:r>
      <w:r w:rsidRPr="0014040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140408" w:rsidRDefault="009D7C8A" w:rsidP="009D7C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408">
        <w:rPr>
          <w:rFonts w:ascii="Times New Roman" w:eastAsia="Calibri" w:hAnsi="Times New Roman" w:cs="Times New Roman"/>
          <w:sz w:val="28"/>
          <w:szCs w:val="28"/>
        </w:rPr>
        <w:t xml:space="preserve">         Структура  исполнения бюджета поселения по расходам в сравнении с 1 полугодием 201</w:t>
      </w:r>
      <w:r w:rsidR="00140408" w:rsidRPr="00140408">
        <w:rPr>
          <w:rFonts w:ascii="Times New Roman" w:eastAsia="Calibri" w:hAnsi="Times New Roman" w:cs="Times New Roman"/>
          <w:sz w:val="28"/>
          <w:szCs w:val="28"/>
        </w:rPr>
        <w:t>8</w:t>
      </w:r>
      <w:r w:rsidRPr="00140408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9D7C8A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140408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</w:t>
      </w:r>
      <w:r w:rsidR="00D727E6" w:rsidRPr="00140408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тыс. руб.</w:t>
      </w:r>
    </w:p>
    <w:p w:rsidR="00035321" w:rsidRDefault="00035321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035321" w:rsidRDefault="00035321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035321" w:rsidRDefault="00035321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035321" w:rsidRDefault="00035321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035321" w:rsidRDefault="00035321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035321" w:rsidRDefault="00035321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035321" w:rsidRDefault="00035321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035321" w:rsidRPr="00140408" w:rsidRDefault="00035321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50ADBE" wp14:editId="14C9E1D7">
            <wp:extent cx="5981700" cy="45815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C00000"/>
          <w:lang w:eastAsia="ru-RU"/>
        </w:rPr>
      </w:pPr>
    </w:p>
    <w:p w:rsidR="009D7C8A" w:rsidRPr="00035321" w:rsidRDefault="009D7C8A" w:rsidP="009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</w:p>
    <w:p w:rsidR="009D7C8A" w:rsidRPr="00035321" w:rsidRDefault="009D7C8A" w:rsidP="009D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Расходы   бюджета поселения на социальную сферу за последний год снизились. На социальную сферу направлено </w:t>
      </w:r>
      <w:r w:rsidR="00035321"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>829,7</w:t>
      </w:r>
      <w:r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35321"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>60,9</w:t>
      </w:r>
      <w:r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полугодием 201</w:t>
      </w:r>
      <w:r w:rsidR="00035321"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035321"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35321"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35321"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снизилась с </w:t>
      </w:r>
      <w:r w:rsidR="00035321"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>39,2</w:t>
      </w:r>
      <w:r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035321"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>29,2</w:t>
      </w:r>
      <w:r w:rsidRPr="0003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процентов. </w:t>
      </w:r>
    </w:p>
    <w:p w:rsidR="009D7C8A" w:rsidRPr="00C86FA8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поселения занимают расходы  по разделам: «Общегосударственные вопросы» -</w:t>
      </w:r>
      <w:r w:rsidR="00C86FA8"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>55,9</w:t>
      </w:r>
      <w:r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«Физическая культура и спорт» -</w:t>
      </w:r>
      <w:r w:rsidR="00C86FA8"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«Жилищно-коммунальное хозяйство» </w:t>
      </w:r>
      <w:r w:rsidR="008928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A8"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86FA8"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«Социальная политика» - 2,8%</w:t>
      </w:r>
      <w:r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остальным ра</w:t>
      </w:r>
      <w:r w:rsidR="00C86FA8"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зделам:  «Национальная оборона» и</w:t>
      </w:r>
      <w:r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- всего </w:t>
      </w:r>
      <w:r w:rsidR="00C86FA8"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 w:rsidRPr="00C8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3F4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1 полугодие 201</w:t>
      </w:r>
      <w:r w:rsidR="003F4FF1" w:rsidRPr="003F4F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053DE3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E3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E3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E3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E3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E3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E3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E3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DE3" w:rsidRPr="00834187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053DE3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328724" wp14:editId="794D9C53">
            <wp:extent cx="6119495" cy="3980293"/>
            <wp:effectExtent l="0" t="0" r="14605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не производились расходы, предусмотренные решением о бюджете, по разделам «Образование» и «Национальная </w:t>
      </w:r>
      <w:proofErr w:type="gramStart"/>
      <w:r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proofErr w:type="gramEnd"/>
      <w:r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правоохранительная деятельность».</w:t>
      </w:r>
    </w:p>
    <w:p w:rsidR="009D7C8A" w:rsidRPr="00C90F72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молодежной политике и оздоровлению детей, на проведение мероприятий пожарной безопасности.</w:t>
      </w:r>
    </w:p>
    <w:p w:rsidR="009D7C8A" w:rsidRPr="00C90F72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классификации расходов «Национальная </w:t>
      </w:r>
      <w:r w:rsidR="00C90F72"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«Жилищно-коммунальное хозяйство» и «</w:t>
      </w:r>
      <w:r w:rsidR="00C90F72"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уровень исполнения к годовым назначениям </w:t>
      </w:r>
      <w:r w:rsidR="00C90F72"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50 процентов.</w:t>
      </w:r>
    </w:p>
    <w:p w:rsidR="009D7C8A" w:rsidRPr="00C90F72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C90F72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9D7C8A" w:rsidRPr="00834187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EB673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9D7C8A" w:rsidRPr="00EB673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EB673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B6731">
        <w:rPr>
          <w:rFonts w:ascii="Times New Roman" w:eastAsia="Times New Roman" w:hAnsi="Times New Roman" w:cs="Times New Roman"/>
          <w:lang w:eastAsia="ru-RU"/>
        </w:rPr>
        <w:t>Таблица 5</w:t>
      </w:r>
      <w:r w:rsidRPr="00EB6731">
        <w:rPr>
          <w:rFonts w:ascii="Times New Roman" w:eastAsia="Times New Roman" w:hAnsi="Times New Roman" w:cs="Times New Roman"/>
          <w:lang w:eastAsia="ru-RU"/>
        </w:rPr>
        <w:tab/>
      </w:r>
      <w:r w:rsidRPr="00EB6731">
        <w:rPr>
          <w:rFonts w:ascii="Times New Roman" w:eastAsia="Times New Roman" w:hAnsi="Times New Roman" w:cs="Times New Roman"/>
          <w:lang w:eastAsia="ru-RU"/>
        </w:rPr>
        <w:tab/>
      </w:r>
      <w:r w:rsidRPr="00EB6731">
        <w:rPr>
          <w:rFonts w:ascii="Times New Roman" w:eastAsia="Times New Roman" w:hAnsi="Times New Roman" w:cs="Times New Roman"/>
          <w:lang w:eastAsia="ru-RU"/>
        </w:rPr>
        <w:tab/>
      </w:r>
      <w:r w:rsidRPr="00EB6731">
        <w:rPr>
          <w:rFonts w:ascii="Times New Roman" w:eastAsia="Times New Roman" w:hAnsi="Times New Roman" w:cs="Times New Roman"/>
          <w:lang w:eastAsia="ru-RU"/>
        </w:rPr>
        <w:tab/>
      </w:r>
      <w:r w:rsidRPr="00EB6731">
        <w:rPr>
          <w:rFonts w:ascii="Times New Roman" w:eastAsia="Times New Roman" w:hAnsi="Times New Roman" w:cs="Times New Roman"/>
          <w:lang w:eastAsia="ru-RU"/>
        </w:rPr>
        <w:tab/>
      </w:r>
      <w:r w:rsidRPr="00EB6731">
        <w:rPr>
          <w:rFonts w:ascii="Times New Roman" w:eastAsia="Times New Roman" w:hAnsi="Times New Roman" w:cs="Times New Roman"/>
          <w:lang w:eastAsia="ru-RU"/>
        </w:rPr>
        <w:tab/>
      </w:r>
      <w:r w:rsidRPr="00EB6731">
        <w:rPr>
          <w:rFonts w:ascii="Times New Roman" w:eastAsia="Times New Roman" w:hAnsi="Times New Roman" w:cs="Times New Roman"/>
          <w:lang w:eastAsia="ru-RU"/>
        </w:rPr>
        <w:tab/>
      </w:r>
      <w:r w:rsidRPr="00EB673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Pr="00EB6731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077"/>
        <w:gridCol w:w="1133"/>
        <w:gridCol w:w="1173"/>
        <w:gridCol w:w="1077"/>
        <w:gridCol w:w="1133"/>
        <w:gridCol w:w="1191"/>
        <w:gridCol w:w="1077"/>
      </w:tblGrid>
      <w:tr w:rsidR="00EB6731" w:rsidRPr="00EB6731" w:rsidTr="007E18BB">
        <w:trPr>
          <w:trHeight w:val="970"/>
        </w:trPr>
        <w:tc>
          <w:tcPr>
            <w:tcW w:w="1992" w:type="dxa"/>
          </w:tcPr>
          <w:p w:rsidR="009D7C8A" w:rsidRPr="00EB6731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077" w:type="dxa"/>
          </w:tcPr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9D7C8A" w:rsidRPr="00EB6731" w:rsidRDefault="009D7C8A" w:rsidP="00D727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D727E6" w:rsidRPr="00EB6731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EB6731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3" w:type="dxa"/>
          </w:tcPr>
          <w:p w:rsidR="009D7C8A" w:rsidRPr="00EB6731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9D7C8A" w:rsidRPr="00EB6731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173" w:type="dxa"/>
          </w:tcPr>
          <w:p w:rsidR="009D7C8A" w:rsidRPr="00EB6731" w:rsidRDefault="009D7C8A" w:rsidP="00D727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201</w:t>
            </w:r>
            <w:r w:rsidR="00D727E6" w:rsidRPr="00EB67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77" w:type="dxa"/>
          </w:tcPr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B6731">
              <w:rPr>
                <w:rFonts w:ascii="Times New Roman" w:eastAsia="Calibri" w:hAnsi="Times New Roman" w:cs="Times New Roman"/>
                <w:lang w:eastAsia="ru-RU"/>
              </w:rPr>
              <w:t>полугодии</w:t>
            </w:r>
            <w:proofErr w:type="gramEnd"/>
          </w:p>
          <w:p w:rsidR="009D7C8A" w:rsidRPr="00EB6731" w:rsidRDefault="009D7C8A" w:rsidP="00D727E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D727E6" w:rsidRPr="00EB6731">
              <w:rPr>
                <w:rFonts w:ascii="Times New Roman" w:eastAsia="Calibri" w:hAnsi="Times New Roman" w:cs="Times New Roman"/>
                <w:lang w:eastAsia="ru-RU"/>
              </w:rPr>
              <w:t xml:space="preserve">9 </w:t>
            </w:r>
            <w:r w:rsidRPr="00EB6731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1133" w:type="dxa"/>
          </w:tcPr>
          <w:p w:rsidR="009D7C8A" w:rsidRPr="00EB6731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9D7C8A" w:rsidRPr="00EB6731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191" w:type="dxa"/>
          </w:tcPr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полугодия 201</w:t>
            </w:r>
            <w:r w:rsidR="00D727E6" w:rsidRPr="00EB6731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полугодия 201</w:t>
            </w:r>
            <w:r w:rsidR="00D727E6" w:rsidRPr="00EB6731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9D7C8A" w:rsidRPr="00EB6731" w:rsidRDefault="009D7C8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Исполнено</w:t>
            </w:r>
          </w:p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9D7C8A" w:rsidRPr="00EB6731" w:rsidRDefault="009D7C8A" w:rsidP="009D7C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t>полугодия</w:t>
            </w:r>
          </w:p>
          <w:p w:rsidR="009D7C8A" w:rsidRPr="00EB6731" w:rsidRDefault="009D7C8A" w:rsidP="00D727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Calibri" w:hAnsi="Times New Roman" w:cs="Times New Roman"/>
                <w:lang w:eastAsia="ru-RU"/>
              </w:rPr>
              <w:lastRenderedPageBreak/>
              <w:t>201</w:t>
            </w:r>
            <w:r w:rsidR="00D727E6" w:rsidRPr="00EB6731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EB6731">
              <w:rPr>
                <w:rFonts w:ascii="Times New Roman" w:eastAsia="Calibri" w:hAnsi="Times New Roman" w:cs="Times New Roman"/>
                <w:lang w:eastAsia="ru-RU"/>
              </w:rPr>
              <w:t xml:space="preserve"> года,%</w:t>
            </w:r>
          </w:p>
        </w:tc>
      </w:tr>
      <w:tr w:rsidR="00D727E6" w:rsidRPr="00834187" w:rsidTr="007E18BB">
        <w:tc>
          <w:tcPr>
            <w:tcW w:w="1992" w:type="dxa"/>
          </w:tcPr>
          <w:p w:rsidR="00D727E6" w:rsidRPr="00EB6731" w:rsidRDefault="00D727E6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77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934,5</w:t>
            </w:r>
          </w:p>
        </w:tc>
        <w:tc>
          <w:tcPr>
            <w:tcW w:w="1133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117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2634</w:t>
            </w:r>
          </w:p>
        </w:tc>
        <w:tc>
          <w:tcPr>
            <w:tcW w:w="1077" w:type="dxa"/>
          </w:tcPr>
          <w:p w:rsidR="00D727E6" w:rsidRPr="00EB6731" w:rsidRDefault="0064234A" w:rsidP="005614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1587,</w:t>
            </w:r>
            <w:r w:rsidR="005614F0" w:rsidRPr="00EB67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  <w:tc>
          <w:tcPr>
            <w:tcW w:w="1191" w:type="dxa"/>
          </w:tcPr>
          <w:p w:rsidR="00D727E6" w:rsidRPr="00EB6731" w:rsidRDefault="0064234A" w:rsidP="005614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653,</w:t>
            </w:r>
            <w:r w:rsidR="005614F0" w:rsidRPr="00EB67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77" w:type="dxa"/>
          </w:tcPr>
          <w:p w:rsidR="00D727E6" w:rsidRPr="00EB6731" w:rsidRDefault="003336E5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4234A" w:rsidRPr="00EB6731"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</w:tr>
      <w:tr w:rsidR="00D727E6" w:rsidRPr="00834187" w:rsidTr="007E18BB">
        <w:tc>
          <w:tcPr>
            <w:tcW w:w="1992" w:type="dxa"/>
          </w:tcPr>
          <w:p w:rsidR="00D727E6" w:rsidRPr="00EB6731" w:rsidRDefault="00D727E6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77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  <w:tc>
          <w:tcPr>
            <w:tcW w:w="1133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7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46,1</w:t>
            </w:r>
          </w:p>
        </w:tc>
        <w:tc>
          <w:tcPr>
            <w:tcW w:w="113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91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107,5</w:t>
            </w:r>
          </w:p>
        </w:tc>
      </w:tr>
      <w:tr w:rsidR="00D727E6" w:rsidRPr="00834187" w:rsidTr="007E18BB">
        <w:tc>
          <w:tcPr>
            <w:tcW w:w="1992" w:type="dxa"/>
          </w:tcPr>
          <w:p w:rsidR="00D727E6" w:rsidRPr="00EB6731" w:rsidRDefault="00D727E6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29,1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1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727E6" w:rsidRPr="00834187" w:rsidTr="007E18BB">
        <w:tc>
          <w:tcPr>
            <w:tcW w:w="1992" w:type="dxa"/>
          </w:tcPr>
          <w:p w:rsidR="00D727E6" w:rsidRPr="00EB6731" w:rsidRDefault="00D727E6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77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33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17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270,7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13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191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</w:tr>
      <w:tr w:rsidR="00D727E6" w:rsidRPr="00834187" w:rsidTr="007E18BB">
        <w:tc>
          <w:tcPr>
            <w:tcW w:w="1992" w:type="dxa"/>
          </w:tcPr>
          <w:p w:rsidR="00D727E6" w:rsidRPr="00EB6731" w:rsidRDefault="00D727E6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77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152,6</w:t>
            </w:r>
          </w:p>
        </w:tc>
        <w:tc>
          <w:tcPr>
            <w:tcW w:w="1133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  <w:tc>
          <w:tcPr>
            <w:tcW w:w="117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797,0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333,3</w:t>
            </w:r>
          </w:p>
        </w:tc>
        <w:tc>
          <w:tcPr>
            <w:tcW w:w="113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191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180,7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в 2,2 раза</w:t>
            </w:r>
          </w:p>
        </w:tc>
      </w:tr>
      <w:tr w:rsidR="00D727E6" w:rsidRPr="00834187" w:rsidTr="007E18BB">
        <w:tc>
          <w:tcPr>
            <w:tcW w:w="1992" w:type="dxa"/>
          </w:tcPr>
          <w:p w:rsidR="00D727E6" w:rsidRPr="00EB6731" w:rsidRDefault="00D727E6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77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1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727E6" w:rsidRPr="00834187" w:rsidTr="007E18BB">
        <w:tc>
          <w:tcPr>
            <w:tcW w:w="1992" w:type="dxa"/>
          </w:tcPr>
          <w:p w:rsidR="00D727E6" w:rsidRPr="00EB6731" w:rsidRDefault="00D727E6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77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1133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39,1</w:t>
            </w:r>
          </w:p>
        </w:tc>
        <w:tc>
          <w:tcPr>
            <w:tcW w:w="117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171,8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113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191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 xml:space="preserve">      100,0</w:t>
            </w:r>
          </w:p>
        </w:tc>
      </w:tr>
      <w:tr w:rsidR="00D727E6" w:rsidRPr="00834187" w:rsidTr="007E18BB">
        <w:trPr>
          <w:trHeight w:val="540"/>
        </w:trPr>
        <w:tc>
          <w:tcPr>
            <w:tcW w:w="1992" w:type="dxa"/>
          </w:tcPr>
          <w:p w:rsidR="00D727E6" w:rsidRPr="00EB6731" w:rsidRDefault="00D727E6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77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673,1</w:t>
            </w:r>
          </w:p>
        </w:tc>
        <w:tc>
          <w:tcPr>
            <w:tcW w:w="1133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  <w:tc>
          <w:tcPr>
            <w:tcW w:w="117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1190,0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750,1</w:t>
            </w:r>
          </w:p>
        </w:tc>
        <w:tc>
          <w:tcPr>
            <w:tcW w:w="113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191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77,0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lang w:eastAsia="ru-RU"/>
              </w:rPr>
              <w:t>111,4</w:t>
            </w:r>
          </w:p>
        </w:tc>
      </w:tr>
      <w:tr w:rsidR="00D727E6" w:rsidRPr="00834187" w:rsidTr="007E18BB">
        <w:tc>
          <w:tcPr>
            <w:tcW w:w="1992" w:type="dxa"/>
          </w:tcPr>
          <w:p w:rsidR="00D727E6" w:rsidRPr="00EB6731" w:rsidRDefault="00D727E6" w:rsidP="009D7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077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b/>
                <w:lang w:eastAsia="ru-RU"/>
              </w:rPr>
              <w:t>1922,7</w:t>
            </w:r>
          </w:p>
        </w:tc>
        <w:tc>
          <w:tcPr>
            <w:tcW w:w="1133" w:type="dxa"/>
          </w:tcPr>
          <w:p w:rsidR="00D727E6" w:rsidRPr="00EB6731" w:rsidRDefault="00D727E6" w:rsidP="0007496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b/>
                <w:lang w:eastAsia="ru-RU"/>
              </w:rPr>
              <w:t>40,0</w:t>
            </w:r>
          </w:p>
        </w:tc>
        <w:tc>
          <w:tcPr>
            <w:tcW w:w="117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b/>
                <w:lang w:eastAsia="ru-RU"/>
              </w:rPr>
              <w:t>5188,3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b/>
                <w:lang w:eastAsia="ru-RU"/>
              </w:rPr>
              <w:t>2838,9</w:t>
            </w:r>
          </w:p>
        </w:tc>
        <w:tc>
          <w:tcPr>
            <w:tcW w:w="1133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b/>
                <w:lang w:eastAsia="ru-RU"/>
              </w:rPr>
              <w:t>54,7</w:t>
            </w:r>
          </w:p>
        </w:tc>
        <w:tc>
          <w:tcPr>
            <w:tcW w:w="1191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b/>
                <w:lang w:eastAsia="ru-RU"/>
              </w:rPr>
              <w:t>916,2</w:t>
            </w:r>
          </w:p>
        </w:tc>
        <w:tc>
          <w:tcPr>
            <w:tcW w:w="1077" w:type="dxa"/>
          </w:tcPr>
          <w:p w:rsidR="00D727E6" w:rsidRPr="00EB6731" w:rsidRDefault="0064234A" w:rsidP="009D7C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731">
              <w:rPr>
                <w:rFonts w:ascii="Times New Roman" w:eastAsia="Times New Roman" w:hAnsi="Times New Roman" w:cs="Times New Roman"/>
                <w:b/>
                <w:lang w:eastAsia="ru-RU"/>
              </w:rPr>
              <w:t>147,6</w:t>
            </w:r>
          </w:p>
        </w:tc>
      </w:tr>
    </w:tbl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</w:t>
      </w:r>
    </w:p>
    <w:p w:rsidR="006E3BCF" w:rsidRDefault="009D7C8A" w:rsidP="009D7C8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3336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«Общегосударственные вопросы»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3336E5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1587,8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336E5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55,9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По сравнению с 1 полугодием 201</w:t>
      </w:r>
      <w:r w:rsidR="003336E5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3336E5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336E5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653,3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336E5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  <w:r w:rsidR="006E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связано с  покупкой </w:t>
      </w:r>
      <w:r w:rsidR="006E3BCF" w:rsidRPr="006E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автомобиля  </w:t>
      </w:r>
      <w:proofErr w:type="spellStart"/>
      <w:r w:rsidR="006E3BCF" w:rsidRPr="006E3BC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Chevrolet</w:t>
      </w:r>
      <w:proofErr w:type="spellEnd"/>
      <w:r w:rsidR="006E3BCF" w:rsidRPr="006E3BC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E3BCF" w:rsidRPr="006E3BC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Niva</w:t>
      </w:r>
      <w:proofErr w:type="spellEnd"/>
      <w:r w:rsidR="006E3BC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(650,0 тыс. руб.).</w:t>
      </w:r>
    </w:p>
    <w:p w:rsidR="009D7C8A" w:rsidRPr="003336E5" w:rsidRDefault="006E3BCF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</w:t>
      </w:r>
      <w:r w:rsidR="009D7C8A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направлены:</w:t>
      </w:r>
    </w:p>
    <w:p w:rsidR="009D7C8A" w:rsidRPr="003336E5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выплату заработной платы с начислениями  Главе поселения  в сумме </w:t>
      </w:r>
      <w:r w:rsidR="003336E5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196,7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C8A" w:rsidRPr="00F76F9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содержание администрации поселения в сумме </w:t>
      </w:r>
      <w:r w:rsidR="00F76F91"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6E3B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F91"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336E5" w:rsidRPr="003336E5" w:rsidRDefault="003336E5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автомобиля – 650,0 тыс. рублей;</w:t>
      </w:r>
    </w:p>
    <w:p w:rsidR="009D7C8A" w:rsidRPr="003336E5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-</w:t>
      </w:r>
      <w:r w:rsidR="003336E5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C8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межбюджетные трансферты по осуществлению  полномочий по внутреннему муниципальному финансовому контролю – </w:t>
      </w:r>
      <w:r w:rsidR="003336E5"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76F91" w:rsidRPr="003336E5" w:rsidRDefault="00F76F91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межбюджетные трансферты  на осуществление полномочий  по составлению и рассмотрению проекта бюджета поселения, утверждению и исполнению бюджета поселения, 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 – 87,3 тыс. рублей;</w:t>
      </w:r>
    </w:p>
    <w:p w:rsidR="009D7C8A" w:rsidRPr="003336E5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оплата членского взноса в Ассоциацию – 3,0 тыс. рублей.</w:t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в 1 полугодии не расходовались.</w:t>
      </w:r>
    </w:p>
    <w:p w:rsidR="009D7C8A" w:rsidRPr="00F76F9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F76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F76F91"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46,1</w:t>
      </w: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50,0 % к годовым бюджетным назначениям. По сравнению с 1 полугодием 201</w:t>
      </w:r>
      <w:r w:rsidR="00F76F91"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F76F91"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(7,</w:t>
      </w:r>
      <w:r w:rsidR="00F76F91"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9D7C8A" w:rsidRPr="00F76F91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 1 полугодии 201</w:t>
      </w:r>
      <w:r w:rsidR="00F76F91"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не осуществлялись.</w:t>
      </w:r>
    </w:p>
    <w:p w:rsidR="009D7C8A" w:rsidRPr="000835AB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«Национальная экономика» -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1 полугодии составили </w:t>
      </w:r>
      <w:r w:rsidR="00F76F91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76F91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По сравнению с 1 полугодием 201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 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на 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5,0%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направлены на расчистку дорог поселения в зимнее время.</w:t>
      </w:r>
    </w:p>
    <w:p w:rsidR="009D7C8A" w:rsidRPr="000835AB" w:rsidRDefault="009D7C8A" w:rsidP="009D7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083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="006E3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333,3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41,8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назначениям, в том числе  по подразделу «Благоустройств</w:t>
      </w:r>
      <w:r w:rsidR="008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333,3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A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уличного освещения – 333,2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обустройство системы освещения 0,1 тыс. рублей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сравнению с 1 полугодием  201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выросли на  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180,7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2,2 раза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связано с реализацией  поручения Губернатора «Светлые улицы Вологодчины»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Pr="000835AB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5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полугодии 201</w:t>
      </w:r>
      <w:r w:rsidR="000835AB"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3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9D7C8A" w:rsidRPr="008867E6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8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расходы в 1 полугодии 201</w:t>
      </w:r>
      <w:r w:rsidR="008867E6" w:rsidRPr="008867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79,6 тыс. рублей, или </w:t>
      </w:r>
      <w:r w:rsidR="008867E6" w:rsidRPr="008867E6">
        <w:rPr>
          <w:rFonts w:ascii="Times New Roman" w:eastAsia="Times New Roman" w:hAnsi="Times New Roman" w:cs="Times New Roman"/>
          <w:sz w:val="28"/>
          <w:szCs w:val="28"/>
          <w:lang w:eastAsia="ru-RU"/>
        </w:rPr>
        <w:t>46,3</w:t>
      </w:r>
      <w:r w:rsidRPr="008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Средства направлены на доплаты к пенсии муниципальным служащим  и бывшей  Главе поселения. По  сравнению с аналогичным периодом 201</w:t>
      </w:r>
      <w:r w:rsidR="008867E6" w:rsidRPr="008867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8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8867E6" w:rsidRPr="00886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без изменений.</w:t>
      </w:r>
    </w:p>
    <w:p w:rsidR="00F113F3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7D0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867E6"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>750,1</w:t>
      </w:r>
      <w:r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8867E6"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 По сравнению с 1 полугодием 201</w:t>
      </w:r>
      <w:r w:rsidR="008867E6"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</w:t>
      </w:r>
      <w:r w:rsidR="008867E6"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867E6"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11,4%</w:t>
      </w:r>
      <w:r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Расходы производились на  финансовое обеспечение выполнения муниципального задания МБУ ФОК «Олимп» в сумме </w:t>
      </w:r>
      <w:r w:rsidR="008867E6"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750,1 </w:t>
      </w:r>
      <w:r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7D0701"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 w:rsidR="007D0701" w:rsidRPr="007D07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мероприятий по физической культуре и спорту  средства не выделялись</w:t>
      </w:r>
      <w:r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D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C8A" w:rsidRPr="00F113F3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полугодие 201</w:t>
      </w:r>
      <w:r w:rsidR="00F113F3" w:rsidRPr="00F113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9D7C8A" w:rsidRPr="00C5593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в отношении органов местного самоуправления 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 следующими данными:</w:t>
      </w:r>
    </w:p>
    <w:p w:rsidR="009D7C8A" w:rsidRPr="00C5593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июля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3 шт. единиц, на 01 июля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 Штатная численность служащих аппарата управления остается без изменений.</w:t>
      </w:r>
    </w:p>
    <w:p w:rsidR="009D7C8A" w:rsidRPr="00C5593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9D7C8A" w:rsidRPr="00C5593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443,5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9D7C8A" w:rsidRPr="00C5593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380,1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D7C8A" w:rsidRPr="00C5593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полугодие 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13,4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расходов. Наблюдается незначительное снижение  расходов на оплату труда работников органа местного самоуправления  за 1 полугодие 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связано отсутствием работ</w:t>
      </w:r>
      <w:r w:rsidR="00892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</w:t>
      </w:r>
      <w:r w:rsidR="00C7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должности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7C8A" w:rsidRPr="00C5593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9D7C8A" w:rsidRPr="00C5593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июля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01 июля 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 (в т. ч. финансируемых за счет собственных доходов –1).</w:t>
      </w:r>
    </w:p>
    <w:p w:rsidR="009D7C8A" w:rsidRPr="00C5593A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июля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июля 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–7 шт. единиц. Штатная численность работников муниципальных учреждений поселения на 01.07.201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01.07.201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5593A" w:rsidRPr="00C55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изменений.</w:t>
      </w:r>
    </w:p>
    <w:p w:rsidR="009D7C8A" w:rsidRPr="00500108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9D7C8A" w:rsidRPr="00500108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201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456,4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C8A" w:rsidRPr="00500108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201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620,5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D7C8A" w:rsidRPr="00500108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1 полугодие  201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на оплату труда работников муниципальных учреждений  на 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164,1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</w:t>
      </w:r>
      <w:r w:rsidR="00500108"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связано с увеличение заработной платы работникам ФОКа в соответствии с   исполнением «Майских указов»</w:t>
      </w:r>
      <w:r w:rsidRPr="00500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9D7C8A" w:rsidRPr="00834187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696A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9D7C8A" w:rsidRPr="00834187" w:rsidRDefault="009D7C8A" w:rsidP="009D7C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9D7C8A" w:rsidRPr="00F84BDA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201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принят без дефицита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(профицита)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Изменения в решение «О бюджете поселения на 201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1 полугодии 201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решени</w:t>
      </w:r>
      <w:r w:rsid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Уточненный бюджет поселения принят 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без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696AD6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(профицита). </w:t>
      </w:r>
    </w:p>
    <w:p w:rsidR="009D7C8A" w:rsidRPr="00F84BDA" w:rsidRDefault="009D7C8A" w:rsidP="009D7C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полугодие 201</w:t>
      </w:r>
      <w:r w:rsidR="00F84BDA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профицитом  в сумме </w:t>
      </w:r>
      <w:r w:rsidR="00F84BDA"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>162,9</w:t>
      </w:r>
      <w:r w:rsidRPr="00F8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</w:p>
    <w:p w:rsidR="009D7C8A" w:rsidRPr="00834187" w:rsidRDefault="009D7C8A" w:rsidP="003F531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9D7C8A" w:rsidRPr="003F5311" w:rsidRDefault="009D7C8A" w:rsidP="009D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F531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9D7C8A" w:rsidRPr="00834187" w:rsidRDefault="009D7C8A" w:rsidP="009D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3F5311" w:rsidRPr="00B82092" w:rsidRDefault="003F5311" w:rsidP="003F53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Туровецкое от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40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рублей.</w:t>
      </w:r>
    </w:p>
    <w:p w:rsidR="003F5311" w:rsidRPr="00B82092" w:rsidRDefault="003F5311" w:rsidP="003F531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3F5311" w:rsidRPr="00B82092" w:rsidRDefault="003F5311" w:rsidP="003F53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9D7C8A" w:rsidRPr="00834187" w:rsidRDefault="009D7C8A" w:rsidP="009D7C8A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9D7C8A" w:rsidRPr="003F5311" w:rsidRDefault="009D7C8A" w:rsidP="009D7C8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F531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3F531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9D7C8A" w:rsidRPr="00834187" w:rsidRDefault="009D7C8A" w:rsidP="009D7C8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="003F53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по состоянию на 01 января 2018 года </w:t>
      </w:r>
      <w:r w:rsidR="003F5311" w:rsidRPr="003F53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60,2 тыс. рублей (в том числе просроченной - данные отсутствуют), </w:t>
      </w:r>
      <w:r w:rsidRPr="003F53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 июля  201</w:t>
      </w:r>
      <w:r w:rsidR="003F5311" w:rsidRPr="003F53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3F5311" w:rsidRPr="003F5311">
        <w:rPr>
          <w:rFonts w:ascii="Times New Roman" w:eastAsia="Times New Roman" w:hAnsi="Times New Roman" w:cs="Times New Roman"/>
          <w:sz w:val="28"/>
          <w:szCs w:val="28"/>
          <w:lang w:eastAsia="ru-RU"/>
        </w:rPr>
        <w:t>79,3</w:t>
      </w:r>
      <w:r w:rsidRPr="003F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F5311" w:rsidRPr="003F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просроченной -59,2 тыс. рублей),  </w:t>
      </w:r>
      <w:r w:rsidRPr="003F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января 201</w:t>
      </w:r>
      <w:r w:rsidR="003F5311" w:rsidRPr="003F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F5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– </w:t>
      </w:r>
      <w:r w:rsidR="003F5311"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142,6 тыс. рублей (в том числе </w:t>
      </w:r>
      <w:r w:rsidR="003F5311" w:rsidRPr="001D32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 – 10,0 тыс. рублей)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июля 201</w:t>
      </w:r>
      <w:r w:rsidR="003F5311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1D3291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150,1 тыс. рублей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  <w:proofErr w:type="gramEnd"/>
    </w:p>
    <w:p w:rsidR="009D7C8A" w:rsidRPr="001D329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291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электроэнергии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-11,</w:t>
      </w:r>
      <w:r w:rsidR="001D3291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C8A" w:rsidRPr="001D329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291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обслуживания установок наружного  освещения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3291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119,5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D7C8A" w:rsidRPr="001D329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3291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страховым взносам 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1D3291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19,4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D3291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Pr="001D3291" w:rsidRDefault="001D3291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2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2019 года по сравнению с началом прошлого года увеличилась  на 82,4 тыс. рублей, или в 2,4 раза.  </w:t>
      </w:r>
      <w:r w:rsidR="009D7C8A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бюджета поселения за 1 полугодие текущего года объем кредиторской задолженности увеличился по сравнению с началом года на 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="009D7C8A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="009D7C8A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%). Наиболее значительная по объему задолженность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обслуживания установок наружного  освещения – 79,6 процента</w:t>
      </w:r>
      <w:r w:rsidR="009D7C8A"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Default="009D7C8A" w:rsidP="001D32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Объем дебиторской задолженности по состоянию  на 01 января 201</w:t>
      </w:r>
      <w:r w:rsidR="003F531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3F5311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132,3</w:t>
      </w:r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Дебиторская задолженность  на 01 </w:t>
      </w:r>
      <w:r w:rsidR="001D32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</w:t>
      </w:r>
      <w:r w:rsidR="00D5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1D32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3F531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</w:t>
      </w:r>
      <w:r w:rsidR="003F53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01 </w:t>
      </w:r>
      <w:r w:rsidR="00D5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3F531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отсутствует, то есть уменьшилась на </w:t>
      </w:r>
      <w:r w:rsidR="003F53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="003F5311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процентов.</w:t>
      </w:r>
    </w:p>
    <w:p w:rsidR="001D3291" w:rsidRPr="00834187" w:rsidRDefault="001D3291" w:rsidP="001D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7E4B0E" w:rsidRDefault="009D7C8A" w:rsidP="009D7C8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C8A" w:rsidRPr="007E4B0E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7E4B0E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552D74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52D74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52D74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1 полугодии 201</w:t>
      </w:r>
      <w:r w:rsidR="00552D74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552D74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552D74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 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25.02.2019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C8A" w:rsidRPr="007E4B0E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1 полугодие 201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3001,7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57,9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152,7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40,7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2849,0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E4B0E"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>59,2</w:t>
      </w:r>
      <w:r w:rsidRPr="007E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9D7C8A" w:rsidRPr="005C11FB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налог на доходы физических лиц, земельный налог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имущество физических лиц</w:t>
      </w:r>
      <w:r w:rsidR="00986A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которых в объеме налоговых и неналоговых доходов бюджета поселения составила 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95,1</w:t>
      </w: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процентов.</w:t>
      </w:r>
    </w:p>
    <w:p w:rsidR="009D7C8A" w:rsidRPr="005C11FB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9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1FB"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C1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D7C8A" w:rsidRPr="00C00201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564713">
        <w:rPr>
          <w:rFonts w:ascii="Times New Roman" w:eastAsia="Times New Roman" w:hAnsi="Times New Roman" w:cs="Times New Roman"/>
          <w:sz w:val="28"/>
          <w:szCs w:val="28"/>
          <w:lang w:eastAsia="ru-RU"/>
        </w:rPr>
        <w:t>2838,9</w:t>
      </w:r>
      <w:r w:rsidRP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64713">
        <w:rPr>
          <w:rFonts w:ascii="Times New Roman" w:eastAsia="Times New Roman" w:hAnsi="Times New Roman" w:cs="Times New Roman"/>
          <w:sz w:val="28"/>
          <w:szCs w:val="28"/>
          <w:lang w:eastAsia="ru-RU"/>
        </w:rPr>
        <w:t>54,7</w:t>
      </w:r>
      <w:r w:rsidRP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564713"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9D7C8A" w:rsidRPr="00C00201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социальную сферу направлено </w:t>
      </w:r>
      <w:r w:rsidR="00C00201" w:rsidRP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>829,7</w:t>
      </w:r>
      <w:r w:rsidRP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00201" w:rsidRP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>60,9</w:t>
      </w:r>
      <w:r w:rsidRPr="00C0020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Не производилось финансирование расходов по разделам  «Национальная безопасность и правоохранительная деятельность» и «Образование».</w:t>
      </w:r>
    </w:p>
    <w:p w:rsidR="00074964" w:rsidRPr="00C90F72" w:rsidRDefault="00074964" w:rsidP="0007496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классификации расходов «Национальная экономика», «Жилищно-коммунальное хозяйство» и «Социальная политика» уровень исполнения к годовым назначениям ниже 50 процентов.</w:t>
      </w:r>
    </w:p>
    <w:p w:rsidR="00074964" w:rsidRPr="00834187" w:rsidRDefault="009D7C8A" w:rsidP="0007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="00074964" w:rsidRPr="000749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7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 сравнении задолженности по  налоговым платежам  по состоянию на </w:t>
      </w:r>
      <w:r w:rsidR="00074964" w:rsidRPr="0007496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074964"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.07.2019 года на 8,9 тыс. рублей, или на 13,3%, в том числе в разрезе налоговых источников:</w:t>
      </w:r>
    </w:p>
    <w:p w:rsidR="00074964" w:rsidRPr="0007339A" w:rsidRDefault="00074964" w:rsidP="000749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налогу на имущество физических лиц на 8,5 тыс. рублей, или  на 14,5 процента;</w:t>
      </w:r>
    </w:p>
    <w:p w:rsidR="00074964" w:rsidRPr="0007339A" w:rsidRDefault="00074964" w:rsidP="000749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 на  0,3 тыс. рублей, или на 3,9 процента;</w:t>
      </w:r>
    </w:p>
    <w:p w:rsidR="00074964" w:rsidRPr="0007339A" w:rsidRDefault="00074964" w:rsidP="0007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07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НДФЛ  на 0,1 тыс. рублей, или на 14,3 процента.</w:t>
      </w:r>
    </w:p>
    <w:p w:rsidR="00074964" w:rsidRPr="00834187" w:rsidRDefault="00074964" w:rsidP="00074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01.07.2019 года следует, что наибольший удельный вес в структуре недоимки по платежам  составляет налог на имущество  физических лиц – 95,5  % от общей суммы недоимки, на втором месте  задолженность по земельному налогу – 3,4 процента, на третьем  и последнем месте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НДФЛ -1,1  процента.</w:t>
      </w:r>
    </w:p>
    <w:p w:rsidR="009D7C8A" w:rsidRPr="00834187" w:rsidRDefault="00074964" w:rsidP="000749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0749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7C8A" w:rsidRPr="0007496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1 полугодие  201</w:t>
      </w:r>
      <w:r w:rsidRPr="000749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7C8A" w:rsidRPr="0007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бюджет поселения исполнен с профицитом  в сумме  </w:t>
      </w:r>
      <w:r w:rsidRPr="00074964">
        <w:rPr>
          <w:rFonts w:ascii="Times New Roman" w:eastAsia="Times New Roman" w:hAnsi="Times New Roman" w:cs="Times New Roman"/>
          <w:sz w:val="28"/>
          <w:szCs w:val="28"/>
          <w:lang w:eastAsia="ru-RU"/>
        </w:rPr>
        <w:t>162,9</w:t>
      </w:r>
      <w:r w:rsidR="009D7C8A" w:rsidRPr="0007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D55C2B" w:rsidRPr="001D3291" w:rsidRDefault="00D55C2B" w:rsidP="00D55C2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9D7C8A" w:rsidRPr="008341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="00074964" w:rsidRPr="00D55C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7C8A" w:rsidRPr="00D55C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бюджета поселения за 1 полугодие текущего года объем кредиторской задолженности увеличился по сравнению с началом года на 7,5 тыс. рублей (5,3%). Наиболее значительная по объему задолженность за обслуживания установок наружного  освещения – 79,6 процента.</w:t>
      </w:r>
    </w:p>
    <w:p w:rsidR="00D55C2B" w:rsidRDefault="00D55C2B" w:rsidP="00D55C2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132,3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Дебиторская задолженность 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отсутствует, то есть уменьшилась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процентов.</w:t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9A3036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8A" w:rsidRPr="009A3036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9D7C8A" w:rsidRPr="00834187" w:rsidRDefault="009D7C8A" w:rsidP="009D7C8A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A3036" w:rsidRPr="00B82092" w:rsidRDefault="009A3036" w:rsidP="009A3036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9A3036" w:rsidRPr="00B82092" w:rsidRDefault="009A3036" w:rsidP="009A3036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Принять все необходимые меры к недопущению  роста  кредиторской задолженности.</w:t>
      </w:r>
    </w:p>
    <w:p w:rsidR="009A3036" w:rsidRPr="00B82092" w:rsidRDefault="009A3036" w:rsidP="009A303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67430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ревизионной комиссии</w:t>
      </w:r>
    </w:p>
    <w:p w:rsidR="009D7C8A" w:rsidRPr="00674301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674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4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4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6743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О.А. Дудина</w:t>
      </w:r>
    </w:p>
    <w:p w:rsidR="009D7C8A" w:rsidRPr="00834187" w:rsidRDefault="009D7C8A" w:rsidP="009D7C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D7C8A" w:rsidRPr="00834187" w:rsidRDefault="009D7C8A" w:rsidP="009D7C8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65714" w:rsidRPr="00834187" w:rsidRDefault="00B65714">
      <w:pPr>
        <w:rPr>
          <w:color w:val="C00000"/>
        </w:rPr>
      </w:pPr>
    </w:p>
    <w:sectPr w:rsidR="00B65714" w:rsidRPr="00834187" w:rsidSect="007E18BB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63" w:rsidRDefault="00253D63">
      <w:pPr>
        <w:spacing w:after="0" w:line="240" w:lineRule="auto"/>
      </w:pPr>
      <w:r>
        <w:separator/>
      </w:r>
    </w:p>
  </w:endnote>
  <w:endnote w:type="continuationSeparator" w:id="0">
    <w:p w:rsidR="00253D63" w:rsidRDefault="0025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63" w:rsidRDefault="00253D63">
      <w:pPr>
        <w:spacing w:after="0" w:line="240" w:lineRule="auto"/>
      </w:pPr>
      <w:r>
        <w:separator/>
      </w:r>
    </w:p>
  </w:footnote>
  <w:footnote w:type="continuationSeparator" w:id="0">
    <w:p w:rsidR="00253D63" w:rsidRDefault="0025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64" w:rsidRDefault="00074964" w:rsidP="007E18B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4964" w:rsidRDefault="000749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64" w:rsidRDefault="00074964" w:rsidP="007E18B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7EE0">
      <w:rPr>
        <w:rStyle w:val="a8"/>
        <w:noProof/>
      </w:rPr>
      <w:t>16</w:t>
    </w:r>
    <w:r>
      <w:rPr>
        <w:rStyle w:val="a8"/>
      </w:rPr>
      <w:fldChar w:fldCharType="end"/>
    </w:r>
  </w:p>
  <w:p w:rsidR="00074964" w:rsidRDefault="000749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8F"/>
    <w:rsid w:val="00012198"/>
    <w:rsid w:val="00027BAC"/>
    <w:rsid w:val="00035321"/>
    <w:rsid w:val="00053DE3"/>
    <w:rsid w:val="0007339A"/>
    <w:rsid w:val="00074964"/>
    <w:rsid w:val="000835AB"/>
    <w:rsid w:val="000D15D7"/>
    <w:rsid w:val="000D357F"/>
    <w:rsid w:val="000F4A68"/>
    <w:rsid w:val="00140408"/>
    <w:rsid w:val="001D3291"/>
    <w:rsid w:val="00236F86"/>
    <w:rsid w:val="00253D63"/>
    <w:rsid w:val="003336E5"/>
    <w:rsid w:val="00335ADB"/>
    <w:rsid w:val="00347734"/>
    <w:rsid w:val="003570D7"/>
    <w:rsid w:val="00357EE0"/>
    <w:rsid w:val="003B3BF8"/>
    <w:rsid w:val="003F4FF1"/>
    <w:rsid w:val="003F5311"/>
    <w:rsid w:val="004611A4"/>
    <w:rsid w:val="004972A1"/>
    <w:rsid w:val="004B1CDE"/>
    <w:rsid w:val="00500108"/>
    <w:rsid w:val="00521509"/>
    <w:rsid w:val="00521A00"/>
    <w:rsid w:val="00552D74"/>
    <w:rsid w:val="005614F0"/>
    <w:rsid w:val="00564713"/>
    <w:rsid w:val="005C11FB"/>
    <w:rsid w:val="0064234A"/>
    <w:rsid w:val="0067110C"/>
    <w:rsid w:val="00674041"/>
    <w:rsid w:val="00674301"/>
    <w:rsid w:val="00693262"/>
    <w:rsid w:val="00696AD6"/>
    <w:rsid w:val="006A52DF"/>
    <w:rsid w:val="006E3BCF"/>
    <w:rsid w:val="00717967"/>
    <w:rsid w:val="007238A8"/>
    <w:rsid w:val="00772E85"/>
    <w:rsid w:val="007B3838"/>
    <w:rsid w:val="007D0701"/>
    <w:rsid w:val="007E18BB"/>
    <w:rsid w:val="007E4B0E"/>
    <w:rsid w:val="00825724"/>
    <w:rsid w:val="00834187"/>
    <w:rsid w:val="008867E6"/>
    <w:rsid w:val="0089280B"/>
    <w:rsid w:val="00900949"/>
    <w:rsid w:val="0093208F"/>
    <w:rsid w:val="00986A72"/>
    <w:rsid w:val="009A3036"/>
    <w:rsid w:val="009B687C"/>
    <w:rsid w:val="009D7C8A"/>
    <w:rsid w:val="00A61AB3"/>
    <w:rsid w:val="00AA2FDB"/>
    <w:rsid w:val="00AC52F9"/>
    <w:rsid w:val="00AE2B45"/>
    <w:rsid w:val="00B2474A"/>
    <w:rsid w:val="00B548C3"/>
    <w:rsid w:val="00B65714"/>
    <w:rsid w:val="00B8204D"/>
    <w:rsid w:val="00BB3AB6"/>
    <w:rsid w:val="00BC242A"/>
    <w:rsid w:val="00BC274D"/>
    <w:rsid w:val="00C00201"/>
    <w:rsid w:val="00C5593A"/>
    <w:rsid w:val="00C73B7D"/>
    <w:rsid w:val="00C86FA8"/>
    <w:rsid w:val="00C90F72"/>
    <w:rsid w:val="00CA168A"/>
    <w:rsid w:val="00CE1A93"/>
    <w:rsid w:val="00D3221A"/>
    <w:rsid w:val="00D55C2B"/>
    <w:rsid w:val="00D727E6"/>
    <w:rsid w:val="00D90CDD"/>
    <w:rsid w:val="00DD198B"/>
    <w:rsid w:val="00DE110D"/>
    <w:rsid w:val="00E80264"/>
    <w:rsid w:val="00EB6731"/>
    <w:rsid w:val="00EF1488"/>
    <w:rsid w:val="00F113F3"/>
    <w:rsid w:val="00F1403A"/>
    <w:rsid w:val="00F255DB"/>
    <w:rsid w:val="00F31CAD"/>
    <w:rsid w:val="00F76F91"/>
    <w:rsid w:val="00F84BDA"/>
    <w:rsid w:val="00F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C8A"/>
  </w:style>
  <w:style w:type="table" w:styleId="a3">
    <w:name w:val="Table Grid"/>
    <w:basedOn w:val="a1"/>
    <w:rsid w:val="009D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D7C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D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D7C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D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D7C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7C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9D7C8A"/>
  </w:style>
  <w:style w:type="paragraph" w:customStyle="1" w:styleId="ConsPlusTitle">
    <w:name w:val="ConsPlusTitle"/>
    <w:rsid w:val="009D7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9D7C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D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9D7C8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9D7C8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7C8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D7C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9D7C8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D7C8A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D7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C8A"/>
  </w:style>
  <w:style w:type="table" w:styleId="a3">
    <w:name w:val="Table Grid"/>
    <w:basedOn w:val="a1"/>
    <w:rsid w:val="009D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D7C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D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D7C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D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D7C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7C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9D7C8A"/>
  </w:style>
  <w:style w:type="paragraph" w:customStyle="1" w:styleId="ConsPlusTitle">
    <w:name w:val="ConsPlusTitle"/>
    <w:rsid w:val="009D7C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9D7C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D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9D7C8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9D7C8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7C8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D7C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9D7C8A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D7C8A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D7C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Лист1!$B$160</c:f>
              <c:strCache>
                <c:ptCount val="1"/>
                <c:pt idx="0">
                  <c:v>за 6 месяцев  2019 года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Лист1!$A$161:$A$165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Прочие доходы от компенсации затрат бюджетов сельских поселеий</c:v>
                </c:pt>
              </c:strCache>
            </c:strRef>
          </c:cat>
          <c:val>
            <c:numRef>
              <c:f>Лист1!$B$161:$B$165</c:f>
              <c:numCache>
                <c:formatCode>General</c:formatCode>
                <c:ptCount val="5"/>
                <c:pt idx="0">
                  <c:v>98.7</c:v>
                </c:pt>
                <c:pt idx="1">
                  <c:v>8.9</c:v>
                </c:pt>
                <c:pt idx="2">
                  <c:v>37.700000000000003</c:v>
                </c:pt>
                <c:pt idx="3">
                  <c:v>7.4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Лист1!$C$160</c:f>
              <c:strCache>
                <c:ptCount val="1"/>
                <c:pt idx="0">
                  <c:v>за 6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Лист1!$A$161:$A$165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Прочие доходы от компенсации затрат бюджетов сельских поселеий</c:v>
                </c:pt>
              </c:strCache>
            </c:strRef>
          </c:cat>
          <c:val>
            <c:numRef>
              <c:f>Лист1!$C$161:$C$165</c:f>
              <c:numCache>
                <c:formatCode>General</c:formatCode>
                <c:ptCount val="5"/>
                <c:pt idx="0">
                  <c:v>89</c:v>
                </c:pt>
                <c:pt idx="1">
                  <c:v>3.9</c:v>
                </c:pt>
                <c:pt idx="2">
                  <c:v>29.3</c:v>
                </c:pt>
                <c:pt idx="3">
                  <c:v>0</c:v>
                </c:pt>
                <c:pt idx="4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6614016"/>
        <c:axId val="26615808"/>
        <c:axId val="0"/>
      </c:bar3DChart>
      <c:catAx>
        <c:axId val="26614016"/>
        <c:scaling>
          <c:orientation val="minMax"/>
        </c:scaling>
        <c:delete val="0"/>
        <c:axPos val="l"/>
        <c:majorTickMark val="out"/>
        <c:minorTickMark val="none"/>
        <c:tickLblPos val="nextTo"/>
        <c:crossAx val="26615808"/>
        <c:crosses val="autoZero"/>
        <c:auto val="1"/>
        <c:lblAlgn val="ctr"/>
        <c:lblOffset val="100"/>
        <c:noMultiLvlLbl val="0"/>
      </c:catAx>
      <c:valAx>
        <c:axId val="26615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614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Лист1!$B$200</c:f>
              <c:strCache>
                <c:ptCount val="1"/>
                <c:pt idx="0">
                  <c:v>за 6 месяцев  2019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018018018018018E-2"/>
                  <c:y val="-3.2000000000000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04004004004004E-3"/>
                  <c:y val="-0.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02002002002002E-3"/>
                  <c:y val="1.0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Лист1!$A$201:$A$206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(возврат)  от  остатков субсидий, субвенций и ИМТ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Лист1!$B$201:$B$206</c:f>
              <c:numCache>
                <c:formatCode>General</c:formatCode>
                <c:ptCount val="6"/>
                <c:pt idx="0">
                  <c:v>1527.2</c:v>
                </c:pt>
                <c:pt idx="1">
                  <c:v>336.4</c:v>
                </c:pt>
                <c:pt idx="2">
                  <c:v>46.5</c:v>
                </c:pt>
                <c:pt idx="3">
                  <c:v>982.4</c:v>
                </c:pt>
                <c:pt idx="4">
                  <c:v>-43.5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Лист1!$C$200</c:f>
              <c:strCache>
                <c:ptCount val="1"/>
                <c:pt idx="0">
                  <c:v>за 6 месяцев  2018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042042042042045E-2"/>
                  <c:y val="-8.0000000000000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01601601601601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018018018018018E-2"/>
                  <c:y val="-5.3333333333333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Лист1!$A$201:$A$206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(возврат)  от  остатков субсидий, субвенций и ИМТ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Лист1!$C$201:$C$206</c:f>
              <c:numCache>
                <c:formatCode>General</c:formatCode>
                <c:ptCount val="6"/>
                <c:pt idx="0">
                  <c:v>1617.8</c:v>
                </c:pt>
                <c:pt idx="1">
                  <c:v>34.1</c:v>
                </c:pt>
                <c:pt idx="2">
                  <c:v>42.9</c:v>
                </c:pt>
                <c:pt idx="3">
                  <c:v>45.1</c:v>
                </c:pt>
                <c:pt idx="4">
                  <c:v>0.1</c:v>
                </c:pt>
                <c:pt idx="5">
                  <c:v>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670592"/>
        <c:axId val="26672128"/>
        <c:axId val="0"/>
      </c:bar3DChart>
      <c:catAx>
        <c:axId val="2667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26672128"/>
        <c:crosses val="autoZero"/>
        <c:auto val="1"/>
        <c:lblAlgn val="ctr"/>
        <c:lblOffset val="100"/>
        <c:noMultiLvlLbl val="0"/>
      </c:catAx>
      <c:valAx>
        <c:axId val="26672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670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Лист1!$B$231</c:f>
              <c:strCache>
                <c:ptCount val="1"/>
                <c:pt idx="0">
                  <c:v>за 6 месяцев  2019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Лист1!$B$232:$B$239</c:f>
              <c:numCache>
                <c:formatCode>General</c:formatCode>
                <c:ptCount val="8"/>
                <c:pt idx="0">
                  <c:v>1587.8</c:v>
                </c:pt>
                <c:pt idx="1">
                  <c:v>46.1</c:v>
                </c:pt>
                <c:pt idx="2">
                  <c:v>0</c:v>
                </c:pt>
                <c:pt idx="3">
                  <c:v>42</c:v>
                </c:pt>
                <c:pt idx="4">
                  <c:v>333.3</c:v>
                </c:pt>
                <c:pt idx="5">
                  <c:v>0</c:v>
                </c:pt>
                <c:pt idx="6">
                  <c:v>79.599999999999994</c:v>
                </c:pt>
                <c:pt idx="7">
                  <c:v>750.1</c:v>
                </c:pt>
              </c:numCache>
            </c:numRef>
          </c:val>
        </c:ser>
        <c:ser>
          <c:idx val="1"/>
          <c:order val="1"/>
          <c:tx>
            <c:strRef>
              <c:f>Лист1!$C$231</c:f>
              <c:strCache>
                <c:ptCount val="1"/>
                <c:pt idx="0">
                  <c:v>за 6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Лист1!$C$232:$C$239</c:f>
              <c:numCache>
                <c:formatCode>General</c:formatCode>
                <c:ptCount val="8"/>
                <c:pt idx="0">
                  <c:v>934.5</c:v>
                </c:pt>
                <c:pt idx="1">
                  <c:v>42.9</c:v>
                </c:pt>
                <c:pt idx="2">
                  <c:v>0</c:v>
                </c:pt>
                <c:pt idx="3">
                  <c:v>40</c:v>
                </c:pt>
                <c:pt idx="4">
                  <c:v>152.6</c:v>
                </c:pt>
                <c:pt idx="5">
                  <c:v>0</c:v>
                </c:pt>
                <c:pt idx="6">
                  <c:v>79.599999999999994</c:v>
                </c:pt>
                <c:pt idx="7">
                  <c:v>673.1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099520"/>
        <c:axId val="91101056"/>
      </c:barChart>
      <c:catAx>
        <c:axId val="91099520"/>
        <c:scaling>
          <c:orientation val="minMax"/>
        </c:scaling>
        <c:delete val="0"/>
        <c:axPos val="l"/>
        <c:majorTickMark val="out"/>
        <c:minorTickMark val="none"/>
        <c:tickLblPos val="nextTo"/>
        <c:crossAx val="91101056"/>
        <c:crosses val="autoZero"/>
        <c:auto val="1"/>
        <c:lblAlgn val="ctr"/>
        <c:lblOffset val="100"/>
        <c:noMultiLvlLbl val="0"/>
      </c:catAx>
      <c:valAx>
        <c:axId val="911010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109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151823413377677"/>
          <c:y val="2.0361359680543577E-3"/>
          <c:w val="0.65863223618786781"/>
          <c:h val="0.95370373105719308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55,9%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229455013775453"/>
                  <c:y val="1.7973666467524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-1,6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44091227726971E-2"/>
                  <c:y val="9.8147072103957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-1,5%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-11,7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"Сциальная политика"  -  2,8%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-26,5%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Лист1!$A$270:$A$277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Лист1!$B$270:$B$277</c:f>
              <c:numCache>
                <c:formatCode>General</c:formatCode>
                <c:ptCount val="8"/>
                <c:pt idx="0">
                  <c:v>55.9</c:v>
                </c:pt>
                <c:pt idx="1">
                  <c:v>1.6</c:v>
                </c:pt>
                <c:pt idx="2">
                  <c:v>0</c:v>
                </c:pt>
                <c:pt idx="3">
                  <c:v>1.5</c:v>
                </c:pt>
                <c:pt idx="4">
                  <c:v>11.7</c:v>
                </c:pt>
                <c:pt idx="5">
                  <c:v>0</c:v>
                </c:pt>
                <c:pt idx="6">
                  <c:v>2.8</c:v>
                </c:pt>
                <c:pt idx="7">
                  <c:v>26.5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7A47-AE3A-4AA2-9C14-CE3C4622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4529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2019-08-15T07:52:00Z</cp:lastPrinted>
  <dcterms:created xsi:type="dcterms:W3CDTF">2019-08-15T11:41:00Z</dcterms:created>
  <dcterms:modified xsi:type="dcterms:W3CDTF">2019-08-15T11:55:00Z</dcterms:modified>
</cp:coreProperties>
</file>