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B33057" wp14:editId="3352595D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Pr="00896CDA" w:rsidRDefault="00D03DD4" w:rsidP="00D03DD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D03DD4" w:rsidRPr="00896CDA" w:rsidRDefault="00D03DD4" w:rsidP="00D03DD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D03DD4" w:rsidRPr="00896CDA" w:rsidRDefault="00D03DD4" w:rsidP="00D03DD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Pr="00896CDA" w:rsidRDefault="00D03DD4" w:rsidP="00D0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03DD4" w:rsidRPr="00896CDA" w:rsidRDefault="00D03DD4" w:rsidP="00D0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 w:rsidR="00A1044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104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044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1044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4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104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D03DD4" w:rsidRPr="00896CDA" w:rsidRDefault="00D03DD4" w:rsidP="00D0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896CDA" w:rsidRDefault="00D03DD4" w:rsidP="00D0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896CDA" w:rsidRDefault="00D03DD4" w:rsidP="00D0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201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3DD4" w:rsidRPr="00896CDA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D03DD4" w:rsidRPr="005722E4" w:rsidRDefault="00D03DD4" w:rsidP="00D03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 w:rsidR="00CB5660">
        <w:rPr>
          <w:rFonts w:ascii="Times New Roman" w:hAnsi="Times New Roman" w:cs="Times New Roman"/>
          <w:b/>
          <w:sz w:val="28"/>
          <w:szCs w:val="28"/>
        </w:rPr>
        <w:t>9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B566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56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 xml:space="preserve">ема  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</w:t>
      </w:r>
      <w:r w:rsidR="00C9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CB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</w:t>
      </w:r>
      <w:r w:rsidR="00214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201</w:t>
      </w:r>
      <w:r w:rsidR="002146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на </w:t>
      </w:r>
      <w:r w:rsidR="0021461C">
        <w:rPr>
          <w:rFonts w:ascii="Times New Roman" w:eastAsia="Times New Roman" w:hAnsi="Times New Roman" w:cs="Times New Roman"/>
          <w:sz w:val="28"/>
          <w:szCs w:val="28"/>
          <w:lang w:eastAsia="ru-RU"/>
        </w:rPr>
        <w:t>1614,0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21461C">
        <w:rPr>
          <w:rFonts w:ascii="Times New Roman" w:eastAsia="Times New Roman" w:hAnsi="Times New Roman" w:cs="Times New Roman"/>
          <w:sz w:val="28"/>
          <w:szCs w:val="28"/>
          <w:lang w:eastAsia="ru-RU"/>
        </w:rPr>
        <w:t>259153,4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03DD4" w:rsidRDefault="00D03DD4" w:rsidP="001E2D7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20</w:t>
      </w:r>
      <w:r w:rsidR="002146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на </w:t>
      </w:r>
      <w:r w:rsidR="0021461C">
        <w:rPr>
          <w:rFonts w:ascii="Times New Roman" w:eastAsia="Times New Roman" w:hAnsi="Times New Roman" w:cs="Times New Roman"/>
          <w:sz w:val="28"/>
          <w:szCs w:val="28"/>
          <w:lang w:eastAsia="ru-RU"/>
        </w:rPr>
        <w:t>5487,9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199133,3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1296,1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266485,4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E2D75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5487,9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199133,3 тыс. рублей.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E2D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E2D75">
        <w:rPr>
          <w:rFonts w:ascii="Times New Roman" w:hAnsi="Times New Roman" w:cs="Times New Roman"/>
          <w:sz w:val="28"/>
          <w:szCs w:val="28"/>
        </w:rPr>
        <w:t>7332,0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E2D75">
        <w:rPr>
          <w:rFonts w:ascii="Times New Roman" w:hAnsi="Times New Roman" w:cs="Times New Roman"/>
          <w:sz w:val="28"/>
          <w:szCs w:val="28"/>
        </w:rPr>
        <w:t>34</w:t>
      </w:r>
      <w:r w:rsidR="0021062B">
        <w:rPr>
          <w:rFonts w:ascii="Times New Roman" w:hAnsi="Times New Roman" w:cs="Times New Roman"/>
          <w:sz w:val="28"/>
          <w:szCs w:val="28"/>
        </w:rPr>
        <w:t>,0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процента с учетом остатка средств бюджета района на 01.01.201</w:t>
      </w:r>
      <w:r w:rsidR="001E2D75">
        <w:rPr>
          <w:rFonts w:ascii="Times New Roman" w:hAnsi="Times New Roman" w:cs="Times New Roman"/>
          <w:sz w:val="28"/>
          <w:szCs w:val="28"/>
        </w:rPr>
        <w:t>9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1E2D75">
        <w:rPr>
          <w:rFonts w:ascii="Times New Roman" w:hAnsi="Times New Roman" w:cs="Times New Roman"/>
          <w:sz w:val="28"/>
          <w:szCs w:val="28"/>
        </w:rPr>
        <w:t>2910,1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D75" w:rsidRPr="00E75989" w:rsidRDefault="001E2D75" w:rsidP="00D03DD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E75989" w:rsidRDefault="00D03DD4" w:rsidP="00D03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 w:rsidR="001E2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D03DD4" w:rsidRPr="006226C8" w:rsidRDefault="00D03DD4" w:rsidP="00D03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75" w:rsidRPr="00FD562B" w:rsidRDefault="001E2D75" w:rsidP="001E2D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№ 1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5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560"/>
        <w:gridCol w:w="1417"/>
        <w:gridCol w:w="1559"/>
        <w:gridCol w:w="1418"/>
        <w:gridCol w:w="1134"/>
      </w:tblGrid>
      <w:tr w:rsidR="00A94D79" w:rsidRPr="00FD562B" w:rsidTr="00A94D79">
        <w:trPr>
          <w:trHeight w:val="253"/>
        </w:trPr>
        <w:tc>
          <w:tcPr>
            <w:tcW w:w="1242" w:type="dxa"/>
            <w:vMerge w:val="restart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94D79" w:rsidRPr="00E55DA0" w:rsidRDefault="00A94D79" w:rsidP="004736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 от первоначального бюджета</w:t>
            </w:r>
          </w:p>
        </w:tc>
        <w:tc>
          <w:tcPr>
            <w:tcW w:w="1559" w:type="dxa"/>
            <w:vMerge w:val="restart"/>
          </w:tcPr>
          <w:p w:rsidR="00A94D79" w:rsidRPr="00E55DA0" w:rsidRDefault="00A94D79" w:rsidP="004736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94D79" w:rsidRPr="00E55DA0" w:rsidRDefault="00A94D79" w:rsidP="004736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94D79" w:rsidRPr="00E55DA0" w:rsidRDefault="00A94D79" w:rsidP="004736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 от первоначального бюджета</w:t>
            </w:r>
          </w:p>
        </w:tc>
      </w:tr>
      <w:tr w:rsidR="00A94D79" w:rsidRPr="00FD562B" w:rsidTr="00A94D79">
        <w:trPr>
          <w:trHeight w:val="2146"/>
        </w:trPr>
        <w:tc>
          <w:tcPr>
            <w:tcW w:w="1242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D79" w:rsidRPr="00FD562B" w:rsidTr="00A94D79">
        <w:tc>
          <w:tcPr>
            <w:tcW w:w="1242" w:type="dxa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260767,4</w:t>
            </w:r>
          </w:p>
        </w:tc>
        <w:tc>
          <w:tcPr>
            <w:tcW w:w="1560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259153,4</w:t>
            </w:r>
          </w:p>
        </w:tc>
        <w:tc>
          <w:tcPr>
            <w:tcW w:w="1417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-1614,0</w:t>
            </w:r>
          </w:p>
        </w:tc>
        <w:tc>
          <w:tcPr>
            <w:tcW w:w="1559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204621,2</w:t>
            </w:r>
          </w:p>
        </w:tc>
        <w:tc>
          <w:tcPr>
            <w:tcW w:w="1418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199133,3</w:t>
            </w:r>
          </w:p>
        </w:tc>
        <w:tc>
          <w:tcPr>
            <w:tcW w:w="1134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-5487,9</w:t>
            </w:r>
          </w:p>
        </w:tc>
      </w:tr>
      <w:tr w:rsidR="00A94D79" w:rsidRPr="00FD562B" w:rsidTr="00A94D79">
        <w:tc>
          <w:tcPr>
            <w:tcW w:w="1242" w:type="dxa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265189,3</w:t>
            </w:r>
          </w:p>
        </w:tc>
        <w:tc>
          <w:tcPr>
            <w:tcW w:w="1560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266485,4</w:t>
            </w:r>
          </w:p>
        </w:tc>
        <w:tc>
          <w:tcPr>
            <w:tcW w:w="1417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1296,1</w:t>
            </w:r>
          </w:p>
        </w:tc>
        <w:tc>
          <w:tcPr>
            <w:tcW w:w="1559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204621,2</w:t>
            </w:r>
          </w:p>
        </w:tc>
        <w:tc>
          <w:tcPr>
            <w:tcW w:w="1418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199133,3</w:t>
            </w:r>
          </w:p>
        </w:tc>
        <w:tc>
          <w:tcPr>
            <w:tcW w:w="1134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-5487,9</w:t>
            </w:r>
          </w:p>
        </w:tc>
      </w:tr>
      <w:tr w:rsidR="00A94D79" w:rsidRPr="00FD562B" w:rsidTr="00A94D79">
        <w:tc>
          <w:tcPr>
            <w:tcW w:w="1242" w:type="dxa"/>
          </w:tcPr>
          <w:p w:rsidR="00A94D79" w:rsidRPr="00E55DA0" w:rsidRDefault="00A94D79" w:rsidP="004736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134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-4421,9</w:t>
            </w:r>
          </w:p>
        </w:tc>
        <w:tc>
          <w:tcPr>
            <w:tcW w:w="1560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-7332,0</w:t>
            </w:r>
          </w:p>
        </w:tc>
        <w:tc>
          <w:tcPr>
            <w:tcW w:w="1417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+2910,1</w:t>
            </w:r>
          </w:p>
        </w:tc>
        <w:tc>
          <w:tcPr>
            <w:tcW w:w="1559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94D79" w:rsidRPr="00E55DA0" w:rsidRDefault="00A94D79" w:rsidP="00A94D79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</w:tbl>
    <w:p w:rsidR="00D03DD4" w:rsidRPr="00E75989" w:rsidRDefault="00D03DD4" w:rsidP="00D03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B63989" w:rsidRDefault="00D03DD4" w:rsidP="00D03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="00A94D79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201</w:t>
      </w:r>
      <w:r w:rsidR="00A9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A94D79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A9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 2020 </w:t>
      </w:r>
      <w:r w:rsidR="00327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A94D79">
        <w:rPr>
          <w:rFonts w:ascii="Times New Roman" w:eastAsia="Times New Roman" w:hAnsi="Times New Roman" w:cs="Times New Roman"/>
          <w:sz w:val="28"/>
          <w:szCs w:val="28"/>
          <w:lang w:eastAsia="ru-RU"/>
        </w:rPr>
        <w:t>259153,4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199133,3 тыс. рублей соответственно,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A94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94D79">
        <w:rPr>
          <w:rFonts w:ascii="Times New Roman" w:eastAsia="Times New Roman" w:hAnsi="Times New Roman" w:cs="Times New Roman"/>
          <w:sz w:val="28"/>
          <w:szCs w:val="28"/>
          <w:lang w:eastAsia="ru-RU"/>
        </w:rPr>
        <w:t>1614,0</w:t>
      </w:r>
      <w:r w:rsidR="0021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A94D79">
        <w:rPr>
          <w:rFonts w:ascii="Times New Roman" w:eastAsia="Times New Roman" w:hAnsi="Times New Roman" w:cs="Times New Roman"/>
          <w:sz w:val="28"/>
          <w:szCs w:val="28"/>
          <w:lang w:eastAsia="ru-RU"/>
        </w:rPr>
        <w:t>5487,9 тыс. рублей,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94D79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79">
        <w:rPr>
          <w:rFonts w:ascii="Times New Roman" w:eastAsia="Times New Roman" w:hAnsi="Times New Roman" w:cs="Times New Roman"/>
          <w:sz w:val="28"/>
          <w:szCs w:val="28"/>
          <w:lang w:eastAsia="ru-RU"/>
        </w:rPr>
        <w:t>% и 2,7 процента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34B" w:rsidRPr="009F7546" w:rsidRDefault="00D03DD4" w:rsidP="003273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34B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32734B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плановый период 2020 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предусмотрен в размере  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>266485,4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>199133,3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соответственно, что </w:t>
      </w:r>
      <w:r w:rsidR="0032734B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2019 года на 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>1296,1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ежегодно, или на 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734B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 года на 5487,9 тыс. рублей или на 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 w:rsid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>7 процента</w:t>
      </w:r>
      <w:r w:rsidR="0032734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34B" w:rsidRPr="009F7546" w:rsidRDefault="0032734B" w:rsidP="003273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2019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7332,0 тыс. рублей, что выше</w:t>
      </w:r>
      <w:r w:rsidR="00210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первоначального бюджета на 2910,1 тыс. рублей или 65,8%, на плановый период 2020 и 2021 годов </w:t>
      </w:r>
      <w:r w:rsidR="00210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сформирован </w:t>
      </w:r>
      <w:r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дефицита. </w:t>
      </w:r>
    </w:p>
    <w:p w:rsidR="00D03DD4" w:rsidRPr="00896CDA" w:rsidRDefault="00EB6D7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 бюджета района на конец года составил 17772,9 тыс. рублей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D03DD4" w:rsidRPr="00896CDA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Pr="0020585C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Налоговые и неналоговые доходы бюджета района</w:t>
      </w:r>
    </w:p>
    <w:p w:rsidR="00D03DD4" w:rsidRPr="0020585C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3DD4" w:rsidRPr="00707987" w:rsidRDefault="00D03DD4" w:rsidP="00D03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D4" w:rsidRPr="00707987" w:rsidRDefault="00D03DD4" w:rsidP="00D03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03DD4" w:rsidRPr="00F55A27" w:rsidRDefault="00D03DD4" w:rsidP="00D03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1614,0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5487,9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4,0 процента.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193032,4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129583,3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74,5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района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51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1DD6" w:rsidRPr="00BB04EE" w:rsidRDefault="00D03DD4" w:rsidP="00D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BB04EE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4EE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субсидиям на 201</w:t>
      </w:r>
      <w:r w:rsidR="00016692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B04EE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16692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1646,4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DD6" w:rsidRPr="00D01D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капитальных вложений и объектов государственной (муниципальной) собственности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>4489,2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DD6" w:rsidRPr="00D01D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01DD6" w:rsidRP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капитальных вложений и объектов государственной (муниципальной) собственности  в рамках реализации мероприятий по устойчивому развитию сельских территорий  в сумме 4803,4  тыс. 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доходы по прочим субсидия на приобретение автотранспорта для обеспечения подвоза обучающихся</w:t>
      </w:r>
      <w:r w:rsidR="00C04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3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C04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централизованной закупкой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1332,2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03DD4" w:rsidRDefault="00D03DD4" w:rsidP="00D0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Кроме того, увеличиваются иные межбюджетные трансферты из бюджета области  на стимулирование органов местного самоуправления за достижение наилучших результатов по социально-экономическому развитию муниципальных образований в рамках подпрограммы «Развитие местного самоуправления как общественного института эффективного управления территориями» в сумме </w:t>
      </w:r>
      <w:r w:rsid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03DD4" w:rsidRPr="00F55A27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11E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1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части субсидий в сумме </w:t>
      </w:r>
      <w:r w:rsidR="00611EEB">
        <w:rPr>
          <w:rFonts w:ascii="Times New Roman" w:eastAsia="Times New Roman" w:hAnsi="Times New Roman" w:cs="Times New Roman"/>
          <w:sz w:val="28"/>
          <w:szCs w:val="28"/>
          <w:lang w:eastAsia="ru-RU"/>
        </w:rPr>
        <w:t>5487,9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1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автотранспорта для обеспечения подвоза обучающихся. 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A0" w:rsidRPr="00896CDA" w:rsidRDefault="00C043A0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бюджета района</w:t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266485,4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 w:rsidR="00D168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D1683E">
        <w:rPr>
          <w:rFonts w:ascii="Times New Roman" w:hAnsi="Times New Roman" w:cs="Times New Roman"/>
          <w:sz w:val="28"/>
          <w:szCs w:val="28"/>
        </w:rPr>
        <w:t>1296,1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1683E">
        <w:rPr>
          <w:rFonts w:ascii="Times New Roman" w:hAnsi="Times New Roman" w:cs="Times New Roman"/>
          <w:sz w:val="28"/>
          <w:szCs w:val="28"/>
        </w:rPr>
        <w:t>0,5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966,2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928,8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5347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5,6</w:t>
      </w:r>
      <w:r w:rsidR="0043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раза.</w:t>
      </w:r>
    </w:p>
    <w:p w:rsidR="00D1683E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 раздел</w:t>
      </w:r>
      <w:r w:rsidR="00D168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D1683E" w:rsidRDefault="00D1683E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1683E" w:rsidRDefault="00D1683E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1359,9 тыс. рублей, или на </w:t>
      </w:r>
      <w:r w:rsidR="005347D3">
        <w:rPr>
          <w:rFonts w:ascii="Times New Roman" w:eastAsia="Times New Roman" w:hAnsi="Times New Roman" w:cs="Times New Roman"/>
          <w:sz w:val="28"/>
          <w:szCs w:val="28"/>
          <w:lang w:eastAsia="ru-RU"/>
        </w:rPr>
        <w:t>1,2 процента.</w:t>
      </w:r>
    </w:p>
    <w:p w:rsidR="00D03DD4" w:rsidRDefault="00D03DD4" w:rsidP="0053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4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D03DD4" w:rsidRPr="00896CDA" w:rsidRDefault="00D03DD4" w:rsidP="00D03D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534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5347D3" w:rsidRPr="00FD562B" w:rsidRDefault="00D03DD4" w:rsidP="005347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7D3"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5347D3"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134"/>
        <w:gridCol w:w="1134"/>
        <w:gridCol w:w="1134"/>
        <w:gridCol w:w="1559"/>
      </w:tblGrid>
      <w:tr w:rsidR="005347D3" w:rsidRPr="00FD562B" w:rsidTr="005347D3">
        <w:trPr>
          <w:trHeight w:val="2004"/>
        </w:trPr>
        <w:tc>
          <w:tcPr>
            <w:tcW w:w="1809" w:type="dxa"/>
            <w:vMerge w:val="restart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5347D3" w:rsidRPr="00E55DA0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347D3" w:rsidRPr="00E55DA0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47D3" w:rsidRPr="00FD562B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предлагаемых поправок от первоначального бюджета</w:t>
            </w:r>
          </w:p>
        </w:tc>
        <w:tc>
          <w:tcPr>
            <w:tcW w:w="1134" w:type="dxa"/>
            <w:vMerge w:val="restart"/>
          </w:tcPr>
          <w:p w:rsidR="005347D3" w:rsidRPr="00FD562B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5347D3" w:rsidRPr="00E55DA0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347D3" w:rsidRPr="00E55DA0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предлагаемых поправок от первоначального бюджета</w:t>
            </w:r>
          </w:p>
        </w:tc>
      </w:tr>
      <w:tr w:rsidR="005347D3" w:rsidRPr="00FD562B" w:rsidTr="005347D3">
        <w:trPr>
          <w:trHeight w:val="1004"/>
        </w:trPr>
        <w:tc>
          <w:tcPr>
            <w:tcW w:w="1809" w:type="dxa"/>
            <w:vMerge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347D3" w:rsidRPr="00FD562B" w:rsidRDefault="005347D3" w:rsidP="004736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47D3" w:rsidRPr="00FD562B" w:rsidTr="005347D3"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40873,6</w:t>
            </w:r>
          </w:p>
        </w:tc>
        <w:tc>
          <w:tcPr>
            <w:tcW w:w="1276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41839,9</w:t>
            </w:r>
          </w:p>
        </w:tc>
        <w:tc>
          <w:tcPr>
            <w:tcW w:w="1134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966,2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36157,1</w:t>
            </w:r>
          </w:p>
        </w:tc>
        <w:tc>
          <w:tcPr>
            <w:tcW w:w="1134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36157,1</w:t>
            </w:r>
          </w:p>
        </w:tc>
        <w:tc>
          <w:tcPr>
            <w:tcW w:w="1559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1280,8</w:t>
            </w:r>
          </w:p>
        </w:tc>
        <w:tc>
          <w:tcPr>
            <w:tcW w:w="1276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1280,8</w:t>
            </w:r>
          </w:p>
        </w:tc>
        <w:tc>
          <w:tcPr>
            <w:tcW w:w="1134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1118,6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1118,6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rPr>
          <w:trHeight w:val="1339"/>
        </w:trPr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24614,8</w:t>
            </w:r>
          </w:p>
        </w:tc>
        <w:tc>
          <w:tcPr>
            <w:tcW w:w="1276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24614,8</w:t>
            </w:r>
          </w:p>
        </w:tc>
        <w:tc>
          <w:tcPr>
            <w:tcW w:w="1134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8194,1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8194,1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rPr>
          <w:trHeight w:val="586"/>
        </w:trPr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6596,4</w:t>
            </w:r>
          </w:p>
        </w:tc>
        <w:tc>
          <w:tcPr>
            <w:tcW w:w="1276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6596,3</w:t>
            </w:r>
          </w:p>
        </w:tc>
        <w:tc>
          <w:tcPr>
            <w:tcW w:w="1134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-0,1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924,8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924,8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rPr>
          <w:trHeight w:val="586"/>
        </w:trPr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Охрана окружающей среды </w:t>
            </w:r>
          </w:p>
        </w:tc>
        <w:tc>
          <w:tcPr>
            <w:tcW w:w="1418" w:type="dxa"/>
          </w:tcPr>
          <w:p w:rsidR="005347D3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126,0</w:t>
            </w:r>
          </w:p>
        </w:tc>
        <w:tc>
          <w:tcPr>
            <w:tcW w:w="1276" w:type="dxa"/>
          </w:tcPr>
          <w:p w:rsidR="005347D3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126,0</w:t>
            </w:r>
          </w:p>
        </w:tc>
        <w:tc>
          <w:tcPr>
            <w:tcW w:w="1134" w:type="dxa"/>
          </w:tcPr>
          <w:p w:rsidR="005347D3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418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117620,0</w:t>
            </w:r>
          </w:p>
        </w:tc>
        <w:tc>
          <w:tcPr>
            <w:tcW w:w="1276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116260,1</w:t>
            </w:r>
          </w:p>
        </w:tc>
        <w:tc>
          <w:tcPr>
            <w:tcW w:w="1134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-1359,9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112219,7</w:t>
            </w:r>
          </w:p>
        </w:tc>
        <w:tc>
          <w:tcPr>
            <w:tcW w:w="1134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106719,7</w:t>
            </w:r>
          </w:p>
        </w:tc>
        <w:tc>
          <w:tcPr>
            <w:tcW w:w="1559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ind w:left="-108" w:right="-43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-5500,0</w:t>
            </w:r>
          </w:p>
        </w:tc>
      </w:tr>
      <w:tr w:rsidR="00625384" w:rsidRPr="00FD562B" w:rsidTr="005347D3">
        <w:tc>
          <w:tcPr>
            <w:tcW w:w="1809" w:type="dxa"/>
          </w:tcPr>
          <w:p w:rsidR="00625384" w:rsidRPr="00FD562B" w:rsidRDefault="00625384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45367,9</w:t>
            </w:r>
          </w:p>
        </w:tc>
        <w:tc>
          <w:tcPr>
            <w:tcW w:w="1276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46296,7</w:t>
            </w:r>
          </w:p>
        </w:tc>
        <w:tc>
          <w:tcPr>
            <w:tcW w:w="1134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928,8</w:t>
            </w:r>
          </w:p>
        </w:tc>
        <w:tc>
          <w:tcPr>
            <w:tcW w:w="1134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19077,7</w:t>
            </w:r>
          </w:p>
        </w:tc>
        <w:tc>
          <w:tcPr>
            <w:tcW w:w="1134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19077,7</w:t>
            </w:r>
          </w:p>
        </w:tc>
        <w:tc>
          <w:tcPr>
            <w:tcW w:w="1559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ind w:left="-108" w:right="-43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25384" w:rsidRPr="00FD562B" w:rsidTr="005347D3">
        <w:tc>
          <w:tcPr>
            <w:tcW w:w="1809" w:type="dxa"/>
          </w:tcPr>
          <w:p w:rsidR="00625384" w:rsidRDefault="00625384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418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163,7</w:t>
            </w:r>
          </w:p>
        </w:tc>
        <w:tc>
          <w:tcPr>
            <w:tcW w:w="1276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924,8</w:t>
            </w:r>
          </w:p>
        </w:tc>
        <w:tc>
          <w:tcPr>
            <w:tcW w:w="1134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761,1</w:t>
            </w:r>
          </w:p>
        </w:tc>
        <w:tc>
          <w:tcPr>
            <w:tcW w:w="1134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162,3</w:t>
            </w:r>
          </w:p>
        </w:tc>
        <w:tc>
          <w:tcPr>
            <w:tcW w:w="1134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162,3</w:t>
            </w:r>
          </w:p>
        </w:tc>
        <w:tc>
          <w:tcPr>
            <w:tcW w:w="1559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ind w:left="-108" w:right="-43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8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10129,6</w:t>
            </w:r>
          </w:p>
        </w:tc>
        <w:tc>
          <w:tcPr>
            <w:tcW w:w="1276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10129,6</w:t>
            </w:r>
          </w:p>
        </w:tc>
        <w:tc>
          <w:tcPr>
            <w:tcW w:w="1134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5334,1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5334,1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3671,4</w:t>
            </w:r>
          </w:p>
        </w:tc>
        <w:tc>
          <w:tcPr>
            <w:tcW w:w="1276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3671,4</w:t>
            </w:r>
          </w:p>
        </w:tc>
        <w:tc>
          <w:tcPr>
            <w:tcW w:w="1134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3675,3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3675,3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rPr>
          <w:trHeight w:val="290"/>
        </w:trPr>
        <w:tc>
          <w:tcPr>
            <w:tcW w:w="1809" w:type="dxa"/>
          </w:tcPr>
          <w:p w:rsidR="005347D3" w:rsidRPr="00FD562B" w:rsidRDefault="00625384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1418" w:type="dxa"/>
          </w:tcPr>
          <w:p w:rsidR="005347D3" w:rsidRPr="00FD562B" w:rsidRDefault="00625384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650,0</w:t>
            </w:r>
          </w:p>
        </w:tc>
        <w:tc>
          <w:tcPr>
            <w:tcW w:w="1276" w:type="dxa"/>
          </w:tcPr>
          <w:p w:rsidR="005347D3" w:rsidRPr="00FD562B" w:rsidRDefault="00625384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650,0</w:t>
            </w:r>
          </w:p>
        </w:tc>
        <w:tc>
          <w:tcPr>
            <w:tcW w:w="1134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560,9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560,9</w:t>
            </w:r>
          </w:p>
        </w:tc>
        <w:tc>
          <w:tcPr>
            <w:tcW w:w="1559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25384" w:rsidRPr="00FD562B" w:rsidTr="005347D3">
        <w:trPr>
          <w:trHeight w:val="290"/>
        </w:trPr>
        <w:tc>
          <w:tcPr>
            <w:tcW w:w="1809" w:type="dxa"/>
          </w:tcPr>
          <w:p w:rsidR="00625384" w:rsidRDefault="00625384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1418" w:type="dxa"/>
          </w:tcPr>
          <w:p w:rsidR="00625384" w:rsidRDefault="00625384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14095,1</w:t>
            </w:r>
          </w:p>
        </w:tc>
        <w:tc>
          <w:tcPr>
            <w:tcW w:w="1276" w:type="dxa"/>
          </w:tcPr>
          <w:p w:rsidR="00625384" w:rsidRDefault="00625384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14095,1</w:t>
            </w:r>
          </w:p>
        </w:tc>
        <w:tc>
          <w:tcPr>
            <w:tcW w:w="1134" w:type="dxa"/>
          </w:tcPr>
          <w:p w:rsidR="00625384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14099,2</w:t>
            </w:r>
          </w:p>
        </w:tc>
        <w:tc>
          <w:tcPr>
            <w:tcW w:w="1134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14099,2</w:t>
            </w:r>
          </w:p>
        </w:tc>
        <w:tc>
          <w:tcPr>
            <w:tcW w:w="1559" w:type="dxa"/>
          </w:tcPr>
          <w:p w:rsidR="00625384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347D3" w:rsidRPr="00FD562B" w:rsidTr="005347D3">
        <w:trPr>
          <w:trHeight w:val="290"/>
        </w:trPr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5347D3" w:rsidRDefault="005347D3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5347D3" w:rsidRDefault="005347D3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347D3" w:rsidRPr="00FD562B" w:rsidRDefault="005347D3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47D3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2988,7</w:t>
            </w:r>
          </w:p>
        </w:tc>
        <w:tc>
          <w:tcPr>
            <w:tcW w:w="1134" w:type="dxa"/>
          </w:tcPr>
          <w:p w:rsidR="005347D3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3000,8</w:t>
            </w:r>
          </w:p>
        </w:tc>
        <w:tc>
          <w:tcPr>
            <w:tcW w:w="1559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12,1</w:t>
            </w:r>
          </w:p>
        </w:tc>
      </w:tr>
      <w:tr w:rsidR="005347D3" w:rsidRPr="00FD562B" w:rsidTr="005347D3">
        <w:trPr>
          <w:trHeight w:val="290"/>
        </w:trPr>
        <w:tc>
          <w:tcPr>
            <w:tcW w:w="1809" w:type="dxa"/>
          </w:tcPr>
          <w:p w:rsidR="005347D3" w:rsidRPr="00FD562B" w:rsidRDefault="005347D3" w:rsidP="004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5347D3" w:rsidRPr="00FD562B" w:rsidRDefault="00625384" w:rsidP="00E522D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265189,3</w:t>
            </w:r>
          </w:p>
        </w:tc>
        <w:tc>
          <w:tcPr>
            <w:tcW w:w="1276" w:type="dxa"/>
          </w:tcPr>
          <w:p w:rsidR="005347D3" w:rsidRPr="00FD562B" w:rsidRDefault="00625384" w:rsidP="00E522D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266485,4</w:t>
            </w:r>
          </w:p>
        </w:tc>
        <w:tc>
          <w:tcPr>
            <w:tcW w:w="1134" w:type="dxa"/>
          </w:tcPr>
          <w:p w:rsidR="005347D3" w:rsidRPr="00FD562B" w:rsidRDefault="00625384" w:rsidP="00E522D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1296,1</w:t>
            </w:r>
          </w:p>
        </w:tc>
        <w:tc>
          <w:tcPr>
            <w:tcW w:w="1134" w:type="dxa"/>
          </w:tcPr>
          <w:p w:rsidR="005347D3" w:rsidRPr="00FD562B" w:rsidRDefault="007C139A" w:rsidP="00E522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204621,2</w:t>
            </w:r>
          </w:p>
        </w:tc>
        <w:tc>
          <w:tcPr>
            <w:tcW w:w="1134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199133,3</w:t>
            </w:r>
          </w:p>
        </w:tc>
        <w:tc>
          <w:tcPr>
            <w:tcW w:w="1559" w:type="dxa"/>
          </w:tcPr>
          <w:p w:rsidR="005347D3" w:rsidRPr="00FD562B" w:rsidRDefault="002344CD" w:rsidP="00E522D9">
            <w:pPr>
              <w:autoSpaceDE w:val="0"/>
              <w:autoSpaceDN w:val="0"/>
              <w:adjustRightInd w:val="0"/>
              <w:spacing w:after="0" w:line="240" w:lineRule="auto"/>
              <w:ind w:left="-108" w:right="-43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-5487,9</w:t>
            </w:r>
          </w:p>
        </w:tc>
      </w:tr>
    </w:tbl>
    <w:p w:rsidR="00D03DD4" w:rsidRPr="003302B1" w:rsidRDefault="00D03DD4" w:rsidP="00E5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3302B1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018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01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01815">
        <w:rPr>
          <w:rFonts w:ascii="Times New Roman" w:eastAsia="Times New Roman" w:hAnsi="Times New Roman" w:cs="Times New Roman"/>
          <w:sz w:val="28"/>
          <w:szCs w:val="28"/>
          <w:lang w:eastAsia="ru-RU"/>
        </w:rPr>
        <w:t>966,2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473688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</w:t>
      </w:r>
      <w:r w:rsidR="00E018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E01815"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E0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 w:rsidR="00E01815">
        <w:rPr>
          <w:rFonts w:ascii="Times New Roman" w:eastAsia="Times New Roman" w:hAnsi="Times New Roman" w:cs="Times New Roman"/>
          <w:sz w:val="28"/>
          <w:szCs w:val="28"/>
          <w:lang w:eastAsia="ru-RU"/>
        </w:rPr>
        <w:t>43,6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3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473688" w:rsidRDefault="00473688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пожарной сигнализации на сумму 82,0 тыс. </w:t>
      </w:r>
      <w:r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752FC"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 - </w:t>
      </w:r>
      <w:r w:rsidR="0080795F"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локально-сметный расчет №704 от ООО «Пожарный аудит»</w:t>
      </w:r>
      <w:r w:rsidR="00A752FC"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D4" w:rsidRDefault="00473688" w:rsidP="00473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содержания гаража  на сумму 38,4 тыс. рублей (Основание - распоряжение администрации района от 10.01.2019 года №2р, 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04.02.2019 года №4</w:t>
      </w:r>
      <w:r w:rsidR="00E956C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A752FC">
        <w:rPr>
          <w:rFonts w:ascii="Times New Roman" w:eastAsia="Times New Roman" w:hAnsi="Times New Roman" w:cs="Times New Roman"/>
          <w:sz w:val="28"/>
          <w:szCs w:val="28"/>
          <w:lang w:eastAsia="ru-RU"/>
        </w:rPr>
        <w:t>922,6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перекидка с подраздела 0104 </w:t>
      </w:r>
      <w:r w:rsidR="002C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0113</w:t>
      </w:r>
      <w:r w:rsidR="002C6E75" w:rsidRPr="002C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38,4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5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«ЦОД УБС» на расчеты за тепловую и электрическую энергию (Основание – ходатайство директора</w:t>
      </w:r>
      <w:r w:rsidR="00A752FC" w:rsidRPr="00A7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«ЦОД УБС» от  04.02.2019 года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иных межбюджетных трансфертов из бюджета области в сумме </w:t>
      </w:r>
      <w:r w:rsidR="000C58A0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планируется направить  на стимулирование органов местного самоуправления за достижение наилучших результатов по социально-экономическому развитию муниципальных образований</w:t>
      </w:r>
      <w:r w:rsidR="000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</w:t>
      </w:r>
      <w:r w:rsidR="000C58A0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201</w:t>
      </w:r>
      <w:r w:rsidR="000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C58A0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C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="000C58A0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58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C58A0" w:rsidRDefault="000C58A0" w:rsidP="000C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планируется направить 650,0 тыс. рублей иными межбюджетными трансфертами поселению Туровецкое  на приобретение автомашины</w:t>
      </w: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 ходатайство  поселения Туровецкое  от</w:t>
      </w:r>
      <w:r w:rsidR="00A71DD4"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1DD4"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71DD4"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71DD4"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 сумму 850,0 тыс. рублей</w:t>
      </w:r>
      <w:r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D4" w:rsidRPr="00A71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коммерческие  предложения отсутствуют</w:t>
      </w:r>
      <w:r w:rsidRP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8A0" w:rsidRPr="000C58A0" w:rsidRDefault="000C58A0" w:rsidP="000C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расходов в сумме 201,8 тыс. рублей КУ  «Центр бюджетного учета и отчетности» из них: на </w:t>
      </w:r>
      <w:r w:rsidR="00DA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ТБО – 9,2 тыс. рублей, на канцелярские товары – 10,0 тыс. рублей, на кассетные  жалюзи из алюминия  42,3 тыс. рублей, на  Сервер для размещение ЕЦИС – 100,0 тыс. рублей, на компьютер – 40,3 тыс. рублей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с расчетом директора КУ «ЦБУ</w:t>
      </w:r>
      <w:r w:rsidR="0021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="0021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11.02.2019 года №01-10/3).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8A0" w:rsidRPr="009942F4" w:rsidRDefault="000C58A0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 бюджетные ассигнования на </w:t>
      </w:r>
      <w:r w:rsidR="00641F3E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программе «Устойчивое развитие сельских территорий Междуреченского муниципального района на 2014-2017 годы и на период до 2020 года в сумме </w:t>
      </w:r>
      <w:r w:rsidR="00641F3E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</w:t>
      </w:r>
      <w:r w:rsidR="0064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округлением цифр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3E" w:rsidRDefault="00641F3E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проводится перекидка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КЦСР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365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808" w:rsidRP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5672 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07  0 02 </w:t>
      </w:r>
      <w:r w:rsidR="00365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>1370 по комплексному обустройству  объектов  социальной и инженерной  инфраструктуры  населенных пунктов, расположенных в сельской местности  на строительство и реконструкцию автомобильных дорог в рамках подпрограммы «Устойчивое  развитие сельских территорий Вологодской области на 2014-2017 годы и на период до 2020 года» в сумме 926,5 тыс. рублей.</w:t>
      </w:r>
    </w:p>
    <w:p w:rsidR="00E34BB7" w:rsidRPr="00365808" w:rsidRDefault="00E34BB7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0702 «Общее 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ассигнований в целом на </w:t>
      </w:r>
      <w:r w:rsidR="00365808">
        <w:rPr>
          <w:rFonts w:ascii="Times New Roman" w:eastAsia="Times New Roman" w:hAnsi="Times New Roman" w:cs="Times New Roman"/>
          <w:sz w:val="28"/>
          <w:szCs w:val="28"/>
          <w:lang w:eastAsia="ru-RU"/>
        </w:rPr>
        <w:t>1359,9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CA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областного бюджета </w:t>
      </w:r>
      <w:r w:rsidR="00CA5083">
        <w:rPr>
          <w:rFonts w:ascii="Times New Roman" w:eastAsia="Times New Roman" w:hAnsi="Times New Roman" w:cs="Times New Roman"/>
          <w:sz w:val="28"/>
          <w:szCs w:val="28"/>
          <w:lang w:eastAsia="ru-RU"/>
        </w:rPr>
        <w:t>1646,3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CF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в сумме 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>290,0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уменьшение 3,6 тыс. рублей (софинансирование)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мероприятия:</w:t>
      </w:r>
    </w:p>
    <w:p w:rsidR="008B003E" w:rsidRDefault="00CF29BB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B003E" w:rsidRPr="00047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8B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1649,9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8B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автомобильного транспорта  для обеспечения подвоза  обучающихся в связи с проведением централизованной закупки автобусов;</w:t>
      </w:r>
    </w:p>
    <w:p w:rsidR="00D1496C" w:rsidRDefault="008B003E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194,5 тыс. р</w:t>
      </w:r>
      <w:r w:rsidR="00047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D1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на устранение предписаний управления 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="00D1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МБОУ «Ботановская ООШ» - 158,5 тыс. рублей и на  установку видеонаблюдения на объекте МБОУ «Ботановская ООШ» - 36,0 тыс. рублей (Основание – ходатайство  зав. Отдела образования от 07.12.2018 года №1096 и предписание  Ростехнадзора от 12.10.2018 года №52-6217-3281/ПР);</w:t>
      </w:r>
    </w:p>
    <w:p w:rsidR="00CF29BB" w:rsidRDefault="00D1496C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95,5 тыс. рублей переустройство 1 этажа МБОУ «Старосельская ООШ» под размещение 2-х дошкольных групп и интерн</w:t>
      </w:r>
      <w:r w:rsidR="00E4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связи с увеличением стоимости работ </w:t>
      </w:r>
      <w:r w:rsidR="00047822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(Увеличение НДС до 20%).</w:t>
      </w:r>
    </w:p>
    <w:p w:rsidR="00A71DD4" w:rsidRDefault="00A71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плановый период 2020 года уменьшаются расходы на </w:t>
      </w:r>
      <w:r w:rsidR="00E34BB7">
        <w:rPr>
          <w:rFonts w:ascii="Times New Roman" w:eastAsia="Times New Roman" w:hAnsi="Times New Roman" w:cs="Times New Roman"/>
          <w:sz w:val="28"/>
          <w:szCs w:val="28"/>
          <w:lang w:eastAsia="ru-RU"/>
        </w:rPr>
        <w:t>5500,0 тыс. рублей.</w:t>
      </w:r>
    </w:p>
    <w:p w:rsidR="00E34BB7" w:rsidRDefault="00E34BB7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31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1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15192" w:rsidRPr="00315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0801</w:t>
      </w:r>
      <w:r w:rsidR="0031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192" w:rsidRPr="00315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 «Культура»</w:t>
      </w:r>
      <w:r w:rsidRPr="00876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ассигнований на </w:t>
      </w:r>
      <w:r w:rsidR="00315192">
        <w:rPr>
          <w:rFonts w:ascii="Times New Roman" w:eastAsia="Times New Roman" w:hAnsi="Times New Roman" w:cs="Times New Roman"/>
          <w:sz w:val="28"/>
          <w:szCs w:val="28"/>
          <w:lang w:eastAsia="ru-RU"/>
        </w:rPr>
        <w:t>928,8  тыс. рублей на выполнение решений  Градостроительного совета по комплексному капитальному ремонту здания МБУК «Центр культурного развития»  в с.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Шуйское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315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с </w:t>
      </w:r>
      <w:r w:rsidR="0031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 государственной экспертизы и увеличение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НДС до 20% (Основание – ход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тайство заведующей отделом культуры, спорта и молодежной политики района от 07.02.2019 года №5).</w:t>
      </w:r>
    </w:p>
    <w:p w:rsidR="00E34BB7" w:rsidRDefault="00E34BB7" w:rsidP="0031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A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E34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A71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0909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A71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 в области здравоохранени</w:t>
      </w:r>
      <w:r w:rsidR="00E34B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в сумме 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761,1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проектно-сметной документации на строительство фельдшерско</w:t>
      </w:r>
      <w:r w:rsidR="00E43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акушерского пункта в д. Игумницево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контракт №0130300024318000035-0243782-01</w:t>
      </w:r>
      <w:r w:rsidR="0009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заключенный  с ООО «Вигор»</w:t>
      </w:r>
      <w:r w:rsidR="00A71D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B0F" w:rsidRDefault="000A1B0F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2020 год увеличиваются «Условно утверждаемые расходы» на 12,1 тыс. рублей, что связано с уменьшением расходов по бюджету.</w:t>
      </w:r>
    </w:p>
    <w:p w:rsidR="000A1B0F" w:rsidRDefault="000A1B0F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</w:t>
      </w:r>
      <w:r w:rsidR="00FD0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 проекта решения в Приложении 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допущены две опечатки:</w:t>
      </w:r>
    </w:p>
    <w:p w:rsidR="00D128AA" w:rsidRDefault="00D03DD4" w:rsidP="00D128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128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7D48">
        <w:rPr>
          <w:rFonts w:ascii="Times New Roman" w:hAnsi="Times New Roman" w:cs="Times New Roman"/>
          <w:i/>
          <w:sz w:val="28"/>
          <w:szCs w:val="28"/>
        </w:rPr>
        <w:t>«</w:t>
      </w:r>
      <w:r w:rsidR="00FD0CD1">
        <w:rPr>
          <w:rFonts w:ascii="Times New Roman" w:hAnsi="Times New Roman" w:cs="Times New Roman"/>
          <w:i/>
          <w:sz w:val="28"/>
          <w:szCs w:val="28"/>
        </w:rPr>
        <w:t xml:space="preserve">Администрация района» </w:t>
      </w:r>
      <w:r w:rsidRPr="00947D48">
        <w:rPr>
          <w:rFonts w:ascii="Times New Roman" w:hAnsi="Times New Roman" w:cs="Times New Roman"/>
          <w:i/>
          <w:sz w:val="28"/>
          <w:szCs w:val="28"/>
        </w:rPr>
        <w:t xml:space="preserve">  цифры «</w:t>
      </w:r>
      <w:r w:rsidR="00FD0CD1">
        <w:rPr>
          <w:rFonts w:ascii="Times New Roman" w:hAnsi="Times New Roman" w:cs="Times New Roman"/>
          <w:i/>
          <w:sz w:val="28"/>
          <w:szCs w:val="28"/>
        </w:rPr>
        <w:t>125831,9</w:t>
      </w:r>
      <w:r w:rsidRPr="00947D4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заменить</w:t>
      </w:r>
      <w:r w:rsidRPr="00947D48">
        <w:rPr>
          <w:rFonts w:ascii="Times New Roman" w:hAnsi="Times New Roman" w:cs="Times New Roman"/>
          <w:i/>
          <w:sz w:val="28"/>
          <w:szCs w:val="28"/>
        </w:rPr>
        <w:t xml:space="preserve"> цифрами «</w:t>
      </w:r>
      <w:r w:rsidR="00FD0CD1" w:rsidRPr="00FD0CD1">
        <w:rPr>
          <w:rFonts w:ascii="Times New Roman" w:hAnsi="Times New Roman" w:cs="Times New Roman"/>
          <w:b/>
          <w:i/>
          <w:sz w:val="28"/>
          <w:szCs w:val="28"/>
        </w:rPr>
        <w:t>122286,1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="00FD0C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0CD1" w:rsidRDefault="00FD0CD1" w:rsidP="00D128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заменить строкой </w:t>
      </w:r>
      <w:r w:rsidRPr="00947D4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района» </w:t>
      </w:r>
      <w:r w:rsidRPr="00947D48">
        <w:rPr>
          <w:rFonts w:ascii="Times New Roman" w:hAnsi="Times New Roman" w:cs="Times New Roman"/>
          <w:i/>
          <w:sz w:val="28"/>
          <w:szCs w:val="28"/>
        </w:rPr>
        <w:t xml:space="preserve">  цифры «</w:t>
      </w:r>
      <w:r>
        <w:rPr>
          <w:rFonts w:ascii="Times New Roman" w:hAnsi="Times New Roman" w:cs="Times New Roman"/>
          <w:i/>
          <w:sz w:val="28"/>
          <w:szCs w:val="28"/>
        </w:rPr>
        <w:t>125831,9</w:t>
      </w:r>
      <w:r w:rsidRPr="00947D4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заменить</w:t>
      </w:r>
      <w:r w:rsidRPr="00947D48">
        <w:rPr>
          <w:rFonts w:ascii="Times New Roman" w:hAnsi="Times New Roman" w:cs="Times New Roman"/>
          <w:i/>
          <w:sz w:val="28"/>
          <w:szCs w:val="28"/>
        </w:rPr>
        <w:t xml:space="preserve"> цифрами </w:t>
      </w:r>
      <w:r w:rsidRPr="00FD0CD1">
        <w:rPr>
          <w:rFonts w:ascii="Times New Roman" w:hAnsi="Times New Roman" w:cs="Times New Roman"/>
          <w:b/>
          <w:i/>
          <w:sz w:val="28"/>
          <w:szCs w:val="28"/>
        </w:rPr>
        <w:t>«128286,1»;</w:t>
      </w:r>
    </w:p>
    <w:p w:rsidR="00D128AA" w:rsidRPr="00D128AA" w:rsidRDefault="00D03DD4" w:rsidP="00D03D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8AA">
        <w:rPr>
          <w:sz w:val="28"/>
          <w:szCs w:val="28"/>
        </w:rPr>
        <w:t xml:space="preserve">- </w:t>
      </w:r>
      <w:r w:rsidR="00D128AA" w:rsidRPr="00D128AA">
        <w:rPr>
          <w:rFonts w:ascii="Times New Roman" w:hAnsi="Times New Roman" w:cs="Times New Roman"/>
          <w:i/>
          <w:sz w:val="28"/>
          <w:szCs w:val="28"/>
        </w:rPr>
        <w:t>строку «Национальная экономика» цифры «</w:t>
      </w:r>
      <w:r w:rsidR="00D128AA" w:rsidRPr="00D128AA">
        <w:rPr>
          <w:rFonts w:ascii="Times New Roman" w:hAnsi="Times New Roman" w:cs="Times New Roman"/>
          <w:b/>
          <w:i/>
          <w:sz w:val="28"/>
          <w:szCs w:val="28"/>
        </w:rPr>
        <w:t>21511,5</w:t>
      </w:r>
      <w:r w:rsidR="00D128AA" w:rsidRPr="00D128AA">
        <w:rPr>
          <w:rFonts w:ascii="Times New Roman" w:hAnsi="Times New Roman" w:cs="Times New Roman"/>
          <w:i/>
          <w:sz w:val="28"/>
          <w:szCs w:val="28"/>
        </w:rPr>
        <w:t>» заменить цифрами «24511,4»,</w:t>
      </w:r>
    </w:p>
    <w:p w:rsidR="00D128AA" w:rsidRPr="00D128AA" w:rsidRDefault="00D128AA" w:rsidP="00D03D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8AA">
        <w:rPr>
          <w:rFonts w:ascii="Times New Roman" w:hAnsi="Times New Roman" w:cs="Times New Roman"/>
          <w:i/>
          <w:sz w:val="28"/>
          <w:szCs w:val="28"/>
        </w:rPr>
        <w:t>- заменить строкой «Национальная экономика» цифры «</w:t>
      </w:r>
      <w:r w:rsidRPr="00D128AA">
        <w:rPr>
          <w:rFonts w:ascii="Times New Roman" w:hAnsi="Times New Roman" w:cs="Times New Roman"/>
          <w:b/>
          <w:i/>
          <w:sz w:val="28"/>
          <w:szCs w:val="28"/>
        </w:rPr>
        <w:t>24511,5</w:t>
      </w:r>
      <w:r w:rsidRPr="00D128AA">
        <w:rPr>
          <w:rFonts w:ascii="Times New Roman" w:hAnsi="Times New Roman" w:cs="Times New Roman"/>
          <w:i/>
          <w:sz w:val="28"/>
          <w:szCs w:val="28"/>
        </w:rPr>
        <w:t>» заменить цифрами «24511,4».</w:t>
      </w:r>
    </w:p>
    <w:p w:rsidR="00D03DD4" w:rsidRPr="00FD0CD1" w:rsidRDefault="00D03DD4" w:rsidP="00D03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03DD4" w:rsidRPr="009C66C3" w:rsidRDefault="00D03DD4" w:rsidP="00D0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6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D03DD4" w:rsidRPr="0038383E" w:rsidRDefault="00D03DD4" w:rsidP="00D0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в сумме </w:t>
      </w:r>
      <w:r w:rsidR="002161FC">
        <w:rPr>
          <w:rFonts w:ascii="Times New Roman" w:eastAsia="Times New Roman" w:hAnsi="Times New Roman" w:cs="Times New Roman"/>
          <w:sz w:val="28"/>
          <w:szCs w:val="28"/>
          <w:lang w:eastAsia="ru-RU"/>
        </w:rPr>
        <w:t>7332,0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03DD4" w:rsidRDefault="00D03DD4" w:rsidP="00D03D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D03DD4" w:rsidRPr="0038383E" w:rsidRDefault="00D03DD4" w:rsidP="00D03D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38383E" w:rsidRDefault="00D03DD4" w:rsidP="00D03D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701"/>
        <w:gridCol w:w="1701"/>
        <w:gridCol w:w="2126"/>
      </w:tblGrid>
      <w:tr w:rsidR="00D03DD4" w:rsidRPr="0038383E" w:rsidTr="00473688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21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3DD4" w:rsidRPr="0038383E" w:rsidTr="00473688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4" w:rsidRPr="00295284" w:rsidRDefault="00D03DD4" w:rsidP="00473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1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1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D03DD4" w:rsidRPr="00295284" w:rsidRDefault="00D03DD4" w:rsidP="00473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21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феврале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1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D4" w:rsidRPr="00295284" w:rsidRDefault="00D03DD4" w:rsidP="00473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D03DD4" w:rsidRPr="00295284" w:rsidRDefault="00D03DD4" w:rsidP="00473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DD4" w:rsidRPr="0038383E" w:rsidTr="00473688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 (-)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профицита 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1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1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7332,0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D4" w:rsidRPr="00295284" w:rsidRDefault="002161FC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2910,1</w:t>
            </w:r>
          </w:p>
        </w:tc>
      </w:tr>
      <w:tr w:rsidR="00D03DD4" w:rsidRPr="0038383E" w:rsidTr="00473688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2161FC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2161FC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D4" w:rsidRPr="00295284" w:rsidRDefault="00D03DD4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1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D03DD4" w:rsidRPr="0038383E" w:rsidTr="00473688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E45946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2161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4421,9</w:t>
            </w:r>
          </w:p>
          <w:p w:rsidR="00D03DD4" w:rsidRPr="00E45946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E45946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2161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7332,0</w:t>
            </w:r>
          </w:p>
          <w:p w:rsidR="00D03DD4" w:rsidRPr="00E45946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D4" w:rsidRPr="002F1CE3" w:rsidRDefault="002161FC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2910,1</w:t>
            </w:r>
          </w:p>
          <w:p w:rsidR="00D03DD4" w:rsidRPr="002F1CE3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03DD4" w:rsidRPr="0038383E" w:rsidTr="00473688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E45946" w:rsidRDefault="002161FC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265189,3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E45946" w:rsidRDefault="002161FC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266485,4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D4" w:rsidRPr="002F1CE3" w:rsidRDefault="002161FC" w:rsidP="0047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1296,1</w:t>
            </w:r>
          </w:p>
        </w:tc>
      </w:tr>
      <w:tr w:rsidR="00D03DD4" w:rsidRPr="0038383E" w:rsidTr="00473688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295284" w:rsidRDefault="00D03DD4" w:rsidP="0047368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E45946" w:rsidRDefault="00D03DD4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1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D4" w:rsidRPr="00E45946" w:rsidRDefault="00D03DD4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1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259153,4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D4" w:rsidRPr="002F1CE3" w:rsidRDefault="002161FC" w:rsidP="00216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1614,0</w:t>
            </w:r>
          </w:p>
        </w:tc>
      </w:tr>
    </w:tbl>
    <w:p w:rsidR="00D03DD4" w:rsidRPr="0038383E" w:rsidRDefault="00D03DD4" w:rsidP="00D0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320814" w:rsidRDefault="00D03DD4" w:rsidP="00D03DD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поправок произойдет увеличение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первоначального размера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2910,1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района. Размер дефицита бюджета района составит 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7332,0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 w:rsidR="00FD0C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3DD4" w:rsidRPr="00EB6D74" w:rsidRDefault="00D03DD4" w:rsidP="00D03DD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 w:rsidR="00EB6D74"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>17772,9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03DD4" w:rsidRPr="00947648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03DD4" w:rsidRPr="00896CDA" w:rsidRDefault="00D03DD4" w:rsidP="00D0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</w:t>
      </w:r>
      <w:r w:rsidR="00010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E4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0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201</w:t>
      </w:r>
      <w:r w:rsidR="000104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на </w:t>
      </w:r>
      <w:r w:rsidR="00010406">
        <w:rPr>
          <w:rFonts w:ascii="Times New Roman" w:eastAsia="Times New Roman" w:hAnsi="Times New Roman" w:cs="Times New Roman"/>
          <w:sz w:val="28"/>
          <w:szCs w:val="28"/>
          <w:lang w:eastAsia="ru-RU"/>
        </w:rPr>
        <w:t>1614,0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010406">
        <w:rPr>
          <w:rFonts w:ascii="Times New Roman" w:eastAsia="Times New Roman" w:hAnsi="Times New Roman" w:cs="Times New Roman"/>
          <w:sz w:val="28"/>
          <w:szCs w:val="28"/>
          <w:lang w:eastAsia="ru-RU"/>
        </w:rPr>
        <w:t>259153,4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D4" w:rsidRDefault="00010406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 - 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5487,9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199133,3</w:t>
      </w:r>
      <w:r w:rsidR="00D0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E65A8" w:rsidRPr="000E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увеличится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1296,1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266485,4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E65A8" w:rsidRPr="000E6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5487,9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0E65A8">
        <w:rPr>
          <w:rFonts w:ascii="Times New Roman" w:eastAsia="Times New Roman" w:hAnsi="Times New Roman" w:cs="Times New Roman"/>
          <w:sz w:val="28"/>
          <w:szCs w:val="28"/>
          <w:lang w:eastAsia="ru-RU"/>
        </w:rPr>
        <w:t>199133,3 тыс. рублей.</w:t>
      </w:r>
    </w:p>
    <w:p w:rsidR="00D03DD4" w:rsidRDefault="00D03DD4" w:rsidP="00D03D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10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7332,0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с учетом остатка средств бюджета района на 01.01.201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DD4" w:rsidRDefault="00D03DD4" w:rsidP="00D03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1614,0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D03DD4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5487,9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4,1 процента.</w:t>
      </w:r>
    </w:p>
    <w:p w:rsidR="00D03DD4" w:rsidRPr="00D27701" w:rsidRDefault="00D03DD4" w:rsidP="00D0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193032,4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129583,3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74,5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DD4" w:rsidRDefault="00D03DD4" w:rsidP="00D03DD4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266485,4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4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2020 год – 199133,3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</w:t>
      </w:r>
      <w:r w:rsidR="00104E2D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 w:rsidR="00104E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104E2D">
        <w:rPr>
          <w:rFonts w:ascii="Times New Roman" w:hAnsi="Times New Roman" w:cs="Times New Roman"/>
          <w:sz w:val="28"/>
          <w:szCs w:val="28"/>
        </w:rPr>
        <w:t>1296,1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04E2D">
        <w:rPr>
          <w:rFonts w:ascii="Times New Roman" w:hAnsi="Times New Roman" w:cs="Times New Roman"/>
          <w:sz w:val="28"/>
          <w:szCs w:val="28"/>
        </w:rPr>
        <w:t xml:space="preserve">0,5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E3">
        <w:rPr>
          <w:rFonts w:ascii="Times New Roman" w:hAnsi="Times New Roman" w:cs="Times New Roman"/>
          <w:sz w:val="28"/>
          <w:szCs w:val="28"/>
        </w:rPr>
        <w:t>У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A1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966,2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928,8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761,1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планируется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E437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1359,9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2020</w:t>
      </w:r>
      <w:r w:rsidR="000A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уменьшение  расходов на 5487,9 тыс. рублей по разделу «Образовани</w:t>
      </w:r>
      <w:r w:rsidR="00E437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3DD4" w:rsidRDefault="00D03DD4" w:rsidP="00D03DD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Default="00D03DD4" w:rsidP="00D03DD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03DD4" w:rsidRDefault="00D03DD4" w:rsidP="00D03DD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D4" w:rsidRPr="00626562" w:rsidRDefault="00D03DD4" w:rsidP="00D03DD4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241E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исправления замечаний, указанных в тексте заключения.</w:t>
      </w:r>
    </w:p>
    <w:p w:rsidR="00D03DD4" w:rsidRPr="00896CDA" w:rsidRDefault="00D03DD4" w:rsidP="00D0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896CDA" w:rsidRDefault="00D03DD4" w:rsidP="00D0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Pr="00BF67E7" w:rsidRDefault="00D03DD4" w:rsidP="00D0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D4" w:rsidRDefault="00D03DD4" w:rsidP="00D0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E7">
        <w:rPr>
          <w:rFonts w:ascii="Times New Roman" w:hAnsi="Times New Roman" w:cs="Times New Roman"/>
          <w:sz w:val="28"/>
          <w:szCs w:val="28"/>
        </w:rPr>
        <w:t>Старший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D4" w:rsidRPr="00BF67E7" w:rsidRDefault="00D03DD4" w:rsidP="00D0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E7"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67E7">
        <w:rPr>
          <w:rFonts w:ascii="Times New Roman" w:hAnsi="Times New Roman" w:cs="Times New Roman"/>
          <w:sz w:val="28"/>
          <w:szCs w:val="28"/>
        </w:rPr>
        <w:t xml:space="preserve">   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7E7">
        <w:rPr>
          <w:rFonts w:ascii="Times New Roman" w:hAnsi="Times New Roman" w:cs="Times New Roman"/>
          <w:sz w:val="28"/>
          <w:szCs w:val="28"/>
        </w:rPr>
        <w:t>Шестакова</w:t>
      </w:r>
    </w:p>
    <w:p w:rsidR="00D03DD4" w:rsidRDefault="00D03DD4" w:rsidP="00D03DD4"/>
    <w:p w:rsidR="00D03DD4" w:rsidRPr="0090595A" w:rsidRDefault="00D03DD4" w:rsidP="00D03DD4"/>
    <w:p w:rsidR="00D03DD4" w:rsidRDefault="00D03DD4" w:rsidP="00D03DD4"/>
    <w:p w:rsidR="00D03DD4" w:rsidRDefault="00D03DD4" w:rsidP="00D03DD4"/>
    <w:p w:rsidR="0058471E" w:rsidRDefault="0058471E"/>
    <w:sectPr w:rsidR="005847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D4" w:rsidRDefault="00BC65D4">
      <w:pPr>
        <w:spacing w:after="0" w:line="240" w:lineRule="auto"/>
      </w:pPr>
      <w:r>
        <w:separator/>
      </w:r>
    </w:p>
  </w:endnote>
  <w:endnote w:type="continuationSeparator" w:id="0">
    <w:p w:rsidR="00BC65D4" w:rsidRDefault="00BC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D4" w:rsidRDefault="00BC65D4">
      <w:pPr>
        <w:spacing w:after="0" w:line="240" w:lineRule="auto"/>
      </w:pPr>
      <w:r>
        <w:separator/>
      </w:r>
    </w:p>
  </w:footnote>
  <w:footnote w:type="continuationSeparator" w:id="0">
    <w:p w:rsidR="00BC65D4" w:rsidRDefault="00BC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473688" w:rsidRDefault="004736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5F">
          <w:rPr>
            <w:noProof/>
          </w:rPr>
          <w:t>1</w:t>
        </w:r>
        <w:r>
          <w:fldChar w:fldCharType="end"/>
        </w:r>
      </w:p>
    </w:sdtContent>
  </w:sdt>
  <w:p w:rsidR="00473688" w:rsidRDefault="004736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60"/>
    <w:rsid w:val="00010406"/>
    <w:rsid w:val="00016692"/>
    <w:rsid w:val="00047822"/>
    <w:rsid w:val="00093B33"/>
    <w:rsid w:val="000A1B0F"/>
    <w:rsid w:val="000B5460"/>
    <w:rsid w:val="000C58A0"/>
    <w:rsid w:val="000E65A8"/>
    <w:rsid w:val="00104E2D"/>
    <w:rsid w:val="001E2D75"/>
    <w:rsid w:val="0021062B"/>
    <w:rsid w:val="0021461C"/>
    <w:rsid w:val="002161FC"/>
    <w:rsid w:val="002344CD"/>
    <w:rsid w:val="002C6E75"/>
    <w:rsid w:val="00315192"/>
    <w:rsid w:val="0032734B"/>
    <w:rsid w:val="00365808"/>
    <w:rsid w:val="004241E3"/>
    <w:rsid w:val="004354D1"/>
    <w:rsid w:val="00473688"/>
    <w:rsid w:val="005347D3"/>
    <w:rsid w:val="0058471E"/>
    <w:rsid w:val="00611EEB"/>
    <w:rsid w:val="00625384"/>
    <w:rsid w:val="00641F3E"/>
    <w:rsid w:val="006C2A15"/>
    <w:rsid w:val="007A0E0C"/>
    <w:rsid w:val="007C139A"/>
    <w:rsid w:val="0080795F"/>
    <w:rsid w:val="00821C25"/>
    <w:rsid w:val="008B003E"/>
    <w:rsid w:val="00905B58"/>
    <w:rsid w:val="009B7C5F"/>
    <w:rsid w:val="009C66C3"/>
    <w:rsid w:val="00A10448"/>
    <w:rsid w:val="00A71DD4"/>
    <w:rsid w:val="00A752FC"/>
    <w:rsid w:val="00A94D79"/>
    <w:rsid w:val="00BB04EE"/>
    <w:rsid w:val="00BC65D4"/>
    <w:rsid w:val="00C043A0"/>
    <w:rsid w:val="00C519FC"/>
    <w:rsid w:val="00C90982"/>
    <w:rsid w:val="00CA5083"/>
    <w:rsid w:val="00CB5660"/>
    <w:rsid w:val="00CD1F07"/>
    <w:rsid w:val="00CF29BB"/>
    <w:rsid w:val="00D01DD6"/>
    <w:rsid w:val="00D03DD4"/>
    <w:rsid w:val="00D128AA"/>
    <w:rsid w:val="00D1496C"/>
    <w:rsid w:val="00D1683E"/>
    <w:rsid w:val="00DA1E72"/>
    <w:rsid w:val="00E01815"/>
    <w:rsid w:val="00E34BB7"/>
    <w:rsid w:val="00E437D5"/>
    <w:rsid w:val="00E522D9"/>
    <w:rsid w:val="00E956CB"/>
    <w:rsid w:val="00EB6D74"/>
    <w:rsid w:val="00EE1A86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DD4"/>
  </w:style>
  <w:style w:type="paragraph" w:styleId="a5">
    <w:name w:val="List Paragraph"/>
    <w:basedOn w:val="a"/>
    <w:uiPriority w:val="34"/>
    <w:qFormat/>
    <w:rsid w:val="00D03D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DD4"/>
  </w:style>
  <w:style w:type="paragraph" w:styleId="a5">
    <w:name w:val="List Paragraph"/>
    <w:basedOn w:val="a"/>
    <w:uiPriority w:val="34"/>
    <w:qFormat/>
    <w:rsid w:val="00D03D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2019-02-15T08:20:00Z</cp:lastPrinted>
  <dcterms:created xsi:type="dcterms:W3CDTF">2019-03-15T07:17:00Z</dcterms:created>
  <dcterms:modified xsi:type="dcterms:W3CDTF">2019-03-15T07:17:00Z</dcterms:modified>
</cp:coreProperties>
</file>