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A2B" w:rsidRDefault="00CA1A2B" w:rsidP="00CA1A2B">
      <w:pPr>
        <w:spacing w:after="0" w:line="240" w:lineRule="auto"/>
        <w:ind w:left="4956"/>
        <w:jc w:val="right"/>
        <w:rPr>
          <w:rFonts w:ascii="Times New Roman" w:hAnsi="Times New Roman"/>
          <w:bCs/>
          <w:color w:val="333333"/>
          <w:sz w:val="28"/>
          <w:szCs w:val="28"/>
        </w:rPr>
      </w:pPr>
    </w:p>
    <w:p w:rsidR="00CA1A2B" w:rsidRDefault="00CA1A2B" w:rsidP="00CA1A2B">
      <w:pPr>
        <w:pStyle w:val="a3"/>
        <w:tabs>
          <w:tab w:val="left" w:pos="9637"/>
        </w:tabs>
        <w:ind w:right="-2"/>
      </w:pPr>
      <w:r>
        <w:rPr>
          <w:noProof/>
        </w:rPr>
        <w:t xml:space="preserve">                                                          </w:t>
      </w:r>
      <w:r>
        <w:rPr>
          <w:noProof/>
        </w:rPr>
        <w:drawing>
          <wp:inline distT="0" distB="0" distL="0" distR="0">
            <wp:extent cx="53340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400" cy="638175"/>
                    </a:xfrm>
                    <a:prstGeom prst="rect">
                      <a:avLst/>
                    </a:prstGeom>
                    <a:noFill/>
                    <a:ln>
                      <a:noFill/>
                    </a:ln>
                  </pic:spPr>
                </pic:pic>
              </a:graphicData>
            </a:graphic>
          </wp:inline>
        </w:drawing>
      </w:r>
    </w:p>
    <w:p w:rsidR="00CA1A2B" w:rsidRDefault="00CA1A2B" w:rsidP="00CA1A2B">
      <w:pPr>
        <w:keepNext/>
        <w:tabs>
          <w:tab w:val="left" w:pos="708"/>
        </w:tabs>
        <w:spacing w:after="0" w:line="288" w:lineRule="auto"/>
        <w:jc w:val="center"/>
        <w:outlineLvl w:val="2"/>
        <w:rPr>
          <w:rFonts w:ascii="Times New Roman" w:hAnsi="Times New Roman"/>
          <w:b/>
          <w:sz w:val="28"/>
          <w:szCs w:val="28"/>
        </w:rPr>
      </w:pPr>
      <w:r>
        <w:rPr>
          <w:rFonts w:ascii="Times New Roman" w:hAnsi="Times New Roman"/>
          <w:b/>
          <w:sz w:val="32"/>
          <w:szCs w:val="32"/>
        </w:rPr>
        <w:t xml:space="preserve"> </w:t>
      </w:r>
      <w:r>
        <w:rPr>
          <w:rFonts w:ascii="Times New Roman" w:hAnsi="Times New Roman"/>
          <w:b/>
          <w:sz w:val="28"/>
          <w:szCs w:val="28"/>
        </w:rPr>
        <w:t>ГЛАВА</w:t>
      </w:r>
    </w:p>
    <w:p w:rsidR="00CA1A2B" w:rsidRDefault="00CA1A2B" w:rsidP="00CA1A2B">
      <w:pPr>
        <w:spacing w:after="0" w:line="240" w:lineRule="auto"/>
        <w:jc w:val="center"/>
        <w:rPr>
          <w:rFonts w:ascii="Times New Roman" w:hAnsi="Times New Roman"/>
          <w:b/>
          <w:sz w:val="28"/>
          <w:szCs w:val="20"/>
        </w:rPr>
      </w:pPr>
      <w:r>
        <w:rPr>
          <w:rFonts w:ascii="Times New Roman" w:hAnsi="Times New Roman"/>
          <w:b/>
          <w:sz w:val="28"/>
          <w:szCs w:val="20"/>
        </w:rPr>
        <w:t>МЕЖДУРЕЧЕНСКОГО МУНИЦИПАЛЬНОГО РАЙОНА</w:t>
      </w:r>
    </w:p>
    <w:p w:rsidR="00CA1A2B" w:rsidRDefault="00CA1A2B" w:rsidP="00CA1A2B">
      <w:pPr>
        <w:spacing w:after="0" w:line="240" w:lineRule="auto"/>
        <w:jc w:val="center"/>
        <w:rPr>
          <w:rFonts w:ascii="Times New Roman" w:hAnsi="Times New Roman"/>
          <w:b/>
          <w:sz w:val="28"/>
          <w:szCs w:val="20"/>
        </w:rPr>
      </w:pPr>
      <w:r>
        <w:rPr>
          <w:rFonts w:ascii="Times New Roman" w:hAnsi="Times New Roman"/>
          <w:b/>
          <w:sz w:val="28"/>
          <w:szCs w:val="20"/>
        </w:rPr>
        <w:t>ВОЛОГОДСКОЙ ОБЛАСТИ</w:t>
      </w:r>
    </w:p>
    <w:p w:rsidR="00CA1A2B" w:rsidRDefault="00CA1A2B" w:rsidP="00CA1A2B">
      <w:pPr>
        <w:spacing w:after="0" w:line="240" w:lineRule="auto"/>
        <w:jc w:val="both"/>
        <w:rPr>
          <w:rFonts w:ascii="Times New Roman" w:hAnsi="Times New Roman"/>
          <w:sz w:val="28"/>
          <w:szCs w:val="28"/>
        </w:rPr>
      </w:pPr>
    </w:p>
    <w:p w:rsidR="00CA1A2B" w:rsidRDefault="00CA1A2B" w:rsidP="00CA1A2B">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CA1A2B" w:rsidRDefault="00CA1A2B" w:rsidP="00CA1A2B">
      <w:pPr>
        <w:spacing w:after="0" w:line="240" w:lineRule="auto"/>
        <w:jc w:val="center"/>
        <w:rPr>
          <w:rFonts w:ascii="Times New Roman" w:hAnsi="Times New Roman"/>
          <w:b/>
          <w:sz w:val="28"/>
          <w:szCs w:val="28"/>
        </w:rPr>
      </w:pPr>
    </w:p>
    <w:p w:rsidR="00CA1A2B" w:rsidRPr="004834F1" w:rsidRDefault="00CA1A2B" w:rsidP="00CA1A2B">
      <w:pPr>
        <w:spacing w:after="0" w:line="240" w:lineRule="auto"/>
        <w:rPr>
          <w:rFonts w:ascii="Times New Roman" w:hAnsi="Times New Roman"/>
          <w:sz w:val="28"/>
          <w:szCs w:val="28"/>
          <w:u w:val="single"/>
        </w:rPr>
      </w:pPr>
      <w:r w:rsidRPr="004834F1">
        <w:rPr>
          <w:rFonts w:ascii="Times New Roman" w:hAnsi="Times New Roman"/>
          <w:sz w:val="28"/>
          <w:szCs w:val="28"/>
          <w:u w:val="single"/>
        </w:rPr>
        <w:t xml:space="preserve">от </w:t>
      </w:r>
      <w:r w:rsidR="004834F1" w:rsidRPr="004834F1">
        <w:rPr>
          <w:rFonts w:ascii="Times New Roman" w:hAnsi="Times New Roman"/>
          <w:sz w:val="28"/>
          <w:szCs w:val="28"/>
          <w:u w:val="single"/>
        </w:rPr>
        <w:t>29</w:t>
      </w:r>
      <w:r w:rsidRPr="004834F1">
        <w:rPr>
          <w:rFonts w:ascii="Times New Roman" w:hAnsi="Times New Roman"/>
          <w:sz w:val="28"/>
          <w:szCs w:val="28"/>
          <w:u w:val="single"/>
        </w:rPr>
        <w:t>.0</w:t>
      </w:r>
      <w:r w:rsidR="004834F1" w:rsidRPr="004834F1">
        <w:rPr>
          <w:rFonts w:ascii="Times New Roman" w:hAnsi="Times New Roman"/>
          <w:sz w:val="28"/>
          <w:szCs w:val="28"/>
          <w:u w:val="single"/>
        </w:rPr>
        <w:t>3</w:t>
      </w:r>
      <w:r w:rsidRPr="004834F1">
        <w:rPr>
          <w:rFonts w:ascii="Times New Roman" w:hAnsi="Times New Roman"/>
          <w:sz w:val="28"/>
          <w:szCs w:val="28"/>
          <w:u w:val="single"/>
        </w:rPr>
        <w:t xml:space="preserve">.2019 </w:t>
      </w:r>
      <w:r w:rsidR="00DB27C0">
        <w:rPr>
          <w:rFonts w:ascii="Times New Roman" w:hAnsi="Times New Roman"/>
          <w:sz w:val="28"/>
          <w:szCs w:val="28"/>
          <w:u w:val="single"/>
        </w:rPr>
        <w:t xml:space="preserve"> </w:t>
      </w:r>
      <w:r w:rsidRPr="004834F1">
        <w:rPr>
          <w:rFonts w:ascii="Times New Roman" w:hAnsi="Times New Roman"/>
          <w:sz w:val="28"/>
          <w:szCs w:val="28"/>
          <w:u w:val="single"/>
        </w:rPr>
        <w:t>№</w:t>
      </w:r>
      <w:r w:rsidR="004834F1" w:rsidRPr="004834F1">
        <w:rPr>
          <w:rFonts w:ascii="Times New Roman" w:hAnsi="Times New Roman"/>
          <w:sz w:val="28"/>
          <w:szCs w:val="28"/>
          <w:u w:val="single"/>
        </w:rPr>
        <w:t>4</w:t>
      </w:r>
    </w:p>
    <w:p w:rsidR="00CA1A2B" w:rsidRDefault="00DB27C0" w:rsidP="00CA1A2B">
      <w:pPr>
        <w:spacing w:after="0" w:line="240" w:lineRule="auto"/>
        <w:rPr>
          <w:rFonts w:ascii="Times New Roman" w:hAnsi="Times New Roman"/>
          <w:sz w:val="24"/>
          <w:szCs w:val="24"/>
        </w:rPr>
      </w:pPr>
      <w:r>
        <w:rPr>
          <w:rFonts w:ascii="Times New Roman" w:hAnsi="Times New Roman"/>
          <w:sz w:val="28"/>
          <w:szCs w:val="28"/>
        </w:rPr>
        <w:t xml:space="preserve">  </w:t>
      </w:r>
      <w:r w:rsidRPr="00DB27C0">
        <w:rPr>
          <w:rFonts w:ascii="Times New Roman" w:hAnsi="Times New Roman"/>
          <w:sz w:val="24"/>
          <w:szCs w:val="24"/>
        </w:rPr>
        <w:t>с. Шуйское</w:t>
      </w:r>
    </w:p>
    <w:p w:rsidR="00DB27C0" w:rsidRPr="00DB27C0" w:rsidRDefault="00DB27C0" w:rsidP="00CA1A2B">
      <w:pPr>
        <w:spacing w:after="0" w:line="240" w:lineRule="auto"/>
        <w:rPr>
          <w:rFonts w:ascii="Times New Roman" w:hAnsi="Times New Roman"/>
          <w:sz w:val="24"/>
          <w:szCs w:val="24"/>
        </w:rPr>
      </w:pPr>
    </w:p>
    <w:p w:rsidR="00CA1A2B" w:rsidRDefault="00CA1A2B" w:rsidP="00CA1A2B">
      <w:pPr>
        <w:spacing w:after="0" w:line="240" w:lineRule="auto"/>
        <w:jc w:val="both"/>
        <w:rPr>
          <w:rFonts w:ascii="Times New Roman" w:hAnsi="Times New Roman"/>
          <w:sz w:val="28"/>
          <w:szCs w:val="28"/>
        </w:rPr>
      </w:pPr>
      <w:r>
        <w:rPr>
          <w:rFonts w:ascii="Times New Roman" w:hAnsi="Times New Roman"/>
          <w:sz w:val="28"/>
          <w:szCs w:val="28"/>
        </w:rPr>
        <w:t>Об утверждении стандарта внешнего</w:t>
      </w:r>
    </w:p>
    <w:p w:rsidR="00CA1A2B" w:rsidRDefault="00CA1A2B" w:rsidP="00DB27C0">
      <w:pPr>
        <w:spacing w:after="0" w:line="240" w:lineRule="auto"/>
        <w:jc w:val="both"/>
        <w:rPr>
          <w:rFonts w:ascii="Times New Roman" w:hAnsi="Times New Roman"/>
          <w:sz w:val="28"/>
          <w:szCs w:val="20"/>
        </w:rPr>
      </w:pPr>
      <w:r>
        <w:rPr>
          <w:rFonts w:ascii="Times New Roman" w:hAnsi="Times New Roman"/>
          <w:sz w:val="28"/>
          <w:szCs w:val="28"/>
        </w:rPr>
        <w:t xml:space="preserve"> муниципального финансового контроля</w:t>
      </w:r>
    </w:p>
    <w:p w:rsidR="00CA1A2B" w:rsidRDefault="00CA1A2B" w:rsidP="00CA1A2B">
      <w:pPr>
        <w:spacing w:after="0" w:line="240" w:lineRule="auto"/>
        <w:rPr>
          <w:rFonts w:ascii="Times New Roman" w:hAnsi="Times New Roman"/>
          <w:sz w:val="28"/>
          <w:szCs w:val="20"/>
        </w:rPr>
      </w:pPr>
    </w:p>
    <w:p w:rsidR="00CA1A2B" w:rsidRPr="00CA1A2B" w:rsidRDefault="00CA1A2B" w:rsidP="00CA1A2B">
      <w:pPr>
        <w:spacing w:after="0" w:line="240" w:lineRule="auto"/>
        <w:jc w:val="both"/>
        <w:rPr>
          <w:rFonts w:ascii="Times New Roman" w:hAnsi="Times New Roman"/>
          <w:sz w:val="28"/>
          <w:szCs w:val="28"/>
        </w:rPr>
      </w:pPr>
      <w:r>
        <w:rPr>
          <w:rFonts w:ascii="Times New Roman" w:hAnsi="Times New Roman"/>
          <w:sz w:val="28"/>
          <w:szCs w:val="20"/>
        </w:rPr>
        <w:t xml:space="preserve">        </w:t>
      </w:r>
      <w:r w:rsidRPr="00CA1A2B">
        <w:rPr>
          <w:rFonts w:ascii="Times New Roman" w:hAnsi="Times New Roman"/>
          <w:sz w:val="28"/>
          <w:szCs w:val="20"/>
        </w:rPr>
        <w:t>В соответствии со статьями 12 и 16  «Положения</w:t>
      </w:r>
      <w:r w:rsidRPr="00CA1A2B">
        <w:rPr>
          <w:rFonts w:ascii="Times New Roman" w:hAnsi="Times New Roman"/>
          <w:sz w:val="28"/>
          <w:szCs w:val="28"/>
        </w:rPr>
        <w:t xml:space="preserve">  о ревизионной комиссии Представительного Собрания Междуреченского  муниципального района»</w:t>
      </w:r>
      <w:r w:rsidR="006B7B0E">
        <w:rPr>
          <w:rFonts w:ascii="Times New Roman" w:hAnsi="Times New Roman"/>
          <w:sz w:val="28"/>
          <w:szCs w:val="28"/>
        </w:rPr>
        <w:t>, утвержденного решением Представительного Собрания района</w:t>
      </w:r>
      <w:r w:rsidRPr="00CA1A2B">
        <w:rPr>
          <w:rFonts w:ascii="Times New Roman" w:hAnsi="Times New Roman"/>
          <w:sz w:val="28"/>
          <w:szCs w:val="28"/>
        </w:rPr>
        <w:t xml:space="preserve"> от 20.09.2011 №35(с последующими изменениями)</w:t>
      </w:r>
    </w:p>
    <w:p w:rsidR="00CA1A2B" w:rsidRPr="00CA1A2B" w:rsidRDefault="00CA1A2B" w:rsidP="00CA1A2B">
      <w:pPr>
        <w:spacing w:after="0" w:line="240" w:lineRule="auto"/>
        <w:rPr>
          <w:rFonts w:ascii="Times New Roman" w:hAnsi="Times New Roman"/>
          <w:b/>
          <w:sz w:val="28"/>
          <w:szCs w:val="28"/>
        </w:rPr>
      </w:pPr>
      <w:r w:rsidRPr="00CA1A2B">
        <w:rPr>
          <w:rFonts w:ascii="Times New Roman" w:hAnsi="Times New Roman"/>
          <w:sz w:val="28"/>
          <w:szCs w:val="28"/>
        </w:rPr>
        <w:t xml:space="preserve"> </w:t>
      </w:r>
      <w:r w:rsidRPr="00CA1A2B">
        <w:rPr>
          <w:rFonts w:ascii="Times New Roman" w:hAnsi="Times New Roman"/>
          <w:b/>
          <w:sz w:val="28"/>
          <w:szCs w:val="28"/>
        </w:rPr>
        <w:t>ПОСТАНОВЛЯЮ:</w:t>
      </w:r>
    </w:p>
    <w:p w:rsidR="00CA1A2B" w:rsidRPr="00CA1A2B" w:rsidRDefault="00CA1A2B" w:rsidP="00CA1A2B">
      <w:pPr>
        <w:spacing w:after="0" w:line="240" w:lineRule="auto"/>
        <w:rPr>
          <w:rFonts w:ascii="Times New Roman" w:hAnsi="Times New Roman"/>
          <w:b/>
          <w:sz w:val="28"/>
          <w:szCs w:val="28"/>
        </w:rPr>
      </w:pPr>
    </w:p>
    <w:p w:rsidR="00CA1A2B" w:rsidRPr="00CA1A2B" w:rsidRDefault="00CA1A2B" w:rsidP="00CA1A2B">
      <w:pPr>
        <w:spacing w:after="0" w:line="240" w:lineRule="auto"/>
        <w:ind w:firstLine="375"/>
        <w:jc w:val="both"/>
        <w:rPr>
          <w:rFonts w:ascii="Times New Roman" w:hAnsi="Times New Roman"/>
          <w:bCs/>
          <w:sz w:val="28"/>
          <w:szCs w:val="28"/>
        </w:rPr>
      </w:pPr>
      <w:r w:rsidRPr="00CA1A2B">
        <w:rPr>
          <w:rFonts w:ascii="Times New Roman" w:hAnsi="Times New Roman"/>
          <w:sz w:val="28"/>
          <w:szCs w:val="28"/>
        </w:rPr>
        <w:t xml:space="preserve">       1.Утвердить стандарт внешнего муниципального финансового  контроля </w:t>
      </w:r>
      <w:r w:rsidRPr="00CA1A2B">
        <w:rPr>
          <w:rFonts w:ascii="Times New Roman" w:eastAsia="Times New Roman" w:hAnsi="Times New Roman" w:cs="Times New Roman"/>
          <w:bCs/>
          <w:sz w:val="28"/>
          <w:szCs w:val="28"/>
          <w:lang w:eastAsia="ru-RU"/>
        </w:rPr>
        <w:t>« Проведение внешней проверки годового отчета об исполнении  бюджета района за отчетный финансовый год»</w:t>
      </w:r>
      <w:r w:rsidRPr="00CA1A2B">
        <w:rPr>
          <w:rFonts w:ascii="Times New Roman" w:hAnsi="Times New Roman"/>
          <w:bCs/>
          <w:sz w:val="28"/>
          <w:szCs w:val="28"/>
        </w:rPr>
        <w:t xml:space="preserve"> (прилагается).</w:t>
      </w:r>
    </w:p>
    <w:p w:rsidR="00CA1A2B" w:rsidRDefault="00CA1A2B" w:rsidP="00CA1A2B">
      <w:pPr>
        <w:spacing w:after="0" w:line="240" w:lineRule="auto"/>
        <w:rPr>
          <w:rFonts w:ascii="Times New Roman" w:hAnsi="Times New Roman"/>
          <w:sz w:val="28"/>
          <w:szCs w:val="28"/>
        </w:rPr>
      </w:pPr>
      <w:r w:rsidRPr="00CA1A2B">
        <w:rPr>
          <w:rFonts w:ascii="Times New Roman" w:hAnsi="Times New Roman"/>
          <w:bCs/>
          <w:sz w:val="28"/>
          <w:szCs w:val="28"/>
        </w:rPr>
        <w:t xml:space="preserve">       2.</w:t>
      </w:r>
      <w:r w:rsidRPr="00CA1A2B">
        <w:rPr>
          <w:rFonts w:ascii="Times New Roman" w:hAnsi="Times New Roman"/>
          <w:sz w:val="28"/>
          <w:szCs w:val="28"/>
        </w:rPr>
        <w:t xml:space="preserve"> Настоящее постановление вступает в силу с момента подписания.</w:t>
      </w:r>
    </w:p>
    <w:p w:rsidR="004834F1" w:rsidRPr="00CA1A2B" w:rsidRDefault="004834F1" w:rsidP="00CA1A2B">
      <w:pPr>
        <w:spacing w:after="0" w:line="240" w:lineRule="auto"/>
        <w:rPr>
          <w:rFonts w:ascii="Times New Roman" w:hAnsi="Times New Roman"/>
          <w:sz w:val="28"/>
          <w:szCs w:val="28"/>
        </w:rPr>
      </w:pPr>
    </w:p>
    <w:p w:rsidR="00CA1A2B" w:rsidRDefault="00CA1A2B" w:rsidP="00CA1A2B">
      <w:pPr>
        <w:spacing w:after="0" w:line="240" w:lineRule="auto"/>
        <w:rPr>
          <w:rFonts w:ascii="Times New Roman" w:hAnsi="Times New Roman"/>
          <w:color w:val="000000"/>
          <w:sz w:val="28"/>
          <w:szCs w:val="28"/>
        </w:rPr>
      </w:pPr>
    </w:p>
    <w:p w:rsidR="00CA1A2B" w:rsidRDefault="00CA1A2B" w:rsidP="00CA1A2B">
      <w:pPr>
        <w:spacing w:after="0" w:line="240" w:lineRule="auto"/>
        <w:rPr>
          <w:rFonts w:ascii="Times New Roman" w:hAnsi="Times New Roman"/>
          <w:color w:val="000000"/>
          <w:sz w:val="28"/>
          <w:szCs w:val="28"/>
        </w:rPr>
      </w:pPr>
    </w:p>
    <w:p w:rsidR="00CA1A2B" w:rsidRDefault="00CA1A2B" w:rsidP="00CA1A2B">
      <w:pPr>
        <w:spacing w:after="0" w:line="240" w:lineRule="auto"/>
        <w:rPr>
          <w:rFonts w:ascii="Times New Roman" w:hAnsi="Times New Roman"/>
          <w:color w:val="000000"/>
          <w:sz w:val="28"/>
          <w:szCs w:val="28"/>
        </w:rPr>
      </w:pPr>
      <w:r>
        <w:rPr>
          <w:rFonts w:ascii="Times New Roman" w:hAnsi="Times New Roman"/>
          <w:color w:val="000000"/>
          <w:sz w:val="28"/>
          <w:szCs w:val="28"/>
        </w:rPr>
        <w:t>Глава района                                                                               Ю.М. Бойнес</w:t>
      </w:r>
    </w:p>
    <w:p w:rsidR="00544F87" w:rsidRDefault="00544F87"/>
    <w:p w:rsidR="00E7476D" w:rsidRDefault="00E7476D"/>
    <w:p w:rsidR="00E7476D" w:rsidRDefault="00E7476D"/>
    <w:p w:rsidR="00E7476D" w:rsidRDefault="00E7476D"/>
    <w:p w:rsidR="00E7476D" w:rsidRDefault="00E7476D"/>
    <w:p w:rsidR="00E7476D" w:rsidRDefault="00E7476D"/>
    <w:p w:rsidR="00E7476D" w:rsidRDefault="00E7476D"/>
    <w:p w:rsidR="00E7476D" w:rsidRDefault="00E7476D"/>
    <w:p w:rsidR="00E7476D" w:rsidRDefault="00E7476D"/>
    <w:p w:rsidR="00E7476D" w:rsidRDefault="00E7476D"/>
    <w:tbl>
      <w:tblPr>
        <w:tblW w:w="5000" w:type="pct"/>
        <w:tblCellSpacing w:w="0" w:type="dxa"/>
        <w:tblCellMar>
          <w:left w:w="0" w:type="dxa"/>
          <w:right w:w="0" w:type="dxa"/>
        </w:tblCellMar>
        <w:tblLook w:val="04A0" w:firstRow="1" w:lastRow="0" w:firstColumn="1" w:lastColumn="0" w:noHBand="0" w:noVBand="1"/>
      </w:tblPr>
      <w:tblGrid>
        <w:gridCol w:w="9355"/>
      </w:tblGrid>
      <w:tr w:rsidR="00E7476D" w:rsidRPr="00E7476D" w:rsidTr="00E7476D">
        <w:trPr>
          <w:tblCellSpacing w:w="0" w:type="dxa"/>
        </w:trPr>
        <w:tc>
          <w:tcPr>
            <w:tcW w:w="5000" w:type="pct"/>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E7476D" w:rsidRPr="00E7476D">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4677"/>
                    <w:gridCol w:w="4678"/>
                  </w:tblGrid>
                  <w:tr w:rsidR="00E7476D" w:rsidRPr="00E7476D">
                    <w:trPr>
                      <w:tblCellSpacing w:w="0" w:type="dxa"/>
                    </w:trPr>
                    <w:tc>
                      <w:tcPr>
                        <w:tcW w:w="5000" w:type="pct"/>
                        <w:gridSpan w:val="2"/>
                        <w:vAlign w:val="center"/>
                      </w:tcPr>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УТВЕРЖДЕН</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постановлением Главы</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Междуреченского</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муниципального района</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от </w:t>
                        </w:r>
                        <w:r w:rsidR="004834F1">
                          <w:rPr>
                            <w:rFonts w:ascii="Times New Roman" w:eastAsia="Times New Roman" w:hAnsi="Times New Roman" w:cs="Times New Roman"/>
                            <w:sz w:val="28"/>
                            <w:szCs w:val="28"/>
                            <w:lang w:eastAsia="ru-RU"/>
                          </w:rPr>
                          <w:t>29</w:t>
                        </w:r>
                        <w:r w:rsidRPr="00E7476D">
                          <w:rPr>
                            <w:rFonts w:ascii="Times New Roman" w:eastAsia="Times New Roman" w:hAnsi="Times New Roman" w:cs="Times New Roman"/>
                            <w:sz w:val="28"/>
                            <w:szCs w:val="28"/>
                            <w:lang w:eastAsia="ru-RU"/>
                          </w:rPr>
                          <w:t>.0</w:t>
                        </w:r>
                        <w:r w:rsidR="004834F1">
                          <w:rPr>
                            <w:rFonts w:ascii="Times New Roman" w:eastAsia="Times New Roman" w:hAnsi="Times New Roman" w:cs="Times New Roman"/>
                            <w:sz w:val="28"/>
                            <w:szCs w:val="28"/>
                            <w:lang w:eastAsia="ru-RU"/>
                          </w:rPr>
                          <w:t>3</w:t>
                        </w:r>
                        <w:r w:rsidRPr="00E7476D">
                          <w:rPr>
                            <w:rFonts w:ascii="Times New Roman" w:eastAsia="Times New Roman" w:hAnsi="Times New Roman" w:cs="Times New Roman"/>
                            <w:sz w:val="28"/>
                            <w:szCs w:val="28"/>
                            <w:lang w:eastAsia="ru-RU"/>
                          </w:rPr>
                          <w:t>.2019</w:t>
                        </w:r>
                        <w:r w:rsidR="00DB27C0">
                          <w:rPr>
                            <w:rFonts w:ascii="Times New Roman" w:eastAsia="Times New Roman" w:hAnsi="Times New Roman" w:cs="Times New Roman"/>
                            <w:sz w:val="28"/>
                            <w:szCs w:val="28"/>
                            <w:lang w:eastAsia="ru-RU"/>
                          </w:rPr>
                          <w:t xml:space="preserve"> </w:t>
                        </w:r>
                        <w:bookmarkStart w:id="0" w:name="_GoBack"/>
                        <w:bookmarkEnd w:id="0"/>
                        <w:r w:rsidRPr="00E7476D">
                          <w:rPr>
                            <w:rFonts w:ascii="Times New Roman" w:eastAsia="Times New Roman" w:hAnsi="Times New Roman" w:cs="Times New Roman"/>
                            <w:sz w:val="28"/>
                            <w:szCs w:val="28"/>
                            <w:lang w:eastAsia="ru-RU"/>
                          </w:rPr>
                          <w:t xml:space="preserve"> №</w:t>
                        </w:r>
                        <w:r w:rsidR="004834F1">
                          <w:rPr>
                            <w:rFonts w:ascii="Times New Roman" w:eastAsia="Times New Roman" w:hAnsi="Times New Roman" w:cs="Times New Roman"/>
                            <w:sz w:val="28"/>
                            <w:szCs w:val="28"/>
                            <w:lang w:eastAsia="ru-RU"/>
                          </w:rPr>
                          <w:t>4</w:t>
                        </w:r>
                      </w:p>
                      <w:p w:rsidR="00E7476D" w:rsidRPr="00E7476D" w:rsidRDefault="00E7476D" w:rsidP="00E7476D">
                        <w:pPr>
                          <w:keepNext/>
                          <w:keepLines/>
                          <w:spacing w:before="480" w:after="0"/>
                          <w:jc w:val="center"/>
                          <w:outlineLvl w:val="0"/>
                          <w:rPr>
                            <w:rFonts w:ascii="Times New Roman" w:eastAsia="Times New Roman" w:hAnsi="Times New Roman" w:cs="Times New Roman"/>
                            <w:sz w:val="28"/>
                            <w:szCs w:val="28"/>
                            <w:lang w:eastAsia="ru-RU"/>
                          </w:rPr>
                        </w:pPr>
                        <w:r w:rsidRPr="00E7476D">
                          <w:rPr>
                            <w:rFonts w:ascii="Times New Roman" w:eastAsia="Times New Roman" w:hAnsi="Times New Roman" w:cs="Times New Roman"/>
                            <w:b/>
                            <w:bCs/>
                            <w:caps/>
                            <w:sz w:val="28"/>
                            <w:szCs w:val="28"/>
                            <w:lang w:eastAsia="ru-RU"/>
                          </w:rPr>
                          <w:t>Стандарт внешнего муниципального финансового контроля  </w:t>
                        </w:r>
                        <w:r w:rsidRPr="00E7476D">
                          <w:rPr>
                            <w:rFonts w:ascii="Times New Roman" w:eastAsia="Times New Roman" w:hAnsi="Times New Roman" w:cs="Times New Roman"/>
                            <w:b/>
                            <w:bCs/>
                            <w:caps/>
                            <w:sz w:val="28"/>
                            <w:szCs w:val="28"/>
                            <w:lang w:eastAsia="ru-RU"/>
                          </w:rPr>
                          <w:br/>
                          <w:t>« ПРОВЕДЕНИе ВНЕШНЕЙ ПРОВЕРКИ ГОДОВОГО ОТЧЕТА ОБ ИСПОЛНЕНИИ  БЮДЖЕТА РАЙОНА ЗА ОТЧЕТНЫЙ ФИНАНСОВЫЙ ГОД»</w:t>
                        </w: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p>
                      <w:p w:rsidR="00E7476D" w:rsidRPr="00E7476D" w:rsidRDefault="00E7476D" w:rsidP="00E7476D">
                        <w:pPr>
                          <w:spacing w:after="0" w:line="240" w:lineRule="auto"/>
                          <w:jc w:val="right"/>
                          <w:rPr>
                            <w:rFonts w:ascii="Times New Roman" w:eastAsia="Times New Roman" w:hAnsi="Times New Roman" w:cs="Times New Roman"/>
                            <w:sz w:val="28"/>
                            <w:szCs w:val="28"/>
                            <w:lang w:eastAsia="ru-RU"/>
                          </w:rPr>
                        </w:pPr>
                      </w:p>
                      <w:p w:rsidR="00E7476D" w:rsidRPr="00E7476D" w:rsidRDefault="00E7476D" w:rsidP="00E7476D">
                        <w:pPr>
                          <w:spacing w:after="240"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1. Основные  положения</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1.1. </w:t>
                        </w:r>
                        <w:proofErr w:type="gramStart"/>
                        <w:r w:rsidRPr="00E7476D">
                          <w:rPr>
                            <w:rFonts w:ascii="Times New Roman" w:eastAsia="Times New Roman" w:hAnsi="Times New Roman" w:cs="Times New Roman"/>
                            <w:sz w:val="28"/>
                            <w:szCs w:val="28"/>
                            <w:lang w:eastAsia="ru-RU"/>
                          </w:rPr>
                          <w:t>Стандарт внешнего муниципального финансового контроля «Организация и проведение внешней проверки годового отчета об исполнении районного бюджета» (далее – Стандарт) разработан в соответствии с Бюджетным Кодексом Российской Федерации, Федеральным законом от 7 февраля 2011 № 6-ФЗ «Об общих принципах организации и деятельности контрольно-счетных органов субъектов Российской Федерации и муниципальных образований», Положением  о ревизионной  комиссии Междуреченского муниципального района, утвержденного решением Представительного Собрания района от</w:t>
                        </w:r>
                        <w:proofErr w:type="gramEnd"/>
                        <w:r w:rsidRPr="00E7476D">
                          <w:rPr>
                            <w:rFonts w:ascii="Times New Roman" w:eastAsia="Times New Roman" w:hAnsi="Times New Roman" w:cs="Times New Roman"/>
                            <w:sz w:val="28"/>
                            <w:szCs w:val="28"/>
                            <w:lang w:eastAsia="ru-RU"/>
                          </w:rPr>
                          <w:t xml:space="preserve"> </w:t>
                        </w:r>
                        <w:r w:rsidRPr="00E7476D">
                          <w:rPr>
                            <w:rFonts w:ascii="Times New Roman" w:eastAsia="Calibri" w:hAnsi="Times New Roman" w:cs="Times New Roman"/>
                            <w:sz w:val="28"/>
                            <w:szCs w:val="28"/>
                          </w:rPr>
                          <w:t xml:space="preserve"> </w:t>
                        </w:r>
                        <w:proofErr w:type="gramStart"/>
                        <w:r w:rsidRPr="00E7476D">
                          <w:rPr>
                            <w:rFonts w:ascii="Times New Roman" w:eastAsia="Calibri" w:hAnsi="Times New Roman" w:cs="Times New Roman"/>
                            <w:sz w:val="28"/>
                            <w:szCs w:val="28"/>
                          </w:rPr>
                          <w:t>20.09.2011 года №35</w:t>
                        </w:r>
                        <w:r w:rsidRPr="00E7476D">
                          <w:rPr>
                            <w:rFonts w:ascii="Times New Roman" w:eastAsia="Times New Roman" w:hAnsi="Times New Roman" w:cs="Times New Roman"/>
                            <w:sz w:val="28"/>
                            <w:szCs w:val="28"/>
                            <w:lang w:eastAsia="ru-RU"/>
                          </w:rPr>
                          <w:t>, Общими требованиями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утвержденными Коллегией Счетной палаты РФ (протокол от 17 октября 2014 г. № 47К (993).</w:t>
                        </w:r>
                        <w:proofErr w:type="gramEnd"/>
                      </w:p>
                      <w:p w:rsidR="00E7476D" w:rsidRPr="00E7476D" w:rsidRDefault="00E7476D" w:rsidP="00E7476D">
                        <w:pPr>
                          <w:spacing w:before="100" w:beforeAutospacing="1"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1.2. Стандарт применяется с учетом:</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Бюджетного кодекса Российской Федерации;</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Федерального закона от 06.12.2011 № 402-ФЗ «О бухгалтерском учете»;</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нормативных и методических документов Министерства финансов Российской Федерации, регулирующих порядок исполнения бюджетов, ведения бюджетного учета и составления бюджетной отчетности;</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lastRenderedPageBreak/>
                          <w:t>- решения Представительного Собрания района от 20.09.2011 года № 35 « Положение о</w:t>
                        </w:r>
                        <w:r w:rsidRPr="00E7476D">
                          <w:rPr>
                            <w:rFonts w:ascii="Times New Roman" w:eastAsia="Calibri" w:hAnsi="Times New Roman" w:cs="Times New Roman"/>
                            <w:sz w:val="28"/>
                            <w:szCs w:val="28"/>
                          </w:rPr>
                          <w:t xml:space="preserve"> ревизионной комиссии Представительного Собрания Междуреченского муниципального  района</w:t>
                        </w:r>
                        <w:r w:rsidRPr="00E7476D">
                          <w:rPr>
                            <w:rFonts w:ascii="Times New Roman" w:eastAsia="Times New Roman" w:hAnsi="Times New Roman" w:cs="Times New Roman"/>
                            <w:sz w:val="28"/>
                            <w:szCs w:val="28"/>
                            <w:lang w:eastAsia="ru-RU"/>
                          </w:rPr>
                          <w:t>» (далее – Положение);</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w:t>
                        </w:r>
                        <w:r w:rsidRPr="00E7476D">
                          <w:rPr>
                            <w:rFonts w:ascii="Times New Roman" w:eastAsia="Calibri" w:hAnsi="Times New Roman" w:cs="Times New Roman"/>
                            <w:sz w:val="28"/>
                            <w:szCs w:val="28"/>
                          </w:rPr>
                          <w:t>решения Представительного Собрания Междуреченского муниципального района от  26 февраля 2013 года  № 2  «Об утверждении положения о бюджетном процессе в Междуреченском  муниципальном районе»</w:t>
                        </w:r>
                        <w:r w:rsidRPr="00E7476D">
                          <w:rPr>
                            <w:rFonts w:ascii="Times New Roman" w:eastAsia="Times New Roman" w:hAnsi="Times New Roman" w:cs="Times New Roman"/>
                            <w:sz w:val="28"/>
                            <w:szCs w:val="28"/>
                            <w:lang w:eastAsia="ru-RU"/>
                          </w:rPr>
                          <w:t xml:space="preserve"> (далее – положение о бюджетном процессе);</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регламента ревизионной комиссии Представительного Собрания Междуреченского муниципального района.</w:t>
                        </w:r>
                      </w:p>
                      <w:p w:rsidR="00E7476D" w:rsidRPr="00E7476D" w:rsidRDefault="00E7476D" w:rsidP="00E7476D">
                        <w:pPr>
                          <w:spacing w:before="240" w:after="240"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2. Общие положения</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2.1. </w:t>
                        </w:r>
                        <w:proofErr w:type="gramStart"/>
                        <w:r w:rsidRPr="00E7476D">
                          <w:rPr>
                            <w:rFonts w:ascii="Times New Roman" w:eastAsia="Times New Roman" w:hAnsi="Times New Roman" w:cs="Times New Roman"/>
                            <w:sz w:val="28"/>
                            <w:szCs w:val="28"/>
                            <w:lang w:eastAsia="ru-RU"/>
                          </w:rPr>
                          <w:t>Стандарт устанавливает нормативные положения для организации и проведения ревизионной комиссией Представительного Собрания Междуреченского муниципального района (далее – ревизионная комиссия) внешней проверки годового отчета об исполнении районного бюджета (далее - бюджет), включая внешнюю проверку бюджетной отчетности главных администраторов средств районного бюджета (далее - ГАБС) и подготовку заключения на годовой отчет об исполнении районного бюджета за отчетный финансовый год (далее – заключение ревизионной комиссии на годовой</w:t>
                        </w:r>
                        <w:proofErr w:type="gramEnd"/>
                        <w:r w:rsidRPr="00E7476D">
                          <w:rPr>
                            <w:rFonts w:ascii="Times New Roman" w:eastAsia="Times New Roman" w:hAnsi="Times New Roman" w:cs="Times New Roman"/>
                            <w:sz w:val="28"/>
                            <w:szCs w:val="28"/>
                            <w:lang w:eastAsia="ru-RU"/>
                          </w:rPr>
                          <w:t xml:space="preserve"> отчет об исполнении бюджета).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2.2. </w:t>
                        </w:r>
                        <w:proofErr w:type="gramStart"/>
                        <w:r w:rsidRPr="00E7476D">
                          <w:rPr>
                            <w:rFonts w:ascii="Times New Roman" w:eastAsia="Times New Roman" w:hAnsi="Times New Roman" w:cs="Times New Roman"/>
                            <w:sz w:val="28"/>
                            <w:szCs w:val="28"/>
                            <w:lang w:eastAsia="ru-RU"/>
                          </w:rPr>
                          <w:t>Под внешней проверкой в настоящем Стандарте понимается совокупность взаимосвязанных действий, объединенных общим предметом и позволяющих подготовить заключение ревизионной комиссии на годовой отчет об исполнении бюджета с учетом данных внешней проверки годовой бюджетной отчетности ГАБС, а также данных, полученных в ходе контрольных мероприятий, результаты которых влияют на показатели годового отчета об исполнении бюджета за отчетный финансовый год, в соответствии с требованиями</w:t>
                        </w:r>
                        <w:proofErr w:type="gramEnd"/>
                        <w:r w:rsidRPr="00E7476D">
                          <w:rPr>
                            <w:rFonts w:ascii="Times New Roman" w:eastAsia="Times New Roman" w:hAnsi="Times New Roman" w:cs="Times New Roman"/>
                            <w:sz w:val="28"/>
                            <w:szCs w:val="28"/>
                            <w:lang w:eastAsia="ru-RU"/>
                          </w:rPr>
                          <w:t xml:space="preserve"> Бюджетного кодекса Российской Федерации, закона о бюджетном процессе (далее – внешняя проверка).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2.3. </w:t>
                        </w:r>
                        <w:proofErr w:type="gramStart"/>
                        <w:r w:rsidRPr="00E7476D">
                          <w:rPr>
                            <w:rFonts w:ascii="Times New Roman" w:eastAsia="Times New Roman" w:hAnsi="Times New Roman" w:cs="Times New Roman"/>
                            <w:sz w:val="28"/>
                            <w:szCs w:val="28"/>
                            <w:lang w:eastAsia="ru-RU"/>
                          </w:rPr>
                          <w:t>Целью Стандарта является установление общих правил и процедур проведения внешней проверки годового отчета об исполнении бюджета на всех его этапах, в том числе единых организационно-правовых, методических, информационных основ проведения комплекса контрольных и экспертно-аналитических мероприятий и подготовки заключения ревизионной комиссии на годовой отчет об исполнении бюджета в соответствии с требованиями действующего законодательства.</w:t>
                        </w:r>
                        <w:proofErr w:type="gramEnd"/>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2.4. Задачами Стандарта являются:</w:t>
                        </w:r>
                      </w:p>
                      <w:p w:rsidR="00E7476D" w:rsidRPr="00E7476D" w:rsidRDefault="00E7476D" w:rsidP="00E7476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определение целей, задач, предмета и объектов внешней проверки;</w:t>
                        </w:r>
                      </w:p>
                      <w:p w:rsidR="00E7476D" w:rsidRPr="00E7476D" w:rsidRDefault="00E7476D" w:rsidP="00E7476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определение источников информации для проведения внешней проверки;</w:t>
                        </w:r>
                      </w:p>
                      <w:p w:rsidR="00E7476D" w:rsidRPr="00E7476D" w:rsidRDefault="00E7476D" w:rsidP="00E7476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lastRenderedPageBreak/>
                          <w:t>установление основных этапов организации и проведения внешней проверки;</w:t>
                        </w:r>
                      </w:p>
                      <w:p w:rsidR="00E7476D" w:rsidRPr="00E7476D" w:rsidRDefault="00E7476D" w:rsidP="00E7476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установление требований к структуре и содержанию заключений ревизионной комиссии по результатам внешней проверки годовой бюджетной отчетности и на годовой отчет об исполнении бюджета;</w:t>
                        </w:r>
                      </w:p>
                      <w:p w:rsidR="00E7476D" w:rsidRPr="00E7476D" w:rsidRDefault="00E7476D" w:rsidP="00E7476D">
                        <w:pPr>
                          <w:numPr>
                            <w:ilvl w:val="0"/>
                            <w:numId w:val="1"/>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установление требований к оформлению результатов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2.5. Стандарт предназначен для использования должностными лицами ревизионной комиссии, независимыми экспертами, привлекаемыми ревизионной комиссией к проведению контрольных и экспертно-аналитических мероприятий.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2.6. Стандарт регулирует особенности подготовки, проведения и использования результатов внешней проверки, включая специальные требования к форме и срокам ее проведения, составу объектов внешней проверки, способам получения необходимой информации и материалов, содержанию формируемых в ходе внешней проверки документов.</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2.7. Термины и определения Стандарта соответствуют терминам, установленным в документах, указанных в пункте 1.2 Стандарта.</w:t>
                        </w:r>
                      </w:p>
                      <w:p w:rsidR="00E7476D" w:rsidRPr="00E7476D" w:rsidRDefault="00E7476D" w:rsidP="00E7476D">
                        <w:pPr>
                          <w:spacing w:before="240" w:after="240"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3. Цель, задачи, предмет и объекты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3.1. Целью проведения внешней проверки является контроль достоверности годового отчета об исполнении бюджета и бюджетной отчетности ГАБС, законности и результативности деятельности по исполнению бюджета в отчетном финансовом году, с учетом имеющихся ограничений.</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3.2. Задачами внешней проверки являются:</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контроль своевременности, достоверности, полноты и соответствия нормативным требованиям составления и представления бюджетной отчетности ГАБС;</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установление полноты и достоверности годового отчета об исполнении бюджета;</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оценка социально-экономических (макроэкономических) условий и результатов исполнения бюджета;</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определение степени выполнения требований законодательства при организации исполнения бюджета;</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оценка соблюдения (выполнения) бюджетных назначений и иных показателей, установленных законом о бюджете;</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оценка формирования и исполнения доходной и расходной частей бюджета, дефицита (профицита) бюджета;</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определение эффективности деятельности по управлению </w:t>
                        </w:r>
                        <w:r w:rsidRPr="00E7476D">
                          <w:rPr>
                            <w:rFonts w:ascii="Times New Roman" w:eastAsia="Times New Roman" w:hAnsi="Times New Roman" w:cs="Times New Roman"/>
                            <w:sz w:val="28"/>
                            <w:szCs w:val="28"/>
                            <w:lang w:eastAsia="ru-RU"/>
                          </w:rPr>
                          <w:lastRenderedPageBreak/>
                          <w:t>муниципальным имуществом (полноты и своевременности поступления в бюджет доходов от использования муниципального имущества), муниципальным долгом, предоставлению бюджетных кредитов и муниципальных гарантий Междуреченского  района;</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оценка полноты и своевременности устранения в отчетном финансовом году нарушений и недостатков, установленных ранее;</w:t>
                        </w:r>
                      </w:p>
                      <w:p w:rsidR="00E7476D" w:rsidRPr="00E7476D" w:rsidRDefault="00E7476D" w:rsidP="00E7476D">
                        <w:pPr>
                          <w:numPr>
                            <w:ilvl w:val="0"/>
                            <w:numId w:val="2"/>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определение направлений совершенствования исполнения бюджета, использования имущества, ведения бюджетного учета и составления бюджетной отчетности.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3.3. </w:t>
                        </w:r>
                        <w:proofErr w:type="gramStart"/>
                        <w:r w:rsidRPr="00E7476D">
                          <w:rPr>
                            <w:rFonts w:ascii="Times New Roman" w:eastAsia="Times New Roman" w:hAnsi="Times New Roman" w:cs="Times New Roman"/>
                            <w:sz w:val="28"/>
                            <w:szCs w:val="28"/>
                            <w:lang w:eastAsia="ru-RU"/>
                          </w:rPr>
                          <w:t>Предметом внешней проверки являются годовой отчет об исполнении бюджета за отчетный финансовый год, документы, предоставленные ревизионной комиссии в соответствии с требованиями Бюджетного кодекса РФ и Положения о бюджетном процессе, решения о бюджете на отчетный финансовый год, отдельные нормативные правовые акты, обеспечивающие организацию исполнения бюджета в отчетном финансовом году, годовая бюджетная отчетность ГАБС, а также документы и материалы, необходимые для проведения</w:t>
                        </w:r>
                        <w:proofErr w:type="gramEnd"/>
                        <w:r w:rsidRPr="00E7476D">
                          <w:rPr>
                            <w:rFonts w:ascii="Times New Roman" w:eastAsia="Times New Roman" w:hAnsi="Times New Roman" w:cs="Times New Roman"/>
                            <w:sz w:val="28"/>
                            <w:szCs w:val="28"/>
                            <w:lang w:eastAsia="ru-RU"/>
                          </w:rPr>
                          <w:t xml:space="preserve"> внешней проверки и полученные ревизионной комиссией </w:t>
                        </w:r>
                        <w:proofErr w:type="gramStart"/>
                        <w:r w:rsidRPr="00E7476D">
                          <w:rPr>
                            <w:rFonts w:ascii="Times New Roman" w:eastAsia="Times New Roman" w:hAnsi="Times New Roman" w:cs="Times New Roman"/>
                            <w:sz w:val="28"/>
                            <w:szCs w:val="28"/>
                            <w:lang w:eastAsia="ru-RU"/>
                          </w:rPr>
                          <w:t>р</w:t>
                        </w:r>
                        <w:proofErr w:type="gramEnd"/>
                        <w:r w:rsidRPr="00E7476D">
                          <w:rPr>
                            <w:rFonts w:ascii="Times New Roman" w:eastAsia="Times New Roman" w:hAnsi="Times New Roman" w:cs="Times New Roman"/>
                            <w:sz w:val="28"/>
                            <w:szCs w:val="28"/>
                            <w:lang w:eastAsia="ru-RU"/>
                          </w:rPr>
                          <w:t xml:space="preserve"> в установленном Положением о ревизионной комиссии порядке.</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3.4. Объектами внешней проверки являются Управление финансов Междуреченского муниципального района и ГАБС. В ходе внешней проверки могут проводиться встречные выборочные проверки в отношении иных органов и организаций, на которых распространяются полномочия ревизионной комиссии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3.5. Внешняя проверка проводится в форме экспертно-аналитического мероприятия. При осуществлении внешней проверки допускается выезд (выход) должностных лиц ревизионной </w:t>
                        </w:r>
                        <w:proofErr w:type="gramStart"/>
                        <w:r w:rsidRPr="00E7476D">
                          <w:rPr>
                            <w:rFonts w:ascii="Times New Roman" w:eastAsia="Times New Roman" w:hAnsi="Times New Roman" w:cs="Times New Roman"/>
                            <w:sz w:val="28"/>
                            <w:szCs w:val="28"/>
                            <w:lang w:eastAsia="ru-RU"/>
                          </w:rPr>
                          <w:t>комиссии района места расположения объектов внешней проверки</w:t>
                        </w:r>
                        <w:proofErr w:type="gramEnd"/>
                        <w:r w:rsidRPr="00E7476D">
                          <w:rPr>
                            <w:rFonts w:ascii="Times New Roman" w:eastAsia="Times New Roman" w:hAnsi="Times New Roman" w:cs="Times New Roman"/>
                            <w:sz w:val="28"/>
                            <w:szCs w:val="28"/>
                            <w:lang w:eastAsia="ru-RU"/>
                          </w:rPr>
                          <w:t xml:space="preserve">. </w:t>
                        </w:r>
                      </w:p>
                      <w:p w:rsidR="00E7476D" w:rsidRPr="00E7476D" w:rsidRDefault="00E7476D" w:rsidP="00E7476D">
                        <w:pPr>
                          <w:spacing w:before="240" w:after="240"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4. Источники информации и сроки проведения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4.1. Информационной основой проведения внешней проверки является: </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нормативные правовые акты Российской Федерации, Вологодской области, Междуреченского муниципального района;</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решение Представительного Собрания Междуреченского муниципального района о бюджете района (далее – решение о бюджете) на отчетный финансовый год и решения о внесении изменений в решение о бюджете;</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годовая бюджетная отчетность ГАБС;</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годовой отчет об исполнении бюджета;</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ежемесячные, квартальные отчеты об исполнении бюджета, в том числе консолидированного; </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lastRenderedPageBreak/>
                          <w:t xml:space="preserve">информация об исполнении муниципальных и ведомственных программ; </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доклады о результатах и основных направлениях деятельности ГАБС (при их составлении ГАБС);</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заключения ревизионной комиссии  на отчеты об исполнении бюджета за иные отчетные годы;</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материалы контрольных мероприятий, проведенных ревизионной комиссией, в ходе которых периоды отчетного года входили в проверяемый период;</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статистические показатели;</w:t>
                        </w:r>
                      </w:p>
                      <w:p w:rsidR="00E7476D" w:rsidRPr="00E7476D" w:rsidRDefault="00E7476D" w:rsidP="00E7476D">
                        <w:pPr>
                          <w:numPr>
                            <w:ilvl w:val="0"/>
                            <w:numId w:val="3"/>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иная информация, полученная ревизионной комиссией в установленном Положением о ревизионной комиссии порядке, и документы, характеризующие исполнение бюджета, в том числе данные оперативного (текущего) контроля хода исполнения бюджета за отчетный период.</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4.2. Для дополнительного анализа и формирования выводов по итогам исполнения бюджета могут направляться запросы в органы исполнительной власти Междуреченского муниципального района, </w:t>
                        </w:r>
                        <w:r w:rsidRPr="00E7476D">
                          <w:rPr>
                            <w:rFonts w:ascii="Times New Roman" w:eastAsia="Calibri" w:hAnsi="Times New Roman" w:cs="Times New Roman"/>
                            <w:sz w:val="28"/>
                            <w:szCs w:val="28"/>
                          </w:rPr>
                          <w:t>Межрайонную инспекцию Федеральной налоговой службы № 1 по Вологодской области</w:t>
                        </w:r>
                        <w:r w:rsidRPr="00E7476D">
                          <w:rPr>
                            <w:rFonts w:ascii="Times New Roman" w:eastAsia="Times New Roman" w:hAnsi="Times New Roman" w:cs="Times New Roman"/>
                            <w:sz w:val="28"/>
                            <w:szCs w:val="28"/>
                            <w:lang w:eastAsia="ru-RU"/>
                          </w:rPr>
                          <w:t>, иные учреждения и организации.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4.3. Сроки проведения внешней проверки, подготовки и рассмотрения заключения ревизионной комиссии устанавливаются внутренним организационно-распорядительным документом ревизионной комиссии с учетом требований статьи 264.4 Бюджетного кодекса Российской Федерации, положения о бюджетном процессе.</w:t>
                        </w:r>
                      </w:p>
                      <w:p w:rsidR="00E7476D" w:rsidRPr="00E7476D" w:rsidRDefault="00E7476D" w:rsidP="00E7476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5. Содержание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5.1. Анализ годовой бюджетной отчетности ГАБС, дополнительных документов и материалов к годовому отчету должен позволить сделать основные выводы о полноте и достоверности годовой бюджетной отчетности ГАБС, итогах исполнения бюджета, законности и эффективности деятельности участников бюджетного процесса.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5.2. Степень полноты годовой бюджетной отчетности определяется наличием всех предусмотренных порядком ее составления форм отчетности, разделов (частей) форм отчетности, граф и строк форм отчетности.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5.3. Степень достоверности годовой бюджетной отчетности определяется наличием в формах отчетности всех предусмотренных порядком ее составления числовых, натуральных и иных показателей, соответствием указанных показателей значениям, определенным в соответствии с порядком </w:t>
                        </w:r>
                        <w:r w:rsidRPr="00E7476D">
                          <w:rPr>
                            <w:rFonts w:ascii="Times New Roman" w:eastAsia="Times New Roman" w:hAnsi="Times New Roman" w:cs="Times New Roman"/>
                            <w:sz w:val="28"/>
                            <w:szCs w:val="28"/>
                            <w:lang w:eastAsia="ru-RU"/>
                          </w:rPr>
                          <w:lastRenderedPageBreak/>
                          <w:t>составления отчетности и ведения учета.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5.4. 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годовой бюджетной отчетности ГАБС.</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5.5. Основное внимание следует уделять ГАБС, у которых сосредоточена основная часть объектов учета и хозяйственных операций, наибольшим по стоимостной оценке объектам и операциям, а также объектам и операциям с высоким риском недостоверного отражения (сложным, новым, недостаточно урегулированным с методологической точки зрения, требующим взаимодействия нескольких субъектов). Также следует учитывать степень влияния показателей деятельности ГАБС на исполнение бюджета или их зависимость от него (приоритет отдается показателям, более тесно связанным с исполнением бюджета).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5.6. По итогам оценки полноты и достоверности, соблюдения порядка составления и представления годовой бюджетной отчетности ГАБС делаются следующие выводы:</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 соблюдении сроков формирования и представления отчетности; </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 полноте состава и внутренней согласованности данных отчетности (в том числе за разные периоды); </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 соблюдении требований составления бюджетной отчётности, установленных приказами Управления финансов Междуреченского муниципального района;</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 соответствии отчетности данным других субъектов (консолидируемая отчетность, данные параллельного учета, взаимосвязанные показатели), показателям регистров и первичных документов учета (при необходимости); </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 соответствии характеристик объектов учета или содержания хозяйственных операций способу их отражения в учете и отчетности (при необходимости); </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 достоверности бюджетной отчётности;</w:t>
                        </w:r>
                      </w:p>
                      <w:p w:rsidR="00E7476D" w:rsidRPr="00E7476D" w:rsidRDefault="00E7476D" w:rsidP="00E7476D">
                        <w:pPr>
                          <w:numPr>
                            <w:ilvl w:val="0"/>
                            <w:numId w:val="4"/>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 проведении мероприятий, установлении проблем и нарушений в ходе инвентаризаций, внутреннего финансового контроля и аудита.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5.7. В ходе анализа отчета об исполнении бюджета района оценивается динамика основных показателей социально-экономического развития Междуреченского муниципального района (демографическая ситуация, индекс промышленного производства, инвестиций в основной капитал, прибыль прибыльных организаций до налогообложения, реальные располагаемые денежные доходы населения, уровень официально зарегистрированной безработицы и др.).</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lastRenderedPageBreak/>
                          <w:t xml:space="preserve">5.8. </w:t>
                        </w:r>
                        <w:proofErr w:type="gramStart"/>
                        <w:r w:rsidRPr="00E7476D">
                          <w:rPr>
                            <w:rFonts w:ascii="Times New Roman" w:eastAsia="Times New Roman" w:hAnsi="Times New Roman" w:cs="Times New Roman"/>
                            <w:sz w:val="28"/>
                            <w:szCs w:val="28"/>
                            <w:lang w:eastAsia="ru-RU"/>
                          </w:rPr>
                          <w:t>В ходе проверки организации исполнения бюджета рассматривается соответствие отчета об исполнении бюджета бюджетному законодательству, полнота выполнения текстовых статей закона о бюджете, соответствие сводной бюджетной росписи закону о бюджете и формируются выводы по вопросам правового обеспечения исполнения бюджета, состава участников бюджетного процесса, составления и ведения других бюджетных документов, учета и санкционирования оплаты бюджетных и денежных обязательств.</w:t>
                        </w:r>
                        <w:proofErr w:type="gramEnd"/>
                        <w:r w:rsidRPr="00E7476D">
                          <w:rPr>
                            <w:rFonts w:ascii="Times New Roman" w:eastAsia="Times New Roman" w:hAnsi="Times New Roman" w:cs="Times New Roman"/>
                            <w:sz w:val="28"/>
                            <w:szCs w:val="28"/>
                            <w:lang w:eastAsia="ru-RU"/>
                          </w:rPr>
                          <w:t xml:space="preserve"> Приоритет отдается вопросам соблюдения новых требований законодательства к порядку организации исполнения бюджета и осуществлению новых (введенных с отчетного года) процедур.</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5.9. В ходе проверки исполнения решения о бюджете рассматривается соблюдение (выполнение) бюджетных назначений (в том числе предельных) по доходам, расходам, источникам финансирования дефицита, объему заимствований, муниципального долга, бюджетных кредитов и гарантий. В зависимости от экономической и правовой природы бюджетных назначений рассматриваться может их соблюдение (</w:t>
                        </w:r>
                        <w:proofErr w:type="spellStart"/>
                        <w:r w:rsidRPr="00E7476D">
                          <w:rPr>
                            <w:rFonts w:ascii="Times New Roman" w:eastAsia="Times New Roman" w:hAnsi="Times New Roman" w:cs="Times New Roman"/>
                            <w:sz w:val="28"/>
                            <w:szCs w:val="28"/>
                            <w:lang w:eastAsia="ru-RU"/>
                          </w:rPr>
                          <w:t>непревышение</w:t>
                        </w:r>
                        <w:proofErr w:type="spellEnd"/>
                        <w:r w:rsidRPr="00E7476D">
                          <w:rPr>
                            <w:rFonts w:ascii="Times New Roman" w:eastAsia="Times New Roman" w:hAnsi="Times New Roman" w:cs="Times New Roman"/>
                            <w:sz w:val="28"/>
                            <w:szCs w:val="28"/>
                            <w:lang w:eastAsia="ru-RU"/>
                          </w:rPr>
                          <w:t xml:space="preserve">) и (или) достижение (выполнение).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Процент (доля) исполнения бюджетных назначений, достижение целевых показателей муниципальных программ рассматриваются как индикаторы достижения установленных результатов бюджетной деятельности и степени ее эффективности. При этом вывод о степени эффективности бюджетной деятельности (использования бюджетных средств) может делаться в случае, если в ходе внешней проверки и (или) ранее проведенных мероприятий была получена информация о причинах и последствиях неисполнения бюджетных назначений.</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5.10. При анализе отдельных направлений поступлений в бюджет и выплат из бюджета (видов финансовых активов и обязательств) приоритет отдается тем аспектам, которые оказывают существенное влияние на достоверность бюджетной отчетности или полноту исполнения бюджетных назначений. Контроль по отдельным направлениям может осуществляться для проверки устранения в отчетном финансовом году нарушений и недостатков, установленных ранее, а также оценки необходимости проведения отдельного контрольного или экспертно-аналитического мероприятия по соответствующему вопросу.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5.11. Информация о нарушениях и недостатках, выявленных в ходе внешней проверки, анализируется и обобщается. Готовятся предложения по совершенствованию исполнения бюджета, использованию имущества, ведению бюджетного учета и составлению бюджетной отчетности.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5.12. Конкретный набор вопросов проведения внешней проверки определяется ее участниками исходя из сроков проведения, значимости и </w:t>
                        </w:r>
                        <w:r w:rsidRPr="00E7476D">
                          <w:rPr>
                            <w:rFonts w:ascii="Times New Roman" w:eastAsia="Times New Roman" w:hAnsi="Times New Roman" w:cs="Times New Roman"/>
                            <w:sz w:val="28"/>
                            <w:szCs w:val="28"/>
                            <w:lang w:eastAsia="ru-RU"/>
                          </w:rPr>
                          <w:lastRenderedPageBreak/>
                          <w:t>существенности ожидаемых выводов, содержания и особенностей исполнения закона о бюджете, возможности использования полученных результатов в ходе других контрольных и экспертно-аналитических мероприятий.</w:t>
                        </w:r>
                      </w:p>
                      <w:p w:rsidR="00E7476D" w:rsidRPr="00E7476D" w:rsidRDefault="00E7476D" w:rsidP="00E7476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6. Организация внешней проверки бюджета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6.1. Внешняя проверка бюджета за отчетный финансовый год включается в годовой план работы ревизионной комиссии.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6.2. Ответственными за проведение внешней проверки являются должностные лица, определенные в соответствии с внутренним организационно-распорядительным документом ревизионной комиссии.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6.3. Организация внешней проверки осуществляется, исходя из установленных законодательством этапов и сроков бюджетного процесса в части формирования отчета об исполнении бюджета за отчетный финансовый год, и предусматривает следующие </w:t>
                        </w:r>
                        <w:proofErr w:type="gramStart"/>
                        <w:r w:rsidRPr="00E7476D">
                          <w:rPr>
                            <w:rFonts w:ascii="Times New Roman" w:eastAsia="Times New Roman" w:hAnsi="Times New Roman" w:cs="Times New Roman"/>
                            <w:sz w:val="28"/>
                            <w:szCs w:val="28"/>
                            <w:lang w:eastAsia="ru-RU"/>
                          </w:rPr>
                          <w:t>три основные этапа</w:t>
                        </w:r>
                        <w:proofErr w:type="gramEnd"/>
                        <w:r w:rsidRPr="00E7476D">
                          <w:rPr>
                            <w:rFonts w:ascii="Times New Roman" w:eastAsia="Times New Roman" w:hAnsi="Times New Roman" w:cs="Times New Roman"/>
                            <w:sz w:val="28"/>
                            <w:szCs w:val="28"/>
                            <w:lang w:eastAsia="ru-RU"/>
                          </w:rPr>
                          <w:t xml:space="preserve">: </w:t>
                        </w:r>
                      </w:p>
                      <w:p w:rsidR="00E7476D" w:rsidRPr="00E7476D" w:rsidRDefault="00E7476D" w:rsidP="00E7476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подготовительный этап;</w:t>
                        </w:r>
                      </w:p>
                      <w:p w:rsidR="00E7476D" w:rsidRPr="00E7476D" w:rsidRDefault="00E7476D" w:rsidP="00E7476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основной этап;</w:t>
                        </w:r>
                      </w:p>
                      <w:p w:rsidR="00E7476D" w:rsidRPr="00E7476D" w:rsidRDefault="00E7476D" w:rsidP="00E7476D">
                        <w:pPr>
                          <w:numPr>
                            <w:ilvl w:val="0"/>
                            <w:numId w:val="5"/>
                          </w:numPr>
                          <w:spacing w:after="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заключительный этап.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6.4. На подготовительном этапе внешней проверки изучается содержание следующих документов:</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Послания Президента Российской Федерации Федеральному Собранию Российской Федерации;</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основных направлений бюджетной политики и основных направлений налоговой политики Российской Федерации, Вологодской области, Междуреченского муниципального района;</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основных итогов социально-экономического развития Междуреченского муниципального района за отчетный финансовый год;</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решения о бюджете за отчетный финансовый год;</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бюджетного прогноза на долгосрочный период;</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муниципальных программ (проектов муниципальных программ, проектов изменений указанных программ);</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нормативных правовых актов, действующих в отчетном периоде и содержащих требования к нормативным правовым актам, необходимым для организации и обеспечения исполнения бюджета в отчётном финансовом году, а также к решению о бюджете и его исполнении, формированию и предоставлению годового отчета и бюджетной отчетности; </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 нормативных правовых и иных распорядительных документов, </w:t>
                        </w:r>
                        <w:r w:rsidRPr="00E7476D">
                          <w:rPr>
                            <w:rFonts w:ascii="Times New Roman" w:eastAsia="Times New Roman" w:hAnsi="Times New Roman" w:cs="Times New Roman"/>
                            <w:sz w:val="28"/>
                            <w:szCs w:val="28"/>
                            <w:lang w:eastAsia="ru-RU"/>
                          </w:rPr>
                          <w:lastRenderedPageBreak/>
                          <w:t>действующих в отчетном периоде и регламентирующих процесс организации и исполнения бюджета в отчётном финансовом году, а также устанавливающих требования к решению о бюджете и его исполнении, формированию и предоставлению годового отчета и бюджетной отчетности;</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при необходимости, других документов (материалов), необходимых для подготовки организационно-распорядительных документов, в частности, программы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На данном этапе осуществляется также подготовка запросов на предоставление информации для проведения анализа бюджета, оформление необходимых организационно-распорядительных документов, определение конкретных сроков подготовки заключений на годовую бюджетную отчетность, сводного заключения ревизионной комиссии на годовой отчет об исполнении бюджета.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6.5. В ходе основного этапа внешней проверки осуществляются:</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проверки годовой бюджетной отчетности ГАБС с подготовкой заключений по каждому из них;</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проверка, анализ и оценка обоснованности основных показателей годового отчета об исполнении бюджета;</w:t>
                        </w:r>
                      </w:p>
                      <w:p w:rsidR="00E7476D" w:rsidRPr="00E7476D" w:rsidRDefault="00E7476D" w:rsidP="00E7476D">
                        <w:pPr>
                          <w:spacing w:before="120" w:after="120"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оценка и анализ материалов, представленных одновременно с годовым отчетом об исполнении бюджета, и информации по направленным запросам.</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6.6. На заключительном этапе внешней проверки осуществляется подготовка заключения ревизионной комиссии с учетом результатов проверки годовой бюджетной отчетности ГАБС и направление в Представительное Собрание Междуреченского  муниципального района  Главе района, руководителю Администрации района.</w:t>
                        </w:r>
                      </w:p>
                      <w:p w:rsidR="00E7476D" w:rsidRPr="00E7476D" w:rsidRDefault="00E7476D" w:rsidP="00E7476D">
                        <w:pPr>
                          <w:spacing w:before="100" w:beforeAutospacing="1" w:after="100" w:afterAutospacing="1" w:line="240" w:lineRule="auto"/>
                          <w:jc w:val="center"/>
                          <w:outlineLvl w:val="2"/>
                          <w:rPr>
                            <w:rFonts w:ascii="Times New Roman" w:eastAsia="Times New Roman" w:hAnsi="Times New Roman" w:cs="Times New Roman"/>
                            <w:b/>
                            <w:bCs/>
                            <w:sz w:val="28"/>
                            <w:szCs w:val="28"/>
                            <w:lang w:eastAsia="ru-RU"/>
                          </w:rPr>
                        </w:pPr>
                        <w:r w:rsidRPr="00E7476D">
                          <w:rPr>
                            <w:rFonts w:ascii="Times New Roman" w:eastAsia="Times New Roman" w:hAnsi="Times New Roman" w:cs="Times New Roman"/>
                            <w:b/>
                            <w:bCs/>
                            <w:sz w:val="28"/>
                            <w:szCs w:val="28"/>
                            <w:lang w:eastAsia="ru-RU"/>
                          </w:rPr>
                          <w:t>7. Подготовка заключения по результатам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7.1. Подготовка заключения ревизионной комиссии на годовой отчет об исполнении бюджета осуществляется в соответствии с внутренним организационно-распорядительным документом ревизионной  комиссии района.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7.2. Результаты внешней проверки бюджетной отчетности ГАБС и их деятельности по исполнению бюджета в отчетном году оформляются заключениями по каждому </w:t>
                        </w:r>
                        <w:proofErr w:type="spellStart"/>
                        <w:r w:rsidRPr="00E7476D">
                          <w:rPr>
                            <w:rFonts w:ascii="Times New Roman" w:eastAsia="Times New Roman" w:hAnsi="Times New Roman" w:cs="Times New Roman"/>
                            <w:sz w:val="28"/>
                            <w:szCs w:val="28"/>
                            <w:lang w:eastAsia="ru-RU"/>
                          </w:rPr>
                          <w:t>ГАБСу</w:t>
                        </w:r>
                        <w:proofErr w:type="spellEnd"/>
                        <w:r w:rsidRPr="00E7476D">
                          <w:rPr>
                            <w:rFonts w:ascii="Times New Roman" w:eastAsia="Times New Roman" w:hAnsi="Times New Roman" w:cs="Times New Roman"/>
                            <w:sz w:val="28"/>
                            <w:szCs w:val="28"/>
                            <w:lang w:eastAsia="ru-RU"/>
                          </w:rPr>
                          <w:t xml:space="preserve">.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7.3. Структура заключения по результатам внешней проверки бюджетной отчетности ГАБС включает следующие основные разделы:</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общие положения (должностные лица, несущие ответственность за </w:t>
                        </w:r>
                        <w:r w:rsidRPr="00E7476D">
                          <w:rPr>
                            <w:rFonts w:ascii="Times New Roman" w:eastAsia="Times New Roman" w:hAnsi="Times New Roman" w:cs="Times New Roman"/>
                            <w:sz w:val="28"/>
                            <w:szCs w:val="28"/>
                            <w:lang w:eastAsia="ru-RU"/>
                          </w:rPr>
                          <w:lastRenderedPageBreak/>
                          <w:t>подготовку и представление бюджетной отчетности, сроки и полнота представления отчетности, предмет проверки отчетности по доходам и расходам и т.д.);</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организационный раздел (основания осуществления деятельности, цели и задачи деятельности, организационная структура субъекта бюджетной отчетности, количество подведомственных учреждений и т.д.);</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результаты деятельности субъекта бюджетной отчетности (анализ соответствующих форм отчетности и раздела пояснительной записки к отчетности);</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анализ отчета об исполнении бюджета субъектом бюджетной отчетности (анализ соответствующих форм отчетности и раздела пояснительной записки к отчетности);</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анализ показателей бухгалтерской отчетности субъекта бюджетной отчетности (анализ соответствующих форм отчетности и раздела пояснительной записки к отчетности);</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прочие вопросы деятельности субъекта бюджетной отчетности (в том числе мероприятия внутреннего и внешнего контроля, меры по устранению нарушений, особенности ведения учета и т.д.)</w:t>
                        </w:r>
                      </w:p>
                      <w:p w:rsidR="00E7476D" w:rsidRPr="00E7476D" w:rsidRDefault="00E7476D" w:rsidP="00E7476D">
                        <w:pPr>
                          <w:numPr>
                            <w:ilvl w:val="0"/>
                            <w:numId w:val="6"/>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выводы по результатам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7.4. Структура заключения ревизионной комиссии  на годовой отчет об исполнении бюджета формируется исходя из задач (вопросов) внешней проверки и структуры решения о бюджете (в том числе принципов построения бюджетной классификации) и включает следующие основные разделы:</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общие положения (сроки и полнота представления документов, источники информации для заключения и т.д.);</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предварительные итоги социально - экономического развития Междуреченского муниципального района, общая характеристика исполнения бюджета;</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исполнение доходной части бюджета, включая общую оценку доходов, налоговых и неналоговых доходов, безвозмездных поступлений;</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исполнение расходной части бюджета, включая общую оценку расходов, анализ расходов на основе перечня муниципальных программ с учетом разделов и подразделов классификации расходов;</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анализ бюджетных инвестиций;</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анализ дебиторской и кредиторской задолженности субъектов бюджетной отчетности;</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оценка дефицита (профицита) бюджета и источников финансирования дефицита, включая бюджетные кредиты;</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анализ долговых и гарантийных обязательств; </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общий объем бюджетных ассигнований, направляемых на исполнение </w:t>
                        </w:r>
                        <w:r w:rsidRPr="00E7476D">
                          <w:rPr>
                            <w:rFonts w:ascii="Times New Roman" w:eastAsia="Times New Roman" w:hAnsi="Times New Roman" w:cs="Times New Roman"/>
                            <w:sz w:val="28"/>
                            <w:szCs w:val="28"/>
                            <w:lang w:eastAsia="ru-RU"/>
                          </w:rPr>
                          <w:lastRenderedPageBreak/>
                          <w:t xml:space="preserve">публичных нормативных обязательств; </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объем межбюджетных трансфертов, получаемых из других бюджетов и/или предоставляемых другим бюджетам бюджетной системы Российской Федерации;</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общие итоги внешней проверки бюджетной отчетности ГАБС;</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выводы и рекомендации;</w:t>
                        </w:r>
                      </w:p>
                      <w:p w:rsidR="00E7476D" w:rsidRPr="00E7476D" w:rsidRDefault="00E7476D" w:rsidP="00E7476D">
                        <w:pPr>
                          <w:numPr>
                            <w:ilvl w:val="0"/>
                            <w:numId w:val="7"/>
                          </w:numPr>
                          <w:spacing w:before="120" w:after="120" w:line="240" w:lineRule="auto"/>
                          <w:contextualSpacing/>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приложения.</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7.5. В заключени</w:t>
                        </w:r>
                        <w:proofErr w:type="gramStart"/>
                        <w:r w:rsidRPr="00E7476D">
                          <w:rPr>
                            <w:rFonts w:ascii="Times New Roman" w:eastAsia="Times New Roman" w:hAnsi="Times New Roman" w:cs="Times New Roman"/>
                            <w:sz w:val="28"/>
                            <w:szCs w:val="28"/>
                            <w:lang w:eastAsia="ru-RU"/>
                          </w:rPr>
                          <w:t>и</w:t>
                        </w:r>
                        <w:proofErr w:type="gramEnd"/>
                        <w:r w:rsidRPr="00E7476D">
                          <w:rPr>
                            <w:rFonts w:ascii="Times New Roman" w:eastAsia="Times New Roman" w:hAnsi="Times New Roman" w:cs="Times New Roman"/>
                            <w:sz w:val="28"/>
                            <w:szCs w:val="28"/>
                            <w:lang w:eastAsia="ru-RU"/>
                          </w:rPr>
                          <w:t xml:space="preserve"> ревизионной комиссии на годовой отчет об исполнении бюджета должны быть отражены основные вопросы соответствия исполнения бюджета Бюджетному кодексу Российской Федерации, общим задачам бюджетной политики, сформулированным в Послании Президента Российской Федерации Федеральному Собранию, основным направлениям бюджетной и налоговой политики Междуреченского муниципального района, иным программным и стратегическим документам.</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7.6. В заключени</w:t>
                        </w:r>
                        <w:proofErr w:type="gramStart"/>
                        <w:r w:rsidRPr="00E7476D">
                          <w:rPr>
                            <w:rFonts w:ascii="Times New Roman" w:eastAsia="Times New Roman" w:hAnsi="Times New Roman" w:cs="Times New Roman"/>
                            <w:sz w:val="28"/>
                            <w:szCs w:val="28"/>
                            <w:lang w:eastAsia="ru-RU"/>
                          </w:rPr>
                          <w:t>и</w:t>
                        </w:r>
                        <w:proofErr w:type="gramEnd"/>
                        <w:r w:rsidRPr="00E7476D">
                          <w:rPr>
                            <w:rFonts w:ascii="Times New Roman" w:eastAsia="Times New Roman" w:hAnsi="Times New Roman" w:cs="Times New Roman"/>
                            <w:sz w:val="28"/>
                            <w:szCs w:val="28"/>
                            <w:lang w:eastAsia="ru-RU"/>
                          </w:rPr>
                          <w:t xml:space="preserve"> ревизионной комиссии  на годовой отчет об исполнении бюджета дается оценка основных, наиболее значимых итогов и результатов исполнения бюджета, включая исполнение доходов, расходов и источников финансирования дефицита бюджета за отчетный финансовый год, а также оценка объема и структуры долговых и гарантийных обязательств.</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7.7. В заключени</w:t>
                        </w:r>
                        <w:proofErr w:type="gramStart"/>
                        <w:r w:rsidRPr="00E7476D">
                          <w:rPr>
                            <w:rFonts w:ascii="Times New Roman" w:eastAsia="Times New Roman" w:hAnsi="Times New Roman" w:cs="Times New Roman"/>
                            <w:sz w:val="28"/>
                            <w:szCs w:val="28"/>
                            <w:lang w:eastAsia="ru-RU"/>
                          </w:rPr>
                          <w:t>и</w:t>
                        </w:r>
                        <w:proofErr w:type="gramEnd"/>
                        <w:r w:rsidRPr="00E7476D">
                          <w:rPr>
                            <w:rFonts w:ascii="Times New Roman" w:eastAsia="Times New Roman" w:hAnsi="Times New Roman" w:cs="Times New Roman"/>
                            <w:sz w:val="28"/>
                            <w:szCs w:val="28"/>
                            <w:lang w:eastAsia="ru-RU"/>
                          </w:rPr>
                          <w:t xml:space="preserve"> ревизионной комиссии на годовой отчет об исполнении бюджета отражаются установленные факты несоответствия годового отчета об исполнении бюджета и годовой бюджетной отчетности ГАБС нормативным правовым актам, факты неполноты и недостоверности показателей годового отчета об исполнении бюджета и годовой бюджетной отчетности ГАБС. </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Грубыми нарушениями признаются факты неполноты и недостоверности годовой бюджетной отчетности ГАБС, годового отчета об исполнении бюджета при которых искажение любой статьи (строки) формы бюджетной отчетности составляет не менее</w:t>
                        </w:r>
                        <w:proofErr w:type="gramStart"/>
                        <w:r w:rsidRPr="00E7476D">
                          <w:rPr>
                            <w:rFonts w:ascii="Times New Roman" w:eastAsia="Times New Roman" w:hAnsi="Times New Roman" w:cs="Times New Roman"/>
                            <w:sz w:val="28"/>
                            <w:szCs w:val="28"/>
                            <w:lang w:eastAsia="ru-RU"/>
                          </w:rPr>
                          <w:t>,</w:t>
                        </w:r>
                        <w:proofErr w:type="gramEnd"/>
                        <w:r w:rsidRPr="00E7476D">
                          <w:rPr>
                            <w:rFonts w:ascii="Times New Roman" w:eastAsia="Times New Roman" w:hAnsi="Times New Roman" w:cs="Times New Roman"/>
                            <w:sz w:val="28"/>
                            <w:szCs w:val="28"/>
                            <w:lang w:eastAsia="ru-RU"/>
                          </w:rPr>
                          <w:t xml:space="preserve"> чем 10 процентов. В случае разнонаправленных искажений (и в </w:t>
                        </w:r>
                        <w:proofErr w:type="gramStart"/>
                        <w:r w:rsidRPr="00E7476D">
                          <w:rPr>
                            <w:rFonts w:ascii="Times New Roman" w:eastAsia="Times New Roman" w:hAnsi="Times New Roman" w:cs="Times New Roman"/>
                            <w:sz w:val="28"/>
                            <w:szCs w:val="28"/>
                            <w:lang w:eastAsia="ru-RU"/>
                          </w:rPr>
                          <w:t>большую</w:t>
                        </w:r>
                        <w:proofErr w:type="gramEnd"/>
                        <w:r w:rsidRPr="00E7476D">
                          <w:rPr>
                            <w:rFonts w:ascii="Times New Roman" w:eastAsia="Times New Roman" w:hAnsi="Times New Roman" w:cs="Times New Roman"/>
                            <w:sz w:val="28"/>
                            <w:szCs w:val="28"/>
                            <w:lang w:eastAsia="ru-RU"/>
                          </w:rPr>
                          <w:t xml:space="preserve"> и в меньшую стороны) учитывается сумма их абсолютных значений (без учета знака).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7.8. При установлении фактов неполноты и недостоверности годовой бюджетной отчетности ГАБС, годового отчета об исполнении бюджета, иных нарушений нормативных правовых актов следует исходить из того,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 xml:space="preserve">7.9. Выводы и предложения должны соответствовать структуре и содержанию заключения ревизионной  комиссии на годовой отчет об исполнении бюджета, указывать причины наиболее существенных </w:t>
                        </w:r>
                        <w:r w:rsidRPr="00E7476D">
                          <w:rPr>
                            <w:rFonts w:ascii="Times New Roman" w:eastAsia="Times New Roman" w:hAnsi="Times New Roman" w:cs="Times New Roman"/>
                            <w:sz w:val="28"/>
                            <w:szCs w:val="28"/>
                            <w:lang w:eastAsia="ru-RU"/>
                          </w:rPr>
                          <w:lastRenderedPageBreak/>
                          <w:t>отклонений и нарушений, допущенных в ходе исполнения бюджета. В выводах необходимо указывать возможные последствия нарушений в случае их несвоевременного устранения, а также при необходимости, вносить предложения по совершенствованию бюджетного процесса и нормативных правовых актов, регулирующих бюджетные правоотношения, эффективности использования бюджетных средств.</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7.10. Заключение должно отвечать требованиям объективности, своевременности, обоснованности, четкости и доступности изложения. В заключении рекомендуется отражать как положительные, так и отрицательные моменты, выявленные в ходе внешней проверки.</w:t>
                        </w:r>
                      </w:p>
                      <w:p w:rsidR="00E7476D" w:rsidRPr="00E7476D" w:rsidRDefault="00E7476D" w:rsidP="00E7476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7476D">
                          <w:rPr>
                            <w:rFonts w:ascii="Times New Roman" w:eastAsia="Times New Roman" w:hAnsi="Times New Roman" w:cs="Times New Roman"/>
                            <w:sz w:val="28"/>
                            <w:szCs w:val="28"/>
                            <w:lang w:eastAsia="ru-RU"/>
                          </w:rPr>
                          <w:t>7.11. Заключение ревизионной комиссии на годовой отчет об исполнении бюджета подписывается председателем ревизионной комиссии, с учетом сроков его направления в Представительное Собрание Междуреченского муниципального района Главе района и руководителю администрации Междуреченского муниципального района, установленных Бюджетным кодексом Российской Федерации, положением о бюджетном процессе.</w:t>
                        </w:r>
                      </w:p>
                    </w:tc>
                  </w:tr>
                  <w:tr w:rsidR="00E7476D" w:rsidRPr="00E7476D">
                    <w:trPr>
                      <w:tblCellSpacing w:w="0" w:type="dxa"/>
                    </w:trPr>
                    <w:tc>
                      <w:tcPr>
                        <w:tcW w:w="0" w:type="auto"/>
                        <w:vAlign w:val="center"/>
                        <w:hideMark/>
                      </w:tcPr>
                      <w:p w:rsidR="00E7476D" w:rsidRPr="00E7476D" w:rsidRDefault="00E7476D" w:rsidP="00E7476D">
                        <w:pPr>
                          <w:spacing w:after="0"/>
                          <w:rPr>
                            <w:rFonts w:ascii="Calibri" w:eastAsia="Calibri" w:hAnsi="Calibri" w:cs="Times New Roman"/>
                          </w:rPr>
                        </w:pPr>
                      </w:p>
                    </w:tc>
                    <w:tc>
                      <w:tcPr>
                        <w:tcW w:w="2500" w:type="pct"/>
                        <w:vAlign w:val="center"/>
                        <w:hideMark/>
                      </w:tcPr>
                      <w:p w:rsidR="00E7476D" w:rsidRPr="00E7476D" w:rsidRDefault="00E7476D" w:rsidP="00E7476D">
                        <w:pPr>
                          <w:spacing w:after="0"/>
                          <w:rPr>
                            <w:rFonts w:ascii="Calibri" w:eastAsia="Calibri" w:hAnsi="Calibri" w:cs="Times New Roman"/>
                          </w:rPr>
                        </w:pPr>
                      </w:p>
                    </w:tc>
                  </w:tr>
                </w:tbl>
                <w:p w:rsidR="00E7476D" w:rsidRPr="00E7476D" w:rsidRDefault="00E7476D" w:rsidP="00E7476D">
                  <w:pPr>
                    <w:rPr>
                      <w:rFonts w:ascii="Calibri" w:eastAsia="Calibri" w:hAnsi="Calibri" w:cs="Times New Roman"/>
                    </w:rPr>
                  </w:pPr>
                </w:p>
              </w:tc>
            </w:tr>
          </w:tbl>
          <w:p w:rsidR="00E7476D" w:rsidRPr="00E7476D" w:rsidRDefault="00E7476D" w:rsidP="00E7476D">
            <w:pPr>
              <w:rPr>
                <w:rFonts w:ascii="Calibri" w:eastAsia="Calibri" w:hAnsi="Calibri" w:cs="Times New Roman"/>
              </w:rPr>
            </w:pPr>
          </w:p>
        </w:tc>
      </w:tr>
      <w:tr w:rsidR="00E7476D" w:rsidRPr="00E7476D" w:rsidTr="00E7476D">
        <w:trPr>
          <w:tblCellSpacing w:w="0" w:type="dxa"/>
        </w:trPr>
        <w:tc>
          <w:tcPr>
            <w:tcW w:w="5000" w:type="pct"/>
            <w:vAlign w:val="center"/>
          </w:tcPr>
          <w:p w:rsidR="00E7476D" w:rsidRPr="00E7476D" w:rsidRDefault="00E7476D" w:rsidP="00E7476D">
            <w:pPr>
              <w:spacing w:after="0" w:line="240" w:lineRule="auto"/>
              <w:rPr>
                <w:rFonts w:ascii="Times New Roman" w:eastAsia="Times New Roman" w:hAnsi="Times New Roman" w:cs="Times New Roman"/>
                <w:sz w:val="28"/>
                <w:szCs w:val="28"/>
                <w:lang w:eastAsia="ru-RU"/>
              </w:rPr>
            </w:pPr>
          </w:p>
        </w:tc>
      </w:tr>
    </w:tbl>
    <w:p w:rsidR="00E7476D" w:rsidRPr="00E7476D" w:rsidRDefault="00E7476D" w:rsidP="00E7476D">
      <w:pPr>
        <w:rPr>
          <w:rFonts w:ascii="Calibri" w:eastAsia="Calibri" w:hAnsi="Calibri" w:cs="Times New Roman"/>
          <w:sz w:val="28"/>
          <w:szCs w:val="28"/>
        </w:rPr>
      </w:pPr>
    </w:p>
    <w:p w:rsidR="00E7476D" w:rsidRDefault="00E7476D"/>
    <w:sectPr w:rsidR="00E747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C53"/>
    <w:multiLevelType w:val="hybridMultilevel"/>
    <w:tmpl w:val="4C5E48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1B30497"/>
    <w:multiLevelType w:val="hybridMultilevel"/>
    <w:tmpl w:val="68B2DB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CC71038"/>
    <w:multiLevelType w:val="hybridMultilevel"/>
    <w:tmpl w:val="EF2642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D5840DD"/>
    <w:multiLevelType w:val="hybridMultilevel"/>
    <w:tmpl w:val="1B2CCE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19015BC"/>
    <w:multiLevelType w:val="hybridMultilevel"/>
    <w:tmpl w:val="F3FE17A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18705A4"/>
    <w:multiLevelType w:val="hybridMultilevel"/>
    <w:tmpl w:val="16D67F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F9C483F"/>
    <w:multiLevelType w:val="hybridMultilevel"/>
    <w:tmpl w:val="DC08D5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307"/>
    <w:rsid w:val="004834F1"/>
    <w:rsid w:val="00544F87"/>
    <w:rsid w:val="006B7B0E"/>
    <w:rsid w:val="007022A8"/>
    <w:rsid w:val="00B82307"/>
    <w:rsid w:val="00CA1A2B"/>
    <w:rsid w:val="00DB27C0"/>
    <w:rsid w:val="00E7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CA1A2B"/>
    <w:pPr>
      <w:spacing w:after="0" w:line="240" w:lineRule="auto"/>
      <w:ind w:left="142" w:right="5526"/>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A1A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A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semiHidden/>
    <w:unhideWhenUsed/>
    <w:rsid w:val="00CA1A2B"/>
    <w:pPr>
      <w:spacing w:after="0" w:line="240" w:lineRule="auto"/>
      <w:ind w:left="142" w:right="5526"/>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CA1A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A1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67699">
      <w:bodyDiv w:val="1"/>
      <w:marLeft w:val="0"/>
      <w:marRight w:val="0"/>
      <w:marTop w:val="0"/>
      <w:marBottom w:val="0"/>
      <w:divBdr>
        <w:top w:val="none" w:sz="0" w:space="0" w:color="auto"/>
        <w:left w:val="none" w:sz="0" w:space="0" w:color="auto"/>
        <w:bottom w:val="none" w:sz="0" w:space="0" w:color="auto"/>
        <w:right w:val="none" w:sz="0" w:space="0" w:color="auto"/>
      </w:divBdr>
    </w:div>
    <w:div w:id="79987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3804</Words>
  <Characters>21688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2019-04-12T06:02:00Z</dcterms:created>
  <dcterms:modified xsi:type="dcterms:W3CDTF">2019-04-12T06:07:00Z</dcterms:modified>
</cp:coreProperties>
</file>