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5B" w:rsidRPr="00644A5B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44A5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E70AD1C" wp14:editId="73AE045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44A5B" w:rsidRPr="00583EFF" w:rsidRDefault="00644A5B" w:rsidP="00644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44A5B" w:rsidRPr="00583EFF" w:rsidRDefault="00644A5B" w:rsidP="00644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644A5B" w:rsidRDefault="00644A5B" w:rsidP="00644A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EFF" w:rsidRDefault="00583EFF" w:rsidP="00644A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EFF" w:rsidRPr="00583EFF" w:rsidRDefault="00583EFF" w:rsidP="00644A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администрации поселения Сухонское</w:t>
      </w:r>
    </w:p>
    <w:p w:rsidR="00644A5B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D60937" w:rsidRPr="00583EF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583EFF" w:rsidRDefault="00583EFF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</w:p>
    <w:p w:rsidR="00583EFF" w:rsidRPr="00583EFF" w:rsidRDefault="00583EFF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</w:t>
      </w:r>
      <w:r w:rsidRPr="00583EF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3018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D60937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 </w:t>
      </w:r>
    </w:p>
    <w:p w:rsidR="00D60937" w:rsidRPr="00583EFF" w:rsidRDefault="00D60937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Внешняя проверка годовой бюджетной отчетности главного администратора (распорядителя) бюджетных средств  проведена на основании ст.264.4 Бюджетного кодекса Российской Федерации, п.2 раздела «Экспертно-аналитические мероприятия» плана работы ревизионной  комиссии Представительного Собрания района на 201</w:t>
      </w:r>
      <w:r w:rsidR="00D60937" w:rsidRPr="00583EFF">
        <w:rPr>
          <w:rFonts w:ascii="Times New Roman" w:hAnsi="Times New Roman" w:cs="Times New Roman"/>
          <w:sz w:val="26"/>
          <w:szCs w:val="26"/>
        </w:rPr>
        <w:t>8</w:t>
      </w:r>
      <w:r w:rsidRPr="00583EFF">
        <w:rPr>
          <w:rFonts w:ascii="Times New Roman" w:hAnsi="Times New Roman" w:cs="Times New Roman"/>
          <w:sz w:val="26"/>
          <w:szCs w:val="26"/>
        </w:rPr>
        <w:t xml:space="preserve"> год, распоряжения от </w:t>
      </w:r>
      <w:r w:rsidR="00D60937" w:rsidRPr="00583EFF">
        <w:rPr>
          <w:rFonts w:ascii="Times New Roman" w:hAnsi="Times New Roman" w:cs="Times New Roman"/>
          <w:sz w:val="26"/>
          <w:szCs w:val="26"/>
        </w:rPr>
        <w:t>19.03.2018 года №2.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администрация поселения Сухонское Междуреченского муниципального района (далее – администрация поселения Сухонское).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Глава поселения Сухонское  </w:t>
      </w:r>
      <w:r w:rsidR="00D60937" w:rsidRPr="00583EFF">
        <w:rPr>
          <w:rFonts w:ascii="Times New Roman" w:hAnsi="Times New Roman" w:cs="Times New Roman"/>
          <w:sz w:val="26"/>
          <w:szCs w:val="26"/>
        </w:rPr>
        <w:t xml:space="preserve">с 22 сентября 2017 года </w:t>
      </w:r>
      <w:r w:rsidR="00944174">
        <w:rPr>
          <w:rFonts w:ascii="Times New Roman" w:hAnsi="Times New Roman" w:cs="Times New Roman"/>
          <w:sz w:val="26"/>
          <w:szCs w:val="26"/>
        </w:rPr>
        <w:t xml:space="preserve">- </w:t>
      </w:r>
      <w:r w:rsidR="00D60937" w:rsidRPr="00583EFF">
        <w:rPr>
          <w:rFonts w:ascii="Times New Roman" w:hAnsi="Times New Roman" w:cs="Times New Roman"/>
          <w:sz w:val="26"/>
          <w:szCs w:val="26"/>
        </w:rPr>
        <w:t>Пальникова Елена Павловна</w:t>
      </w:r>
      <w:r w:rsidRPr="00583EF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44A5B" w:rsidRPr="00147D3E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D3E">
        <w:rPr>
          <w:rFonts w:ascii="Times New Roman" w:hAnsi="Times New Roman" w:cs="Times New Roman"/>
          <w:sz w:val="26"/>
          <w:szCs w:val="26"/>
        </w:rPr>
        <w:t xml:space="preserve">    </w:t>
      </w:r>
      <w:r w:rsidR="00147D3E" w:rsidRPr="00147D3E">
        <w:rPr>
          <w:rFonts w:ascii="Times New Roman" w:hAnsi="Times New Roman" w:cs="Times New Roman"/>
          <w:sz w:val="26"/>
          <w:szCs w:val="26"/>
        </w:rPr>
        <w:t>заместитель</w:t>
      </w:r>
      <w:r w:rsidRPr="00147D3E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147D3E" w:rsidRPr="00147D3E">
        <w:rPr>
          <w:rFonts w:ascii="Times New Roman" w:hAnsi="Times New Roman" w:cs="Times New Roman"/>
          <w:sz w:val="26"/>
          <w:szCs w:val="26"/>
        </w:rPr>
        <w:t>а</w:t>
      </w:r>
      <w:r w:rsidRPr="00147D3E">
        <w:rPr>
          <w:rFonts w:ascii="Times New Roman" w:hAnsi="Times New Roman" w:cs="Times New Roman"/>
          <w:sz w:val="26"/>
          <w:szCs w:val="26"/>
        </w:rPr>
        <w:t xml:space="preserve">  финансово-экономического отдела –</w:t>
      </w:r>
      <w:r w:rsidR="00147D3E" w:rsidRPr="00147D3E">
        <w:rPr>
          <w:rFonts w:ascii="Times New Roman" w:hAnsi="Times New Roman" w:cs="Times New Roman"/>
          <w:sz w:val="26"/>
          <w:szCs w:val="26"/>
        </w:rPr>
        <w:t xml:space="preserve"> </w:t>
      </w:r>
      <w:r w:rsidRPr="00147D3E">
        <w:rPr>
          <w:rFonts w:ascii="Times New Roman" w:hAnsi="Times New Roman" w:cs="Times New Roman"/>
          <w:sz w:val="26"/>
          <w:szCs w:val="26"/>
        </w:rPr>
        <w:t>Коробова Наталья Геннадьевна.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администрации поселения Сухонское,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147D3E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="00AA179C" w:rsidRPr="00583EFF">
        <w:rPr>
          <w:rFonts w:ascii="Times New Roman" w:hAnsi="Times New Roman" w:cs="Times New Roman"/>
          <w:sz w:val="26"/>
          <w:szCs w:val="26"/>
        </w:rPr>
        <w:t>с 19.03.2018 года  по 18.04.2018 года.</w:t>
      </w:r>
    </w:p>
    <w:p w:rsidR="00AA179C" w:rsidRPr="00583EFF" w:rsidRDefault="00AA179C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AA179C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о бюджетном процессе, утвержденного решением Совета поселения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Сухонское от 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сентября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 года №15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2017 год проведена внешняя проверка годовой бюджетной отчётности главного администратора бюджетных средств - администрации поселения Сухонское  за 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44A5B" w:rsidRPr="00583EFF" w:rsidRDefault="00AA179C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Деятельность Администрации поселения Сухонское осуществляется в соответствии с Уставом поселения Сухонское, утвержденным решением Совета поселения Сухонское Междуреченского муниципального района от 02.12.2009 года №34 (с последующими изменениями и дополнениями).</w:t>
      </w:r>
    </w:p>
    <w:p w:rsidR="00644A5B" w:rsidRDefault="004E7DE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Администрации поселения Сухонское, предусмотренным в Уставе поселения.</w:t>
      </w: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4E7DE8" w:rsidP="00644A5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Сухонское в соответствии с нормами Бюджетного кодекса и Инструкции № 191н.</w:t>
      </w:r>
    </w:p>
    <w:p w:rsidR="00644A5B" w:rsidRPr="00583EFF" w:rsidRDefault="004E7DE8" w:rsidP="00644A5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средств представлен в ревизионную комиссию в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сброшюрованном и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пронумерованном виде с оглавлением, подписанный руководителем и </w:t>
      </w:r>
      <w:r w:rsidR="00944174">
        <w:rPr>
          <w:rFonts w:ascii="Times New Roman" w:eastAsia="Calibri" w:hAnsi="Times New Roman" w:cs="Times New Roman"/>
          <w:sz w:val="26"/>
          <w:szCs w:val="26"/>
        </w:rPr>
        <w:t xml:space="preserve">заместителем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начальник</w:t>
      </w:r>
      <w:r w:rsidR="00944174">
        <w:rPr>
          <w:rFonts w:ascii="Times New Roman" w:eastAsia="Calibri" w:hAnsi="Times New Roman" w:cs="Times New Roman"/>
          <w:sz w:val="26"/>
          <w:szCs w:val="26"/>
        </w:rPr>
        <w:t>а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финансово-экономического отдела поселения.</w:t>
      </w:r>
    </w:p>
    <w:p w:rsidR="00644A5B" w:rsidRPr="00583EFF" w:rsidRDefault="004E7DE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и включает:       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583EFF">
        <w:rPr>
          <w:rFonts w:ascii="Times New Roman" w:hAnsi="Times New Roman" w:cs="Times New Roman"/>
          <w:sz w:val="26"/>
          <w:szCs w:val="26"/>
        </w:rPr>
        <w:t>- баланс исполнения бюджета (ф.0503120);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583EFF">
        <w:rPr>
          <w:rFonts w:ascii="Times New Roman" w:hAnsi="Times New Roman" w:cs="Times New Roman"/>
          <w:sz w:val="26"/>
          <w:szCs w:val="26"/>
        </w:rPr>
        <w:t>- справка по консолидируемым расчетам (ф. 0503125);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- отчет о бюджетных обязательствах (ф. 0503128);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-  справку по заключению счетов бюджетного учета отчетного финансового года (ф.0503110);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- отчет об исполнении бюджета (ф. 0503117);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583EFF">
        <w:rPr>
          <w:rFonts w:ascii="Times New Roman" w:hAnsi="Times New Roman" w:cs="Times New Roman"/>
          <w:sz w:val="26"/>
          <w:szCs w:val="26"/>
        </w:rPr>
        <w:t>- отчет о движении денежных средств (ф. 0503123);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583EFF">
        <w:rPr>
          <w:rFonts w:ascii="Times New Roman" w:hAnsi="Times New Roman" w:cs="Times New Roman"/>
          <w:sz w:val="26"/>
          <w:szCs w:val="26"/>
        </w:rPr>
        <w:t>-  отчет о финансовых результатах деятельности (ф.0503121);</w:t>
      </w:r>
    </w:p>
    <w:p w:rsidR="00B8239F" w:rsidRPr="00583EFF" w:rsidRDefault="00B8239F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- отчет о кассовом поступлении и выбытии бюджетных  средств (ф.0503124);</w:t>
      </w:r>
    </w:p>
    <w:p w:rsidR="00B8239F" w:rsidRPr="00583EFF" w:rsidRDefault="00644A5B" w:rsidP="00B8239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B8239F" w:rsidRPr="00583EFF">
        <w:rPr>
          <w:rFonts w:ascii="Times New Roman" w:eastAsia="Calibri" w:hAnsi="Times New Roman" w:cs="Times New Roman"/>
          <w:sz w:val="26"/>
          <w:szCs w:val="26"/>
        </w:rPr>
        <w:t>-  баланс  по поступлениям и выбытиям бюджетных средств (ф.0503140);</w:t>
      </w:r>
    </w:p>
    <w:p w:rsidR="00644A5B" w:rsidRPr="00583EFF" w:rsidRDefault="00B8239F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644A5B" w:rsidRPr="00583EFF">
        <w:rPr>
          <w:rFonts w:ascii="Times New Roman" w:hAnsi="Times New Roman" w:cs="Times New Roman"/>
          <w:sz w:val="26"/>
          <w:szCs w:val="26"/>
        </w:rPr>
        <w:t>-  пояснительная записка (ф. 0503160);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lastRenderedPageBreak/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 результатах деятельности (0503162);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об изменениях бюджетной росписи главного распорядителя бюджетных средств (ф.0503163);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583EFF">
        <w:rPr>
          <w:rFonts w:ascii="Times New Roman" w:hAnsi="Times New Roman" w:cs="Times New Roman"/>
          <w:sz w:val="26"/>
          <w:szCs w:val="26"/>
        </w:rPr>
        <w:t>-  сведения об исполнении бюджета (0503164);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 движении нефинансовых активов (ф.0503168);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по дебиторской и кредиторской задолженности (ф. 0503169);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сведения о финансовых вложениях получателя бюджетных средств(0503171);</w:t>
      </w:r>
    </w:p>
    <w:p w:rsidR="00B8239F" w:rsidRPr="00583EFF" w:rsidRDefault="00B8239F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сведения о государственном (муниципальном)</w:t>
      </w:r>
      <w:r w:rsidR="00E74A15" w:rsidRPr="00583EFF">
        <w:rPr>
          <w:rFonts w:ascii="Times New Roman" w:hAnsi="Times New Roman" w:cs="Times New Roman"/>
          <w:sz w:val="26"/>
          <w:szCs w:val="26"/>
        </w:rPr>
        <w:t xml:space="preserve"> долге, предоставленных бюджетных кредитах (ф. 0503172);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об изменении остатков валюты баланса (ф.0503173);</w:t>
      </w:r>
    </w:p>
    <w:p w:rsidR="00E74A15" w:rsidRPr="00583EFF" w:rsidRDefault="00E74A15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- сведения о принятых и неисполненных обязательствах получателя бюджетных средств (ф. 0503175);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3EFF">
        <w:rPr>
          <w:rFonts w:ascii="Times New Roman" w:hAnsi="Times New Roman" w:cs="Times New Roman"/>
          <w:sz w:val="26"/>
          <w:szCs w:val="26"/>
        </w:rPr>
        <w:t>- сведения об использовании информационно-коммуникационных технологий (ф. 0503177);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 -  сведения об остатках денежных средств на счетах получателя бюджетных средств (ф.0503178);</w:t>
      </w:r>
    </w:p>
    <w:p w:rsidR="00E74A15" w:rsidRPr="00583EFF" w:rsidRDefault="00E74A15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- сведения об исполнении судебных решений по денежным обязательствам (ф.0503296);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- отчет об использовании межбюджетных трансфертов из федерального и </w:t>
      </w:r>
      <w:r w:rsidR="00BF6812" w:rsidRPr="00583EFF">
        <w:rPr>
          <w:rFonts w:ascii="Times New Roman" w:hAnsi="Times New Roman" w:cs="Times New Roman"/>
          <w:sz w:val="26"/>
          <w:szCs w:val="26"/>
        </w:rPr>
        <w:t>областного бюджетов (ф.0503324).</w:t>
      </w:r>
    </w:p>
    <w:p w:rsidR="00BF6812" w:rsidRPr="00583EFF" w:rsidRDefault="00BF6812" w:rsidP="00BF68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  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583EFF">
        <w:rPr>
          <w:rFonts w:ascii="Times New Roman" w:hAnsi="Times New Roman" w:cs="Times New Roman"/>
          <w:sz w:val="26"/>
          <w:szCs w:val="26"/>
        </w:rPr>
        <w:t xml:space="preserve">:  </w:t>
      </w: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BF6812" w:rsidRPr="00583EFF" w:rsidRDefault="00BF6812" w:rsidP="00BF68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  <w:r w:rsidRPr="00583EFF">
        <w:rPr>
          <w:rFonts w:ascii="Times New Roman" w:hAnsi="Times New Roman" w:cs="Times New Roman"/>
          <w:sz w:val="26"/>
          <w:szCs w:val="26"/>
        </w:rPr>
        <w:t>-  сведения о целевых иностранных кредитах (ф. 0503167);</w:t>
      </w:r>
    </w:p>
    <w:p w:rsidR="00BF6812" w:rsidRPr="00583EFF" w:rsidRDefault="00BF6812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- справка о суммах консолидируемых поступлений, подлежащих зачислению на счета бюджета (ф.0503184).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</w:p>
    <w:p w:rsidR="00BF6812" w:rsidRPr="00436D12" w:rsidRDefault="00BF6812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3EFF">
        <w:rPr>
          <w:rFonts w:ascii="Times New Roman" w:hAnsi="Times New Roman" w:cs="Times New Roman"/>
          <w:i/>
          <w:sz w:val="26"/>
          <w:szCs w:val="26"/>
        </w:rPr>
        <w:t xml:space="preserve">         В нарушение п.11.2 Инструкции 191н не предоставлен</w:t>
      </w:r>
      <w:r w:rsidR="00B3018E"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Pr="00583EFF">
        <w:rPr>
          <w:rFonts w:ascii="Times New Roman" w:hAnsi="Times New Roman" w:cs="Times New Roman"/>
          <w:i/>
          <w:sz w:val="26"/>
          <w:szCs w:val="26"/>
        </w:rPr>
        <w:t xml:space="preserve"> форм</w:t>
      </w:r>
      <w:r w:rsidR="005D5FD3" w:rsidRPr="00583EFF">
        <w:rPr>
          <w:rFonts w:ascii="Times New Roman" w:hAnsi="Times New Roman" w:cs="Times New Roman"/>
          <w:i/>
          <w:sz w:val="26"/>
          <w:szCs w:val="26"/>
        </w:rPr>
        <w:t xml:space="preserve">а бюджетной отчетности,  </w:t>
      </w:r>
      <w:r w:rsidRPr="00583EFF">
        <w:rPr>
          <w:rFonts w:ascii="Times New Roman" w:hAnsi="Times New Roman" w:cs="Times New Roman"/>
          <w:i/>
          <w:sz w:val="26"/>
          <w:szCs w:val="26"/>
        </w:rPr>
        <w:t xml:space="preserve">сведения об исполнении мероприятий в рамках целевых программ                                             </w:t>
      </w:r>
      <w:r w:rsidR="00436D12">
        <w:rPr>
          <w:rFonts w:ascii="Times New Roman" w:hAnsi="Times New Roman" w:cs="Times New Roman"/>
          <w:i/>
          <w:sz w:val="26"/>
          <w:szCs w:val="26"/>
        </w:rPr>
        <w:t xml:space="preserve">                     (0503166).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      </w:t>
      </w:r>
      <w:r w:rsidRPr="00583EFF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BF6812" w:rsidRPr="00583EFF">
        <w:rPr>
          <w:rFonts w:ascii="Times New Roman" w:eastAsia="Calibri" w:hAnsi="Times New Roman" w:cs="Times New Roman"/>
          <w:sz w:val="26"/>
          <w:szCs w:val="26"/>
        </w:rPr>
        <w:t>7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</w:p>
    <w:p w:rsidR="00644A5B" w:rsidRPr="00583EFF" w:rsidRDefault="00B3018E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 власти составляет – 1, в том числе главный распорядитель бюджетных средств  – 1.  Кроме того, согласно пояснительной записке по состоянию на 1 января 201</w:t>
      </w:r>
      <w:r w:rsidR="00BF6812" w:rsidRPr="00583EFF">
        <w:rPr>
          <w:rFonts w:ascii="Times New Roman" w:eastAsia="Calibri" w:hAnsi="Times New Roman" w:cs="Times New Roman"/>
          <w:sz w:val="26"/>
          <w:szCs w:val="26"/>
        </w:rPr>
        <w:t>8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года  администрация  поселения является учредителем 1-го бюджетного учреждения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lastRenderedPageBreak/>
        <w:t>МБУК «</w:t>
      </w:r>
      <w:r w:rsidR="00BF6812" w:rsidRPr="00583EFF">
        <w:rPr>
          <w:rFonts w:ascii="Times New Roman" w:eastAsia="Calibri" w:hAnsi="Times New Roman" w:cs="Times New Roman"/>
          <w:sz w:val="26"/>
          <w:szCs w:val="26"/>
        </w:rPr>
        <w:t>Междуреченский культурный центр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».  В форме 0503161 по состоянию на 01 января 201</w:t>
      </w:r>
      <w:r w:rsidR="00DC34A8" w:rsidRPr="00583EFF">
        <w:rPr>
          <w:rFonts w:ascii="Times New Roman" w:eastAsia="Calibri" w:hAnsi="Times New Roman" w:cs="Times New Roman"/>
          <w:sz w:val="26"/>
          <w:szCs w:val="26"/>
        </w:rPr>
        <w:t>8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года отражено всего 1 учреждение, в том числе,  1 бюджетное учреждение, что соответствует  данным по ф.0503160 «Пояснительная записка».</w:t>
      </w:r>
      <w:r w:rsidR="00644A5B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1D1A17" w:rsidRPr="00583EFF" w:rsidRDefault="001D1A17" w:rsidP="00436D12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Сведения  об изменениях бюджетной росписи главного распорядителя бюджетных средств, отраженные в форме  0503163, не достоверны, 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и имеют расхождения 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>по подраздел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ам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бюджетной классификации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>: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01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>04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01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11, 04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12, 05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03 как </w:t>
      </w:r>
      <w:r w:rsidR="00B3018E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первоначальн</w:t>
      </w:r>
      <w:r w:rsidR="00E9355D">
        <w:rPr>
          <w:rFonts w:ascii="Times New Roman" w:eastAsia="Calibri" w:hAnsi="Times New Roman" w:cs="Times New Roman"/>
          <w:i/>
          <w:sz w:val="26"/>
          <w:szCs w:val="26"/>
        </w:rPr>
        <w:t>ом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вариант</w:t>
      </w:r>
      <w:r w:rsidR="00E9355D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бюджета поселения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так и в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>утвержденном бюджете</w:t>
      </w:r>
      <w:r w:rsidR="00436D12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644A5B" w:rsidRPr="00583EFF" w:rsidRDefault="00DC34A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отчётности,  нарушений не установлено. </w:t>
      </w:r>
    </w:p>
    <w:p w:rsidR="00644A5B" w:rsidRPr="00583EFF" w:rsidRDefault="00DC34A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31F5" w:rsidRPr="00583EFF" w:rsidRDefault="008D31F5" w:rsidP="008D31F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 Администрацией поселения С</w:t>
      </w:r>
      <w:r w:rsidR="00944174">
        <w:rPr>
          <w:rFonts w:ascii="Times New Roman" w:eastAsia="Calibri" w:hAnsi="Times New Roman" w:cs="Times New Roman"/>
          <w:sz w:val="26"/>
          <w:szCs w:val="26"/>
        </w:rPr>
        <w:t>ухонское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 ф.0503160. За 2017 год  сумма экономического эффекта составила 150,0 тыс. рублей, в том числе:</w:t>
      </w:r>
    </w:p>
    <w:p w:rsidR="00644A5B" w:rsidRPr="00583EFF" w:rsidRDefault="008D31F5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  - по расходам на уличное освещение – 120,0 тыс. рублей;</w:t>
      </w:r>
    </w:p>
    <w:p w:rsidR="008D31F5" w:rsidRPr="00583EFF" w:rsidRDefault="008D31F5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  - по расходам на благоустройство территорий – 30,0 тыс. рублей.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83EFF">
        <w:rPr>
          <w:rFonts w:ascii="Times New Roman" w:eastAsia="Calibri" w:hAnsi="Times New Roman" w:cs="Times New Roman"/>
          <w:bCs/>
          <w:sz w:val="26"/>
          <w:szCs w:val="26"/>
        </w:rPr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№191н. </w:t>
      </w:r>
    </w:p>
    <w:p w:rsidR="00644A5B" w:rsidRPr="00583EFF" w:rsidRDefault="008D31F5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83EFF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644A5B" w:rsidRPr="00583EFF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644A5B" w:rsidRPr="00583EFF" w:rsidRDefault="008D31F5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Согласно Сведений в отчётном периоде проводились следующие мероприятия внутреннего контроля:  ежемесячные плановые и внеплановые проверки денежной наличности кассы;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не установлено.</w:t>
      </w:r>
    </w:p>
    <w:p w:rsidR="00644A5B" w:rsidRPr="00583EFF" w:rsidRDefault="008D31F5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внешнему муниципальному финансовому  контролю  должны быть изложены в пояснительной записке в таблице № 7 «Сведения о результатах внешних контрольных мероприятий». 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Однако данные в таблице №7 </w:t>
      </w:r>
      <w:r w:rsidR="00644A5B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отражены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 в полном объеме</w:t>
      </w:r>
      <w:r w:rsidR="00644A5B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 </w:t>
      </w:r>
      <w:r w:rsidR="00E935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кроме того, </w:t>
      </w:r>
      <w:r w:rsidR="00644A5B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отчётном периоде проводились следующие мероприятия по внешнему муниципальному финансовому контролю: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- проверка проекта бюджета поселения  на 201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</w:t>
      </w: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 и плановый период 201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</w:t>
      </w: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-20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</w:t>
      </w: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годы;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проверка исполнения бюджета поселения  за 201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 и  1,2,3 квартал 201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проверка внесений изменений и дополнений в бюджет поселения на 201</w:t>
      </w:r>
      <w:r w:rsidR="00576F3D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год. </w:t>
      </w:r>
    </w:p>
    <w:p w:rsidR="00644A5B" w:rsidRPr="00583EFF" w:rsidRDefault="00576F3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на основании распоряжения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проведена годовая инвентаризация основных средств, материальных запасов, бланков строгой отчетности, имущества казны, расчетов с дебиторами и кредиторами. В результате проведенной инвентаризации нарушений не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инвентаризации». </w:t>
      </w:r>
    </w:p>
    <w:p w:rsidR="00644A5B" w:rsidRPr="00583EFF" w:rsidRDefault="00576F3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Балансе  исполнения бюджета поселения  (ф.0503120), пояснительной записке и в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E74A69" w:rsidRPr="00583EFF" w:rsidRDefault="00593530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3496,5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–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128,2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в  сумме </w:t>
      </w:r>
      <w:r w:rsidR="00E74A6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115,3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 Выбытие составило </w:t>
      </w:r>
      <w:r w:rsidR="00E74A6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E74A6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A5B" w:rsidRPr="00583EFF" w:rsidRDefault="00E74A6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нефинансовые активы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казны составляют 1362,6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рублей. В течение отчётного периода произошло увеличение стоимости имущества казны на </w:t>
      </w:r>
      <w:r w:rsidR="00BE4E73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23071,5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7208A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</w:t>
      </w:r>
      <w:r w:rsidR="0094417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208A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составило </w:t>
      </w:r>
      <w:r w:rsidR="00BE4E73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10805,3</w:t>
      </w:r>
      <w:r w:rsidR="007208A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E4E73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(амортизация)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состоянию на 01.01.201</w:t>
      </w:r>
      <w:r w:rsidR="007208A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имущества казны  составила 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24434,1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рублей, остаточная стоимость – 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13628,8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изменение стоимости имущества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казны 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связано с изъятием из оперативного управлени</w:t>
      </w:r>
      <w:r w:rsidR="0094417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имущества учреждения культуры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</w:t>
      </w:r>
      <w:r w:rsidR="0094417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ликвидацией.</w:t>
      </w:r>
    </w:p>
    <w:p w:rsidR="00644A5B" w:rsidRPr="00583EFF" w:rsidRDefault="00A46A6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администрации поселения по счету 1 20433000 в сумме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1,2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Согласно Балансу финансовые вложения в течение отчетного года претерпели изменения, на 01.01.201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составляли – 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11472,0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по состоянию на 01.01.201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уменьшились на 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11470,8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(1,2 тыс.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руб.)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99,99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644A5B" w:rsidRPr="00583EFF" w:rsidRDefault="008407B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 доходы, подлежащие перечислению в бюджет за отчетный период, отсутствуют.</w:t>
      </w:r>
    </w:p>
    <w:p w:rsidR="00CE5954" w:rsidRDefault="008407B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58,3 т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рублей (раздел 1 ф.0503175).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сумма неисполненных денежных обязательств составляет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58,3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F916E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(раздел 2 ф.0503175).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сумма бюджетных обязательств,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принятых сверх утвержденных бюджетных назначений (раздел 3 ф. 0503175), составляет 58,3 тыс. рублей, </w:t>
      </w:r>
      <w:r w:rsidR="00F916E1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данное  неисполне</w:t>
      </w:r>
      <w:r w:rsidR="00E935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415B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ие</w:t>
      </w:r>
      <w:r w:rsidR="00E935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бюджетных обязательств  </w:t>
      </w:r>
      <w:r w:rsidR="00F916E1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уплате государственной пошлины в пользу ООО «Газпром межрегионгаз Вологда»   в бюджете поселения предусмотрено на 2017 год, однако причина не исполнения не указана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4174" w:rsidRPr="00583EFF" w:rsidRDefault="0094417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954" w:rsidRDefault="00CE5954" w:rsidP="00CE595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показателей Баланса  исполнения бюджета поселения (ф.0503120) (далее по тексту – Баланс) на 01.01.2017 г. и на 01.01.2018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 </w:t>
      </w:r>
    </w:p>
    <w:p w:rsidR="00944174" w:rsidRPr="00583EFF" w:rsidRDefault="00944174" w:rsidP="00CE595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CE595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п.170.2 Инструкции № 191н в</w:t>
      </w:r>
      <w:r w:rsidR="00644A5B" w:rsidRPr="00583E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hyperlink r:id="rId9" w:history="1">
        <w:r w:rsidR="00644A5B" w:rsidRPr="00E9355D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ru-RU"/>
          </w:rPr>
          <w:t>разделе 3</w:t>
        </w:r>
      </w:hyperlink>
      <w:r w:rsidR="00644A5B" w:rsidRPr="00583E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формы 0503175 отражается информация на основании данных о бюджетных обязательствах, принятых сверх утвержденных бюджетных назначений.</w:t>
      </w:r>
    </w:p>
    <w:p w:rsidR="00644A5B" w:rsidRPr="00583EFF" w:rsidRDefault="0010394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Стоимость ма</w:t>
      </w: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териальных запасов на 01.01.2018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составляет </w:t>
      </w: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25,7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что на </w:t>
      </w: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6,2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 больше стоимости материальных запасов по состоянию на 01.01.201</w:t>
      </w: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(</w:t>
      </w: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24,2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рублей).</w:t>
      </w:r>
    </w:p>
    <w:p w:rsidR="00644A5B" w:rsidRPr="00583EFF" w:rsidRDefault="0010394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94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поселения на конец отчетного периода составили  6638,9 тыс. рублей (ф. 0503172).   Долг образовался по выданной  муниципальной гарантии №1 от 01.09.2014 года Администрацией поселения Сухонское ООО «Приток плюс» за  предоставленный  для отопления социальной сферы поселения природный газ ООО «Газпром межрегионгаз Вологда» с учетом договора уступки требования на сумму 430,0 тыс. рублей ООО «Приток». Остаток долга составил 6638,9 тыс. рублей, что соответствует форме 0503172.</w:t>
      </w:r>
    </w:p>
    <w:p w:rsidR="00944174" w:rsidRPr="00583EFF" w:rsidRDefault="0094417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10394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использовании информационных технологий (ф.0503177)  сформированы в соответствии с п.172 Инструкции 191н. Нарушений по данной форме не установлено. Расходы по использованию информационно-коммуникационных технологий составили за 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128,3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520E4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11389,3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доходы – </w:t>
      </w:r>
      <w:r w:rsidR="00520E4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3021,7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собственности – </w:t>
      </w:r>
      <w:r w:rsidR="00520E4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333,5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520E4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7235,2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операций с активами – -</w:t>
      </w:r>
      <w:r w:rsidR="00520E4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11468,5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доходы  - </w:t>
      </w:r>
      <w:r w:rsidR="00520E4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12267,4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44174" w:rsidRPr="00583EFF" w:rsidRDefault="0094417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520E4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№ 4 к решению Совета поселения Сухонское   Междуреченского муниципального района от 2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Администрация поселения включена в перечень главных администраторов доходов бюджета поселения с закреплением за ним соответствующих кодов доходов.</w:t>
      </w:r>
    </w:p>
    <w:p w:rsidR="00644A5B" w:rsidRPr="00583EFF" w:rsidRDefault="000C6770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</w:t>
      </w:r>
      <w:hyperlink r:id="rId10" w:history="1">
        <w:r w:rsidR="00644A5B" w:rsidRPr="00583E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0503117)</w:t>
        </w:r>
      </w:hyperlink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Администрацией поселения за 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10340,3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98,6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10483,3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в том числе: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доходы физических лиц  в сумме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682,3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18,1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физических лиц в сумме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1226,2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37,9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налог в сумме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858,7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3,5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сдачи в аренду имущества, находящегося в оперативном управлении органов управления поселения (за исключением имущества муниципальных бюджетных и автономных учреждений) - в сумме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333,5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38,9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реализации иного имущества, находящегося в собственности поселения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основных средств по указанному имуществу – в сумме 4,4  тыс. рублей (что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уровню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 в сумме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7235,2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4,2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выше, чем в 201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году).</w:t>
      </w:r>
    </w:p>
    <w:p w:rsidR="00A03C7E" w:rsidRPr="00583EFF" w:rsidRDefault="00644A5B" w:rsidP="00A03C7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поселения Сухонское  от 2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изменений (далее по тексту – Решение о бюджете поселения на 201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Администрации  поселения утверждены бюджетные ассигнования  в сумме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11580,7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A03C7E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показателям ф.0503117 и на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28,9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 первоначально утверждённых показателей (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9199,0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Плановые показатели сводной бюджетной росписи утверждены в сумме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11580,7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A03C7E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3C7E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Однако в разрезе разделов и подразделов имеется несоответствие, так по разделу «Общегосударственные вопросы»    подразделу «</w:t>
      </w:r>
      <w:r w:rsidR="00A03C7E" w:rsidRPr="00583EFF">
        <w:rPr>
          <w:rFonts w:ascii="Times New Roman" w:eastAsia="Calibri" w:hAnsi="Times New Roman" w:cs="Times New Roman"/>
          <w:i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 в ф. 05031</w:t>
      </w:r>
      <w:r w:rsidR="00415B9E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7 сумма бюджетных назначений меньше </w:t>
      </w:r>
      <w:r w:rsidR="00E34C01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на 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>30,0 тыс. рублей</w:t>
      </w:r>
      <w:r w:rsidR="00DA6164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,  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по разделу «Жилищно-коммунальное хозяйство» подразделу «Благоустройство» в ф.0503117</w:t>
      </w:r>
      <w:r w:rsidR="00DA6164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сумма бюджетных назначений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 больше на 30,0 тыс. рублей, что не соответствует   решению  бюджете поселения на 2017 год.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03C" w:rsidRPr="00583EFF" w:rsidRDefault="008E603C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Default="008E603C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B333A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показателей Администрацией  поселения по расходам характеризуется данными, представленными в таблице. </w:t>
      </w: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№1.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(тыс. рублей)</w:t>
      </w:r>
    </w:p>
    <w:tbl>
      <w:tblPr>
        <w:tblStyle w:val="10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644A5B" w:rsidRPr="00583EFF" w:rsidRDefault="007D611C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731,3</w:t>
            </w:r>
          </w:p>
        </w:tc>
        <w:tc>
          <w:tcPr>
            <w:tcW w:w="1276" w:type="dxa"/>
            <w:vAlign w:val="bottom"/>
          </w:tcPr>
          <w:p w:rsidR="00644A5B" w:rsidRPr="00583EFF" w:rsidRDefault="007D611C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697,1</w:t>
            </w:r>
          </w:p>
        </w:tc>
        <w:tc>
          <w:tcPr>
            <w:tcW w:w="1134" w:type="dxa"/>
            <w:vAlign w:val="bottom"/>
          </w:tcPr>
          <w:p w:rsidR="00644A5B" w:rsidRPr="00583EFF" w:rsidRDefault="007D611C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95,3</w:t>
            </w:r>
          </w:p>
        </w:tc>
        <w:tc>
          <w:tcPr>
            <w:tcW w:w="1001" w:type="dxa"/>
            <w:vAlign w:val="bottom"/>
          </w:tcPr>
          <w:p w:rsidR="00644A5B" w:rsidRPr="00583EFF" w:rsidRDefault="007D611C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</w:t>
            </w:r>
            <w:r w:rsidR="00A03C7E"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644A5B" w:rsidRPr="00583EFF" w:rsidRDefault="00A03C7E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3611,9</w:t>
            </w:r>
          </w:p>
        </w:tc>
        <w:tc>
          <w:tcPr>
            <w:tcW w:w="1276" w:type="dxa"/>
            <w:vAlign w:val="bottom"/>
          </w:tcPr>
          <w:p w:rsidR="00644A5B" w:rsidRPr="00583EFF" w:rsidRDefault="007D611C" w:rsidP="00121D8A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3375,</w:t>
            </w:r>
            <w:r w:rsidR="00121D8A"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7D611C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94,2</w:t>
            </w:r>
          </w:p>
        </w:tc>
        <w:tc>
          <w:tcPr>
            <w:tcW w:w="1001" w:type="dxa"/>
            <w:vAlign w:val="bottom"/>
          </w:tcPr>
          <w:p w:rsidR="00644A5B" w:rsidRPr="00583EFF" w:rsidRDefault="007D611C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</w:tr>
      <w:tr w:rsidR="00121D8A" w:rsidRPr="00583EFF" w:rsidTr="00583EFF">
        <w:tc>
          <w:tcPr>
            <w:tcW w:w="3652" w:type="dxa"/>
          </w:tcPr>
          <w:p w:rsidR="00121D8A" w:rsidRPr="00583EFF" w:rsidRDefault="00121D8A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проведения выборов и референдумов </w:t>
            </w:r>
          </w:p>
        </w:tc>
        <w:tc>
          <w:tcPr>
            <w:tcW w:w="1134" w:type="dxa"/>
            <w:vAlign w:val="bottom"/>
          </w:tcPr>
          <w:p w:rsidR="00121D8A" w:rsidRPr="00583EFF" w:rsidRDefault="00121D8A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0107</w:t>
            </w:r>
          </w:p>
        </w:tc>
        <w:tc>
          <w:tcPr>
            <w:tcW w:w="1276" w:type="dxa"/>
            <w:vAlign w:val="bottom"/>
          </w:tcPr>
          <w:p w:rsidR="00121D8A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306,0</w:t>
            </w:r>
          </w:p>
        </w:tc>
        <w:tc>
          <w:tcPr>
            <w:tcW w:w="1276" w:type="dxa"/>
            <w:vAlign w:val="bottom"/>
          </w:tcPr>
          <w:p w:rsidR="00121D8A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1D8A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21D8A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="00A03C7E"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01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</w:t>
            </w:r>
            <w:r w:rsidR="00A03C7E"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001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199,9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197,0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83,5</w:t>
            </w:r>
          </w:p>
        </w:tc>
        <w:tc>
          <w:tcPr>
            <w:tcW w:w="1001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151,2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644A5B" w:rsidRPr="00583EFF" w:rsidRDefault="00A03C7E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2183,6</w:t>
            </w:r>
          </w:p>
        </w:tc>
        <w:tc>
          <w:tcPr>
            <w:tcW w:w="1276" w:type="dxa"/>
            <w:vAlign w:val="bottom"/>
          </w:tcPr>
          <w:p w:rsidR="00644A5B" w:rsidRPr="00583EFF" w:rsidRDefault="00121D8A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1951,</w:t>
            </w:r>
            <w:r w:rsidR="00A03C7E"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88,1</w:t>
            </w:r>
          </w:p>
        </w:tc>
        <w:tc>
          <w:tcPr>
            <w:tcW w:w="1001" w:type="dxa"/>
            <w:vAlign w:val="bottom"/>
          </w:tcPr>
          <w:p w:rsidR="00644A5B" w:rsidRPr="00583EFF" w:rsidRDefault="00121D8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17,7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3748,7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34,1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104,4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1001" w:type="dxa"/>
            <w:vAlign w:val="bottom"/>
          </w:tcPr>
          <w:p w:rsidR="00644A5B" w:rsidRPr="00583EFF" w:rsidRDefault="00A03C7E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11580,7</w:t>
            </w:r>
          </w:p>
        </w:tc>
        <w:tc>
          <w:tcPr>
            <w:tcW w:w="1276" w:type="dxa"/>
            <w:vAlign w:val="bottom"/>
          </w:tcPr>
          <w:p w:rsidR="00644A5B" w:rsidRPr="00583EFF" w:rsidRDefault="00A03C7E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10993,6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A03C7E" w:rsidP="00644A5B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94,9</w:t>
            </w:r>
          </w:p>
        </w:tc>
        <w:tc>
          <w:tcPr>
            <w:tcW w:w="1001" w:type="dxa"/>
            <w:vAlign w:val="bottom"/>
          </w:tcPr>
          <w:p w:rsidR="00644A5B" w:rsidRPr="00583EFF" w:rsidRDefault="00A03C7E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DA616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1F6AD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1F6AD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10993,6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1F6AD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94,9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644A5B" w:rsidRPr="00583EFF" w:rsidRDefault="001F6AD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разделу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83EFF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- 34,1%,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Функционирование Правительства Российской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lastRenderedPageBreak/>
        <w:t>Федерации, высших исполнительных органов государственной власти субъектов РФ, местных администраций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30,7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%,  и «Благоустройство » -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17,8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644A5B" w:rsidRPr="00583EFF" w:rsidRDefault="001F6AD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1F6AD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бюджете поселения на 201</w:t>
      </w:r>
      <w:r w:rsidR="00E34C0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утвержденный решением Совета поселения Сухонское  от 2</w:t>
      </w:r>
      <w:r w:rsidR="00E34C0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E34C0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E34C0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138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 бюджете поселения  на 201</w:t>
      </w:r>
      <w:r w:rsidR="00E34C0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E34C0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расходов по муниципальным целевым программам не предусмотрено. </w:t>
      </w:r>
      <w:r w:rsidR="00644A5B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Форма отчетности 0503166 за 201</w:t>
      </w:r>
      <w:r w:rsidR="00415B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  Администрацией поселения не предоставлена.</w:t>
      </w:r>
    </w:p>
    <w:p w:rsidR="00E34C01" w:rsidRDefault="00E34C01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E34C01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1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исполнения бюджета поселения  (ф.0503120), Пояснительной записке, Сведений по дебиторской и кредиторской задолженности (ф. 0503169).</w:t>
      </w:r>
    </w:p>
    <w:p w:rsidR="00644A5B" w:rsidRPr="00583EFF" w:rsidRDefault="00415B9E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644A5B" w:rsidRPr="00583E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BA2232" w:rsidRPr="00583EFF" w:rsidRDefault="00415B9E" w:rsidP="00BA22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2208,6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2571,9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A2232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Дебиторская   задолженность сложилась по следующим видам:  </w:t>
      </w:r>
    </w:p>
    <w:p w:rsidR="00BA2232" w:rsidRPr="00583EFF" w:rsidRDefault="00BA2232" w:rsidP="00BA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- 46,2 тыс. рублей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направлены на авансовые платежи за электроэнергию по уличному освещению поселения,</w:t>
      </w:r>
    </w:p>
    <w:p w:rsidR="00BA2232" w:rsidRPr="00583EFF" w:rsidRDefault="00BA2232" w:rsidP="00BA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- 4,1 тыс. рублей  авансовый платеж по услугам торговли,</w:t>
      </w:r>
    </w:p>
    <w:p w:rsidR="00BA2232" w:rsidRPr="00583EFF" w:rsidRDefault="00BA2232" w:rsidP="00BA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- 2521,6 тыс. рублей  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уклонению от уплаты налогов физически</w:t>
      </w:r>
      <w:r w:rsidR="00325D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юридически</w:t>
      </w:r>
      <w:r w:rsidR="00325D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лиц  по данным МРИ ФНС №1 России по Вологодской области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A2232" w:rsidRPr="00583EFF" w:rsidRDefault="00644A5B" w:rsidP="00BA2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задолженность на 01.01.2017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623,9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726,7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58,3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BA2232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BA2232" w:rsidRPr="00583EFF" w:rsidRDefault="00BA2232" w:rsidP="00BA2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Кредиторская  задолженность сложилась по следующим видам:</w:t>
      </w:r>
    </w:p>
    <w:p w:rsidR="00BA2232" w:rsidRPr="00583EFF" w:rsidRDefault="00BA2232" w:rsidP="00BA2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- 668,4  тыс. рублей задолженность  по налогам по данным МРИ ФНС №1 России по Вологодской области,</w:t>
      </w:r>
    </w:p>
    <w:p w:rsidR="00BA2232" w:rsidRPr="00583EFF" w:rsidRDefault="00BA2232" w:rsidP="00BA2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- 58,3 тыс. рублей по возмещению судебных расходов по уплате государственной  пошлины в пользу ООО «Газпром межрегионгаз Вологда».</w:t>
      </w:r>
    </w:p>
    <w:p w:rsidR="00644A5B" w:rsidRPr="00583EFF" w:rsidRDefault="00BA223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415B9E" w:rsidRPr="00583EFF" w:rsidRDefault="00415B9E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Default="00325DB1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325DB1" w:rsidRPr="00583EFF" w:rsidRDefault="00325DB1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BA223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 проверка бюджетной отчётности главного администратора (распорядителя) средств бюджета поселения Сухонское - Администрации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 за 201</w:t>
      </w:r>
      <w:r w:rsidR="005D5FD3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644A5B" w:rsidRPr="00583EFF" w:rsidRDefault="005D5FD3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 </w:t>
      </w:r>
    </w:p>
    <w:p w:rsidR="00644A5B" w:rsidRPr="00583EFF" w:rsidRDefault="00644A5B" w:rsidP="005D5F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D5FD3" w:rsidRPr="00583EFF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83E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5FD3" w:rsidRPr="00583E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3EFF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583EFF">
        <w:rPr>
          <w:rFonts w:ascii="Times New Roman" w:hAnsi="Times New Roman" w:cs="Times New Roman"/>
          <w:sz w:val="26"/>
          <w:szCs w:val="26"/>
        </w:rPr>
        <w:t>В нарушение п.11.2 Инструкции 191н не предоставлен</w:t>
      </w:r>
      <w:r w:rsidR="005D5FD3" w:rsidRPr="00583EFF">
        <w:rPr>
          <w:rFonts w:ascii="Times New Roman" w:hAnsi="Times New Roman" w:cs="Times New Roman"/>
          <w:sz w:val="26"/>
          <w:szCs w:val="26"/>
        </w:rPr>
        <w:t>а</w:t>
      </w:r>
      <w:r w:rsidRPr="00583EFF">
        <w:rPr>
          <w:rFonts w:ascii="Times New Roman" w:hAnsi="Times New Roman" w:cs="Times New Roman"/>
          <w:sz w:val="26"/>
          <w:szCs w:val="26"/>
        </w:rPr>
        <w:t xml:space="preserve"> </w:t>
      </w:r>
      <w:r w:rsidR="005D5FD3" w:rsidRPr="00583EFF">
        <w:rPr>
          <w:rFonts w:ascii="Times New Roman" w:hAnsi="Times New Roman" w:cs="Times New Roman"/>
          <w:sz w:val="26"/>
          <w:szCs w:val="26"/>
        </w:rPr>
        <w:t>форма бюджетной отчетности,</w:t>
      </w:r>
      <w:r w:rsidRPr="00583EFF">
        <w:rPr>
          <w:rFonts w:ascii="Times New Roman" w:hAnsi="Times New Roman" w:cs="Times New Roman"/>
          <w:sz w:val="26"/>
          <w:szCs w:val="26"/>
        </w:rPr>
        <w:t xml:space="preserve"> сведения об исполнении мероприятий в рамках целевых программ</w:t>
      </w:r>
      <w:r w:rsidR="005D5FD3" w:rsidRPr="00583EFF">
        <w:rPr>
          <w:rFonts w:ascii="Times New Roman" w:hAnsi="Times New Roman" w:cs="Times New Roman"/>
          <w:sz w:val="26"/>
          <w:szCs w:val="26"/>
        </w:rPr>
        <w:t xml:space="preserve">  </w:t>
      </w:r>
      <w:r w:rsidRPr="00583EFF">
        <w:rPr>
          <w:rFonts w:ascii="Times New Roman" w:hAnsi="Times New Roman" w:cs="Times New Roman"/>
          <w:sz w:val="26"/>
          <w:szCs w:val="26"/>
        </w:rPr>
        <w:t xml:space="preserve">  </w:t>
      </w:r>
      <w:r w:rsidR="005D5FD3" w:rsidRPr="00583EFF">
        <w:rPr>
          <w:rFonts w:ascii="Times New Roman" w:hAnsi="Times New Roman" w:cs="Times New Roman"/>
          <w:sz w:val="26"/>
          <w:szCs w:val="26"/>
        </w:rPr>
        <w:t>(0503166).</w:t>
      </w:r>
    </w:p>
    <w:p w:rsidR="005D5FD3" w:rsidRPr="00415B9E" w:rsidRDefault="005D5FD3" w:rsidP="00415B9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A17">
        <w:rPr>
          <w:rFonts w:ascii="Times New Roman" w:eastAsia="Calibri" w:hAnsi="Times New Roman" w:cs="Times New Roman"/>
          <w:sz w:val="26"/>
          <w:szCs w:val="26"/>
        </w:rPr>
        <w:t xml:space="preserve">Сведения  об изменениях бюджетной росписи главного распорядителя бюджетных средств, отраженные в форме  0503163, не достоверны, 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и имеют расхождения </w:t>
      </w:r>
      <w:r w:rsidRPr="001D1A17">
        <w:rPr>
          <w:rFonts w:ascii="Times New Roman" w:eastAsia="Calibri" w:hAnsi="Times New Roman" w:cs="Times New Roman"/>
          <w:sz w:val="26"/>
          <w:szCs w:val="26"/>
        </w:rPr>
        <w:t>по подраздел</w:t>
      </w:r>
      <w:r w:rsidRPr="00583EFF">
        <w:rPr>
          <w:rFonts w:ascii="Times New Roman" w:eastAsia="Calibri" w:hAnsi="Times New Roman" w:cs="Times New Roman"/>
          <w:sz w:val="26"/>
          <w:szCs w:val="26"/>
        </w:rPr>
        <w:t>ам</w:t>
      </w:r>
      <w:r w:rsidRPr="001D1A17">
        <w:rPr>
          <w:rFonts w:ascii="Times New Roman" w:eastAsia="Calibri" w:hAnsi="Times New Roman" w:cs="Times New Roman"/>
          <w:sz w:val="26"/>
          <w:szCs w:val="26"/>
        </w:rPr>
        <w:t xml:space="preserve"> бюджетной классификации</w:t>
      </w:r>
      <w:r w:rsidRPr="00583EFF">
        <w:rPr>
          <w:rFonts w:ascii="Times New Roman" w:eastAsia="Calibri" w:hAnsi="Times New Roman" w:cs="Times New Roman"/>
          <w:sz w:val="26"/>
          <w:szCs w:val="26"/>
        </w:rPr>
        <w:t>:</w:t>
      </w:r>
      <w:r w:rsidRPr="001D1A17">
        <w:rPr>
          <w:rFonts w:ascii="Times New Roman" w:eastAsia="Calibri" w:hAnsi="Times New Roman" w:cs="Times New Roman"/>
          <w:sz w:val="26"/>
          <w:szCs w:val="26"/>
        </w:rPr>
        <w:t xml:space="preserve"> 01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1A17">
        <w:rPr>
          <w:rFonts w:ascii="Times New Roman" w:eastAsia="Calibri" w:hAnsi="Times New Roman" w:cs="Times New Roman"/>
          <w:sz w:val="26"/>
          <w:szCs w:val="26"/>
        </w:rPr>
        <w:t>04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,  01 11, 04 12, 05 03 как </w:t>
      </w:r>
      <w:r w:rsidR="00415B9E">
        <w:rPr>
          <w:rFonts w:ascii="Times New Roman" w:eastAsia="Calibri" w:hAnsi="Times New Roman" w:cs="Times New Roman"/>
          <w:sz w:val="26"/>
          <w:szCs w:val="26"/>
        </w:rPr>
        <w:t>в</w:t>
      </w:r>
      <w:r w:rsidRPr="001D1A17">
        <w:rPr>
          <w:rFonts w:ascii="Times New Roman" w:eastAsia="Calibri" w:hAnsi="Times New Roman" w:cs="Times New Roman"/>
          <w:sz w:val="26"/>
          <w:szCs w:val="26"/>
        </w:rPr>
        <w:t xml:space="preserve"> первоначальным вариант</w:t>
      </w:r>
      <w:r w:rsidR="00415B9E">
        <w:rPr>
          <w:rFonts w:ascii="Times New Roman" w:eastAsia="Calibri" w:hAnsi="Times New Roman" w:cs="Times New Roman"/>
          <w:sz w:val="26"/>
          <w:szCs w:val="26"/>
        </w:rPr>
        <w:t>е</w:t>
      </w:r>
      <w:r w:rsidRPr="001D1A17">
        <w:rPr>
          <w:rFonts w:ascii="Times New Roman" w:eastAsia="Calibri" w:hAnsi="Times New Roman" w:cs="Times New Roman"/>
          <w:sz w:val="26"/>
          <w:szCs w:val="26"/>
        </w:rPr>
        <w:t xml:space="preserve"> бюджета поселения</w:t>
      </w:r>
      <w:r w:rsidRPr="00583EFF">
        <w:rPr>
          <w:rFonts w:ascii="Times New Roman" w:eastAsia="Calibri" w:hAnsi="Times New Roman" w:cs="Times New Roman"/>
          <w:sz w:val="26"/>
          <w:szCs w:val="26"/>
        </w:rPr>
        <w:t>, так и в</w:t>
      </w:r>
      <w:r w:rsidRPr="001D1A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3EFF">
        <w:rPr>
          <w:rFonts w:ascii="Times New Roman" w:eastAsia="Calibri" w:hAnsi="Times New Roman" w:cs="Times New Roman"/>
          <w:sz w:val="26"/>
          <w:szCs w:val="26"/>
        </w:rPr>
        <w:t>утвержденном бюджете</w:t>
      </w:r>
      <w:r w:rsidR="00415B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5FD3" w:rsidRPr="00583EFF" w:rsidRDefault="005D5FD3" w:rsidP="005D5FD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Результаты проведённых в отчётном периоде мероприятий по внешнему муниципальному финансовому  контролю  должны быть изложены в пояснительной записке в таблице № 7 «Сведения о результатах внешних контрольных мероприятий». Однако данные в таблице №7 отражены не в полном объеме,  в то время как в отчётном периоде проводились следующие мероприятия по внешнему муниципальному финансовому контролю:</w:t>
      </w:r>
    </w:p>
    <w:p w:rsidR="005D5FD3" w:rsidRPr="00583EFF" w:rsidRDefault="005D5FD3" w:rsidP="005D5FD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проекта бюджета поселения  на 2018 год и плановый период 2019-2020 годы;</w:t>
      </w:r>
    </w:p>
    <w:p w:rsidR="005D5FD3" w:rsidRPr="00583EFF" w:rsidRDefault="005D5FD3" w:rsidP="005D5FD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исполнения бюджета поселения  за 2016 год и  1,2,3 квартал 2017 года;</w:t>
      </w:r>
    </w:p>
    <w:p w:rsidR="005D5FD3" w:rsidRPr="00415B9E" w:rsidRDefault="005D5FD3" w:rsidP="00415B9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внесений изменений и дополнений в</w:t>
      </w:r>
      <w:r w:rsidR="0041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поселения на 2017 год. </w:t>
      </w:r>
    </w:p>
    <w:p w:rsidR="005D5FD3" w:rsidRPr="00583EFF" w:rsidRDefault="005D5FD3" w:rsidP="005D5FD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на основании распоряжения от 08.12.2017 года №27  проведена годовая инвентаризация основных средств, материальных запасов, бланков строгой отчетности, имущества казны, расчетов с дебиторами и кредиторами. В результате проведенной инвентаризации нарушений не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инвентаризации». </w:t>
      </w:r>
    </w:p>
    <w:p w:rsidR="00C62775" w:rsidRPr="00583EFF" w:rsidRDefault="005D5FD3" w:rsidP="00325D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58,3 тыс. рублей (раздел 1 ф.0503175). Общая сумма неисполненных денежных обязательств составляет 58,3 тыс. рублей (раздел 2 ф.0503175).  Общая сумма бюджетных обязательств, принятых сверх утвержденных бюджетных назначений (раздел 3 ф. 0503175), составляет 58,3 тыс. рублей, данное  неисполнен</w:t>
      </w:r>
      <w:r w:rsidR="0041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уплате государственной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пошлины в пользу ООО «Газпром межрегионгаз Вологда»   в бюджете поселения предусмотрено на 2017 год, однако пр</w:t>
      </w:r>
      <w:r w:rsidR="00325DB1">
        <w:rPr>
          <w:rFonts w:ascii="Times New Roman" w:eastAsia="Times New Roman" w:hAnsi="Times New Roman" w:cs="Times New Roman"/>
          <w:sz w:val="26"/>
          <w:szCs w:val="26"/>
          <w:lang w:eastAsia="ru-RU"/>
        </w:rPr>
        <w:t>ичина не исполнения не указана.</w:t>
      </w:r>
    </w:p>
    <w:p w:rsidR="00644A5B" w:rsidRPr="00583EFF" w:rsidRDefault="005A6C8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поселения на конец отчетного периода составили  6638,9 тыс. рублей.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Общий объем доходов, полученные Администрацией поселения за 201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10340,3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98,6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10483,3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Плановые показатели сводной бюджетной росписи утверждены в сумме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11580,7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исполнено бюджетных ассигнований в сумме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10993,6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94,9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утвержденных плановых назначений.</w:t>
      </w:r>
    </w:p>
    <w:p w:rsidR="00C62775" w:rsidRPr="00583EFF" w:rsidRDefault="00C62775" w:rsidP="00436D1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2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разрезе разделов и подразделов имеется несоответствие, </w:t>
      </w:r>
      <w:r w:rsidR="0032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по разделу «Общегосударственные вопросы»    подразделу «</w:t>
      </w:r>
      <w:r w:rsidRPr="00583EFF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  в ф. 0503177 сумма бюджетных назначений меньше  на 30,0 тыс. рублей,   по разделу «Жилищно-коммунальное хозяйство» подразделу «Благоустройство» в ф.0503117 сумма бюджетных назначений  больше на 30,0 тыс. рублей, что не соответствует   решению  бюджете поселения на 2017 год.</w:t>
      </w:r>
    </w:p>
    <w:p w:rsidR="00C62775" w:rsidRPr="00583EFF" w:rsidRDefault="00C62775" w:rsidP="00C627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2571,9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рублей. 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Дебиторская   задолженность сложилась по следующим видам: 46,2 тыс. рублей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направлены на авансовые платежи за электроэнергию по уличному освещению поселения,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4,1 тыс. рублей  авансовый платеж по услугам торговли, 2521,6 тыс. рублей  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уклонению от уплаты налогов физически</w:t>
      </w:r>
      <w:r w:rsidR="00325D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юридически</w:t>
      </w:r>
      <w:r w:rsidR="00325D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лиц  по данным МРИ ФНС №1 России по Вологодской области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2775" w:rsidRPr="00583EFF" w:rsidRDefault="00644A5B" w:rsidP="00C627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Объем кредиторской  задолженности  на 01.01.201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623,9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на 01.01.201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726,7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Просроченная  задолженность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составила 58,3 тыс. рублей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2775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Кредиторская  задолженность сложилась по следующим видам: 668,4  тыс. рублей задолженность  по налогам по данным МРИ ФНС №1 России по Вологодской области, 58,3 тыс. рублей по возмещению судебных расходов по уплате государственной  пошлины в пользу ООО «Газпром межрегионгаз Вологда».</w:t>
      </w:r>
    </w:p>
    <w:p w:rsidR="00644A5B" w:rsidRPr="00583EFF" w:rsidRDefault="00C62775" w:rsidP="00C627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в ходе проверки нарушения и недостатки в целом не повлияли на достоверность бюджетной отчётности Администрации поселения Сухонское.</w:t>
      </w: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666B" w:rsidRPr="00583EFF" w:rsidRDefault="008F666B" w:rsidP="00644A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>Старший и</w:t>
      </w:r>
      <w:r w:rsidR="00644A5B" w:rsidRPr="00583EFF">
        <w:rPr>
          <w:rFonts w:ascii="Times New Roman" w:hAnsi="Times New Roman" w:cs="Times New Roman"/>
          <w:sz w:val="26"/>
          <w:szCs w:val="26"/>
        </w:rPr>
        <w:t>нспектор</w:t>
      </w:r>
    </w:p>
    <w:p w:rsidR="00644A5B" w:rsidRPr="00583EFF" w:rsidRDefault="00644A5B" w:rsidP="00644A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</w:t>
      </w:r>
      <w:r w:rsidR="008F666B" w:rsidRPr="00583E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83EFF">
        <w:rPr>
          <w:rFonts w:ascii="Times New Roman" w:hAnsi="Times New Roman" w:cs="Times New Roman"/>
          <w:sz w:val="26"/>
          <w:szCs w:val="26"/>
        </w:rPr>
        <w:t xml:space="preserve">             М.И. Шестакова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436D12">
        <w:rPr>
          <w:rFonts w:ascii="Times New Roman" w:hAnsi="Times New Roman" w:cs="Times New Roman"/>
          <w:sz w:val="26"/>
          <w:szCs w:val="26"/>
        </w:rPr>
        <w:t>8</w:t>
      </w:r>
      <w:r w:rsidRPr="00583EFF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Глава поселения Сухонское                                                             </w:t>
      </w:r>
      <w:r w:rsidR="008F666B" w:rsidRPr="00583EFF">
        <w:rPr>
          <w:rFonts w:ascii="Times New Roman" w:hAnsi="Times New Roman" w:cs="Times New Roman"/>
          <w:sz w:val="26"/>
          <w:szCs w:val="26"/>
        </w:rPr>
        <w:t>Е.П. Пальникова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Зам. начальника ФЭО       </w:t>
      </w:r>
      <w:r w:rsidR="00436D12">
        <w:rPr>
          <w:rFonts w:ascii="Times New Roman" w:hAnsi="Times New Roman" w:cs="Times New Roman"/>
          <w:sz w:val="26"/>
          <w:szCs w:val="26"/>
        </w:rPr>
        <w:t xml:space="preserve"> </w:t>
      </w:r>
      <w:r w:rsidRPr="00583E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Н.Г. Коробова                     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AD1220" w:rsidRPr="00583EFF" w:rsidRDefault="00AD1220">
      <w:pPr>
        <w:rPr>
          <w:sz w:val="26"/>
          <w:szCs w:val="26"/>
        </w:rPr>
      </w:pPr>
    </w:p>
    <w:sectPr w:rsidR="00AD1220" w:rsidRPr="00583EF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EE" w:rsidRDefault="00FA35EE">
      <w:pPr>
        <w:spacing w:after="0" w:line="240" w:lineRule="auto"/>
      </w:pPr>
      <w:r>
        <w:separator/>
      </w:r>
    </w:p>
  </w:endnote>
  <w:endnote w:type="continuationSeparator" w:id="0">
    <w:p w:rsidR="00FA35EE" w:rsidRDefault="00FA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EE" w:rsidRDefault="00FA35EE">
      <w:pPr>
        <w:spacing w:after="0" w:line="240" w:lineRule="auto"/>
      </w:pPr>
      <w:r>
        <w:separator/>
      </w:r>
    </w:p>
  </w:footnote>
  <w:footnote w:type="continuationSeparator" w:id="0">
    <w:p w:rsidR="00FA35EE" w:rsidRDefault="00FA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583EFF" w:rsidRDefault="00583E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A77">
          <w:rPr>
            <w:noProof/>
          </w:rPr>
          <w:t>1</w:t>
        </w:r>
        <w:r>
          <w:fldChar w:fldCharType="end"/>
        </w:r>
      </w:p>
    </w:sdtContent>
  </w:sdt>
  <w:p w:rsidR="00583EFF" w:rsidRDefault="00583E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9E"/>
    <w:rsid w:val="000C6770"/>
    <w:rsid w:val="000D5A9E"/>
    <w:rsid w:val="000F7635"/>
    <w:rsid w:val="00103942"/>
    <w:rsid w:val="00121D8A"/>
    <w:rsid w:val="001336EF"/>
    <w:rsid w:val="00147D3E"/>
    <w:rsid w:val="001D1A17"/>
    <w:rsid w:val="001F6AD4"/>
    <w:rsid w:val="002740BA"/>
    <w:rsid w:val="00325DB1"/>
    <w:rsid w:val="00384F94"/>
    <w:rsid w:val="003C3757"/>
    <w:rsid w:val="00415B9E"/>
    <w:rsid w:val="00436D12"/>
    <w:rsid w:val="004E7DE8"/>
    <w:rsid w:val="00520E49"/>
    <w:rsid w:val="00547A77"/>
    <w:rsid w:val="0055524B"/>
    <w:rsid w:val="00576F3D"/>
    <w:rsid w:val="00583EFF"/>
    <w:rsid w:val="00593530"/>
    <w:rsid w:val="005A6C89"/>
    <w:rsid w:val="005D5FD3"/>
    <w:rsid w:val="00644A5B"/>
    <w:rsid w:val="006B042F"/>
    <w:rsid w:val="007208A9"/>
    <w:rsid w:val="00790F7F"/>
    <w:rsid w:val="007D611C"/>
    <w:rsid w:val="008407BD"/>
    <w:rsid w:val="008D31F5"/>
    <w:rsid w:val="008E603C"/>
    <w:rsid w:val="008F666B"/>
    <w:rsid w:val="00944174"/>
    <w:rsid w:val="00A03C7E"/>
    <w:rsid w:val="00A46A68"/>
    <w:rsid w:val="00AA179C"/>
    <w:rsid w:val="00AA72B9"/>
    <w:rsid w:val="00AD1220"/>
    <w:rsid w:val="00B3018E"/>
    <w:rsid w:val="00B333A4"/>
    <w:rsid w:val="00B334E7"/>
    <w:rsid w:val="00B8239F"/>
    <w:rsid w:val="00BA2232"/>
    <w:rsid w:val="00BE4E73"/>
    <w:rsid w:val="00BF6812"/>
    <w:rsid w:val="00C62775"/>
    <w:rsid w:val="00CE5954"/>
    <w:rsid w:val="00CF2759"/>
    <w:rsid w:val="00D60937"/>
    <w:rsid w:val="00DA6164"/>
    <w:rsid w:val="00DC34A8"/>
    <w:rsid w:val="00E34C01"/>
    <w:rsid w:val="00E74A15"/>
    <w:rsid w:val="00E74A69"/>
    <w:rsid w:val="00E9355D"/>
    <w:rsid w:val="00F916E1"/>
    <w:rsid w:val="00F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4A5B"/>
  </w:style>
  <w:style w:type="table" w:customStyle="1" w:styleId="10">
    <w:name w:val="Сетка таблицы1"/>
    <w:basedOn w:val="a1"/>
    <w:next w:val="a3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A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4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4A5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4A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4A5B"/>
  </w:style>
  <w:style w:type="table" w:customStyle="1" w:styleId="10">
    <w:name w:val="Сетка таблицы1"/>
    <w:basedOn w:val="a1"/>
    <w:next w:val="a3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A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4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4A5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4A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933C0E60C720476B8A3B1395102E16A6F9C99041EBA3D7CB8A1C819E941ECBF53A6C32A1D56B7CZ61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7BBE90C0718F51B9B18E2DD81EFD3231667E03E6B6BBACF616E61F434866255BAA030F913343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A58D-04B1-4802-9E58-3DCDB7CF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2018-04-06T06:18:00Z</cp:lastPrinted>
  <dcterms:created xsi:type="dcterms:W3CDTF">2018-04-25T11:57:00Z</dcterms:created>
  <dcterms:modified xsi:type="dcterms:W3CDTF">2018-04-25T11:57:00Z</dcterms:modified>
</cp:coreProperties>
</file>