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32035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A2A4574" wp14:editId="72B7500D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03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32035" w:rsidRPr="00032035" w:rsidRDefault="00032035" w:rsidP="00032035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0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32035" w:rsidRPr="00032035" w:rsidRDefault="00032035" w:rsidP="00032035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0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032035" w:rsidRPr="00032035" w:rsidRDefault="00032035" w:rsidP="00032035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____________________О.А.Дудина 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Туровецкое</w:t>
      </w: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201</w:t>
      </w:r>
      <w:r w:rsidR="003E14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32035" w:rsidRPr="00901F83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901F83" w:rsidRDefault="00032035" w:rsidP="000320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10E6" w:rsidRPr="00901F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1F83" w:rsidRPr="00901F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0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1010E6" w:rsidRPr="00901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0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3E1443" w:rsidRPr="00901F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0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18 раздела «Экспертно-аналитические мероприятия»  Плана работы  ревизионной комиссии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020A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9 месяцев 201</w:t>
      </w:r>
      <w:r w:rsidR="003E14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Отчет об исполнении бюджета поселения за 9 месяцев 201</w:t>
      </w:r>
      <w:r w:rsidR="003E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утвержден постановлением администрации  поселения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Туровецкое от </w:t>
      </w:r>
      <w:r w:rsidR="003E144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 201</w:t>
      </w:r>
      <w:r w:rsidR="003E14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E144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сопоставление исполненных показателей бюджета поселения  за 9 месяцев  201</w:t>
      </w:r>
      <w:r w:rsidR="003E14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выявление возможных несоответствий (нарушений) и подготовка предложений, направленных на их устранение.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 201</w:t>
      </w:r>
      <w:r w:rsidR="003E14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поселения.</w:t>
      </w: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   201</w:t>
      </w:r>
      <w:r w:rsidR="00EC57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Туровецкое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1010E6" w:rsidRPr="001010E6" w:rsidRDefault="00614457" w:rsidP="00101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010E6" w:rsidRPr="0010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решение «О бюджете поселения на 2018 год и плановый период 2019 и 2020 годов» </w:t>
      </w:r>
      <w:r w:rsidR="004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1010E6" w:rsidRPr="0010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вносились 2 раза решениями от 19.04.2018 года №26 и от 29.06.2018 года №32.</w:t>
      </w:r>
    </w:p>
    <w:p w:rsidR="001010E6" w:rsidRPr="001010E6" w:rsidRDefault="001010E6" w:rsidP="00101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Первоначальный бюджет поселения на 2018 год утвержден  решением Совета поселения Туровецкое от 18 декабря 2017 года № 20 со  следующими параметрами:</w:t>
      </w:r>
    </w:p>
    <w:p w:rsidR="001010E6" w:rsidRPr="001010E6" w:rsidRDefault="001010E6" w:rsidP="00101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доходов бюджета поселения – 3669,8 тыс. рублей;</w:t>
      </w:r>
    </w:p>
    <w:p w:rsidR="001010E6" w:rsidRPr="001010E6" w:rsidRDefault="001010E6" w:rsidP="00101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 – 3669,8 тыс. рублей;</w:t>
      </w:r>
    </w:p>
    <w:p w:rsidR="001010E6" w:rsidRPr="001010E6" w:rsidRDefault="001010E6" w:rsidP="001010E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поселения - принят без дефицита.</w:t>
      </w:r>
    </w:p>
    <w:p w:rsidR="001010E6" w:rsidRPr="001010E6" w:rsidRDefault="001010E6" w:rsidP="001010E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Туровецкое  имеет следующие параметры:</w:t>
      </w:r>
    </w:p>
    <w:p w:rsidR="001010E6" w:rsidRPr="001010E6" w:rsidRDefault="001010E6" w:rsidP="00101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E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10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доходов бюджета поселения – 4785,2 тыс. рублей;</w:t>
      </w:r>
    </w:p>
    <w:p w:rsidR="001010E6" w:rsidRPr="001010E6" w:rsidRDefault="001010E6" w:rsidP="00101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  - 4810,2 тыс. рублей;</w:t>
      </w:r>
    </w:p>
    <w:p w:rsidR="001010E6" w:rsidRPr="001010E6" w:rsidRDefault="001010E6" w:rsidP="00101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дефицит  бюджета поселения составил  25,0  тыс. рублей.</w:t>
      </w:r>
    </w:p>
    <w:p w:rsidR="001010E6" w:rsidRPr="001010E6" w:rsidRDefault="001010E6" w:rsidP="00101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 данным отчета об исполнении бюджета доходы составили </w:t>
      </w:r>
      <w:r w:rsidR="0061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2830,2</w:t>
      </w:r>
      <w:r w:rsidRPr="0010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61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59,1</w:t>
      </w:r>
      <w:r w:rsidRPr="0010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утвержденным годовым назначениям в сумме 4785,2  тыс. рублей, расходы – </w:t>
      </w:r>
      <w:r w:rsidR="0061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2833,2</w:t>
      </w:r>
      <w:r w:rsidRPr="0010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61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58,9</w:t>
      </w:r>
      <w:r w:rsidRPr="0010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годовым назначениям в сумме 4810,2 тыс. рублей, </w:t>
      </w:r>
      <w:r w:rsidR="0061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</w:t>
      </w:r>
      <w:r w:rsidRPr="0010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 </w:t>
      </w:r>
      <w:r w:rsidR="0061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3,0</w:t>
      </w:r>
      <w:r w:rsidRPr="0010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614457" w:rsidRPr="0061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1,1 %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10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0E6" w:rsidRPr="001010E6" w:rsidRDefault="001010E6" w:rsidP="00101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за 9 месяцев  2017 года в сравнении с аналогичным периодом 2016 года характеризуется следующими данными.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203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032035">
        <w:rPr>
          <w:rFonts w:ascii="Times New Roman" w:eastAsia="Times New Roman" w:hAnsi="Times New Roman" w:cs="Times New Roman"/>
          <w:lang w:eastAsia="ru-RU"/>
        </w:rPr>
        <w:t>тыс. руб.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248"/>
        <w:gridCol w:w="1238"/>
        <w:gridCol w:w="1248"/>
        <w:gridCol w:w="1241"/>
        <w:gridCol w:w="1407"/>
        <w:gridCol w:w="1405"/>
      </w:tblGrid>
      <w:tr w:rsidR="00032035" w:rsidRPr="00032035" w:rsidTr="002C53CC">
        <w:trPr>
          <w:trHeight w:val="2158"/>
        </w:trPr>
        <w:tc>
          <w:tcPr>
            <w:tcW w:w="1784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248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</w:t>
            </w:r>
          </w:p>
          <w:p w:rsidR="00032035" w:rsidRPr="00032035" w:rsidRDefault="00032035" w:rsidP="002C5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 9 месяцев  201</w:t>
            </w:r>
            <w:r w:rsidR="002C5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38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C5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032035" w:rsidRPr="00032035" w:rsidRDefault="00032035" w:rsidP="002C5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C5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41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ис-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07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откло-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9 месцев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20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месцев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20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9 месяцев 201</w:t>
            </w:r>
            <w:r w:rsidR="00020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035" w:rsidRPr="00032035" w:rsidTr="002C53CC">
        <w:trPr>
          <w:trHeight w:val="261"/>
        </w:trPr>
        <w:tc>
          <w:tcPr>
            <w:tcW w:w="1784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8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5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C53CC" w:rsidRPr="00032035" w:rsidTr="002C53CC">
        <w:tc>
          <w:tcPr>
            <w:tcW w:w="1784" w:type="dxa"/>
          </w:tcPr>
          <w:p w:rsidR="002C53CC" w:rsidRPr="00032035" w:rsidRDefault="002C53CC" w:rsidP="0003203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48" w:type="dxa"/>
          </w:tcPr>
          <w:p w:rsidR="002C53CC" w:rsidRPr="00032035" w:rsidRDefault="002C53CC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3361,9</w:t>
            </w:r>
          </w:p>
        </w:tc>
        <w:tc>
          <w:tcPr>
            <w:tcW w:w="1238" w:type="dxa"/>
          </w:tcPr>
          <w:p w:rsidR="002C53CC" w:rsidRPr="00032035" w:rsidRDefault="002C53CC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4785,2</w:t>
            </w:r>
          </w:p>
        </w:tc>
        <w:tc>
          <w:tcPr>
            <w:tcW w:w="1248" w:type="dxa"/>
          </w:tcPr>
          <w:p w:rsidR="002C53CC" w:rsidRPr="00032035" w:rsidRDefault="006E573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2830,2</w:t>
            </w:r>
          </w:p>
        </w:tc>
        <w:tc>
          <w:tcPr>
            <w:tcW w:w="1241" w:type="dxa"/>
          </w:tcPr>
          <w:p w:rsidR="002C53CC" w:rsidRPr="00032035" w:rsidRDefault="006E573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07" w:type="dxa"/>
          </w:tcPr>
          <w:p w:rsidR="002C53CC" w:rsidRPr="00032035" w:rsidRDefault="006E573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-531,7</w:t>
            </w:r>
          </w:p>
        </w:tc>
        <w:tc>
          <w:tcPr>
            <w:tcW w:w="1405" w:type="dxa"/>
          </w:tcPr>
          <w:p w:rsidR="002C53CC" w:rsidRPr="00032035" w:rsidRDefault="006E573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2C53CC" w:rsidRPr="00032035" w:rsidTr="002C53CC">
        <w:tc>
          <w:tcPr>
            <w:tcW w:w="1784" w:type="dxa"/>
          </w:tcPr>
          <w:p w:rsidR="002C53CC" w:rsidRPr="00032035" w:rsidRDefault="002C53CC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48" w:type="dxa"/>
          </w:tcPr>
          <w:p w:rsidR="002C53CC" w:rsidRPr="00032035" w:rsidRDefault="002C53CC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3376,5</w:t>
            </w:r>
          </w:p>
        </w:tc>
        <w:tc>
          <w:tcPr>
            <w:tcW w:w="1238" w:type="dxa"/>
          </w:tcPr>
          <w:p w:rsidR="002C53CC" w:rsidRPr="00032035" w:rsidRDefault="002C53CC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4810,2</w:t>
            </w:r>
          </w:p>
        </w:tc>
        <w:tc>
          <w:tcPr>
            <w:tcW w:w="1248" w:type="dxa"/>
          </w:tcPr>
          <w:p w:rsidR="002C53CC" w:rsidRPr="00032035" w:rsidRDefault="006E573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2833,2</w:t>
            </w:r>
          </w:p>
        </w:tc>
        <w:tc>
          <w:tcPr>
            <w:tcW w:w="1241" w:type="dxa"/>
          </w:tcPr>
          <w:p w:rsidR="002C53CC" w:rsidRPr="00032035" w:rsidRDefault="006E573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07" w:type="dxa"/>
          </w:tcPr>
          <w:p w:rsidR="002C53CC" w:rsidRPr="00032035" w:rsidRDefault="006E573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-543,3</w:t>
            </w:r>
          </w:p>
        </w:tc>
        <w:tc>
          <w:tcPr>
            <w:tcW w:w="1405" w:type="dxa"/>
          </w:tcPr>
          <w:p w:rsidR="002C53CC" w:rsidRPr="00032035" w:rsidRDefault="006E573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2C53CC" w:rsidRPr="00032035" w:rsidTr="002C53CC">
        <w:tc>
          <w:tcPr>
            <w:tcW w:w="1784" w:type="dxa"/>
          </w:tcPr>
          <w:p w:rsidR="002C53CC" w:rsidRPr="00032035" w:rsidRDefault="002C53CC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</w:t>
            </w:r>
          </w:p>
          <w:p w:rsidR="002C53CC" w:rsidRPr="00032035" w:rsidRDefault="002C53CC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248" w:type="dxa"/>
          </w:tcPr>
          <w:p w:rsidR="002C53CC" w:rsidRPr="00032035" w:rsidRDefault="002C53CC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-14,6</w:t>
            </w:r>
          </w:p>
        </w:tc>
        <w:tc>
          <w:tcPr>
            <w:tcW w:w="1238" w:type="dxa"/>
          </w:tcPr>
          <w:p w:rsidR="002C53CC" w:rsidRPr="00032035" w:rsidRDefault="002C53CC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</w:t>
            </w:r>
          </w:p>
        </w:tc>
        <w:tc>
          <w:tcPr>
            <w:tcW w:w="1248" w:type="dxa"/>
          </w:tcPr>
          <w:p w:rsidR="002C53CC" w:rsidRPr="00032035" w:rsidRDefault="002C53CC" w:rsidP="006E57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5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</w:tcPr>
          <w:p w:rsidR="002C53CC" w:rsidRPr="00032035" w:rsidRDefault="002C53CC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7" w:type="dxa"/>
          </w:tcPr>
          <w:p w:rsidR="002C53CC" w:rsidRPr="00032035" w:rsidRDefault="006E573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405" w:type="dxa"/>
          </w:tcPr>
          <w:p w:rsidR="002C53CC" w:rsidRPr="00032035" w:rsidRDefault="002C53CC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36" w:rsidRPr="006E5736" w:rsidRDefault="00032035" w:rsidP="006E57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сравнению с 9 месяцами 201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бюджета поселения снизились на 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531,7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15,8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расходы 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уменьшились на 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543,3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на  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16,1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Бюджет поселения за 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месяцев 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исполнен с 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дефицитом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сумме  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3,0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за аналогичный период 2017 года бюджет исполнен также 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дефицитом 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14,6</w:t>
      </w:r>
      <w:r w:rsidR="006E5736" w:rsidRPr="006E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Исполнение бюджета поселения по доходам за </w:t>
      </w:r>
      <w:r w:rsid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lang w:eastAsia="ru-RU"/>
        </w:rPr>
        <w:t>Таблица № 2</w:t>
      </w:r>
      <w:r w:rsidRPr="0003203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032035" w:rsidRPr="00032035" w:rsidTr="00EC57CA">
        <w:trPr>
          <w:gridAfter w:val="1"/>
          <w:wAfter w:w="236" w:type="dxa"/>
          <w:trHeight w:val="3152"/>
        </w:trPr>
        <w:tc>
          <w:tcPr>
            <w:tcW w:w="2802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032035" w:rsidRPr="00032035" w:rsidRDefault="00032035" w:rsidP="006D36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6D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35" w:rsidRPr="00032035" w:rsidRDefault="00032035" w:rsidP="006D36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9 месяцев ие 201</w:t>
            </w:r>
            <w:r w:rsidR="006D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32035" w:rsidRPr="00032035" w:rsidRDefault="00032035" w:rsidP="006D36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6D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032035" w:rsidRPr="00032035" w:rsidRDefault="00032035" w:rsidP="006D36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 201</w:t>
            </w:r>
            <w:r w:rsidR="006D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32035" w:rsidRPr="00032035" w:rsidRDefault="00032035" w:rsidP="00032035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6D36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032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032035" w:rsidRPr="00032035" w:rsidRDefault="00032035" w:rsidP="006D3686">
            <w:pPr>
              <w:spacing w:after="0" w:line="240" w:lineRule="auto"/>
              <w:ind w:left="-108" w:righ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6D36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032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уровню 1 полугодия </w:t>
            </w:r>
          </w:p>
          <w:p w:rsidR="00032035" w:rsidRPr="00032035" w:rsidRDefault="006D3686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="00032035" w:rsidRPr="000320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32035" w:rsidRPr="00032035" w:rsidRDefault="00032035" w:rsidP="00032035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D3686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6D3686" w:rsidRPr="002758A3" w:rsidRDefault="006D368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231,0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160,2</w:t>
            </w:r>
          </w:p>
        </w:tc>
        <w:tc>
          <w:tcPr>
            <w:tcW w:w="709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69,3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285,0</w:t>
            </w:r>
          </w:p>
        </w:tc>
        <w:tc>
          <w:tcPr>
            <w:tcW w:w="851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212,4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74,5</w:t>
            </w:r>
          </w:p>
        </w:tc>
        <w:tc>
          <w:tcPr>
            <w:tcW w:w="851" w:type="dxa"/>
          </w:tcPr>
          <w:p w:rsidR="006D3686" w:rsidRPr="002758A3" w:rsidRDefault="00C50FB2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52,2</w:t>
            </w:r>
          </w:p>
        </w:tc>
        <w:tc>
          <w:tcPr>
            <w:tcW w:w="850" w:type="dxa"/>
          </w:tcPr>
          <w:p w:rsidR="006D3686" w:rsidRPr="002758A3" w:rsidRDefault="00C50FB2" w:rsidP="0003203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132,6</w:t>
            </w:r>
          </w:p>
        </w:tc>
      </w:tr>
      <w:tr w:rsidR="006D3686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6D3686" w:rsidRPr="002758A3" w:rsidRDefault="006D368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709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124,0</w:t>
            </w:r>
          </w:p>
        </w:tc>
        <w:tc>
          <w:tcPr>
            <w:tcW w:w="851" w:type="dxa"/>
          </w:tcPr>
          <w:p w:rsidR="006D3686" w:rsidRPr="002758A3" w:rsidRDefault="00376E44" w:rsidP="0003203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130,7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851" w:type="dxa"/>
          </w:tcPr>
          <w:p w:rsidR="006D3686" w:rsidRPr="002758A3" w:rsidRDefault="00C50FB2" w:rsidP="00032035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37,8</w:t>
            </w:r>
          </w:p>
        </w:tc>
        <w:tc>
          <w:tcPr>
            <w:tcW w:w="850" w:type="dxa"/>
          </w:tcPr>
          <w:p w:rsidR="006D3686" w:rsidRPr="002758A3" w:rsidRDefault="00C50FB2" w:rsidP="00C50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6D3686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6D3686" w:rsidRPr="002758A3" w:rsidRDefault="006D368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физических лиц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709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851" w:type="dxa"/>
          </w:tcPr>
          <w:p w:rsidR="006D3686" w:rsidRPr="002758A3" w:rsidRDefault="00376E44" w:rsidP="0003203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851" w:type="dxa"/>
          </w:tcPr>
          <w:p w:rsidR="006D3686" w:rsidRPr="002758A3" w:rsidRDefault="00C50FB2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0" w:type="dxa"/>
          </w:tcPr>
          <w:p w:rsidR="006D3686" w:rsidRPr="002758A3" w:rsidRDefault="00C50FB2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182,8</w:t>
            </w:r>
          </w:p>
        </w:tc>
      </w:tr>
      <w:tr w:rsidR="006D3686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6D3686" w:rsidRPr="002758A3" w:rsidRDefault="006D368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709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851" w:type="dxa"/>
          </w:tcPr>
          <w:p w:rsidR="006D3686" w:rsidRPr="002758A3" w:rsidRDefault="00376E44" w:rsidP="0003203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851" w:type="dxa"/>
          </w:tcPr>
          <w:p w:rsidR="006D3686" w:rsidRPr="002758A3" w:rsidRDefault="00C50FB2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850" w:type="dxa"/>
          </w:tcPr>
          <w:p w:rsidR="006D3686" w:rsidRPr="002758A3" w:rsidRDefault="00C50FB2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6D3686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6D3686" w:rsidRPr="002758A3" w:rsidRDefault="006D368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709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51" w:type="dxa"/>
          </w:tcPr>
          <w:p w:rsidR="006D3686" w:rsidRPr="002758A3" w:rsidRDefault="00376E44" w:rsidP="00032035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51" w:type="dxa"/>
          </w:tcPr>
          <w:p w:rsidR="006D3686" w:rsidRPr="002758A3" w:rsidRDefault="00C50FB2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-9,9</w:t>
            </w:r>
          </w:p>
        </w:tc>
        <w:tc>
          <w:tcPr>
            <w:tcW w:w="850" w:type="dxa"/>
          </w:tcPr>
          <w:p w:rsidR="006D3686" w:rsidRPr="002758A3" w:rsidRDefault="00C50FB2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6D3686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6D3686" w:rsidRPr="002758A3" w:rsidRDefault="006D368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</w:tcPr>
          <w:p w:rsidR="006D3686" w:rsidRPr="002758A3" w:rsidRDefault="006D3686" w:rsidP="00AF3884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851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850" w:type="dxa"/>
          </w:tcPr>
          <w:p w:rsidR="006D3686" w:rsidRPr="002758A3" w:rsidRDefault="00376E44" w:rsidP="00376E44">
            <w:pPr>
              <w:spacing w:after="0" w:line="240" w:lineRule="auto"/>
              <w:ind w:left="-249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100,0</w:t>
            </w:r>
          </w:p>
        </w:tc>
        <w:tc>
          <w:tcPr>
            <w:tcW w:w="851" w:type="dxa"/>
          </w:tcPr>
          <w:p w:rsidR="006D3686" w:rsidRPr="002758A3" w:rsidRDefault="00C50FB2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850" w:type="dxa"/>
          </w:tcPr>
          <w:p w:rsidR="006D3686" w:rsidRPr="002758A3" w:rsidRDefault="00C50FB2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6D3686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6D3686" w:rsidRPr="002758A3" w:rsidRDefault="006D3686" w:rsidP="00376E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="00376E44" w:rsidRPr="002758A3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6D3686" w:rsidRPr="002758A3" w:rsidRDefault="006D3686" w:rsidP="00AF388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851" w:type="dxa"/>
          </w:tcPr>
          <w:p w:rsidR="006D3686" w:rsidRPr="002758A3" w:rsidRDefault="00376E44" w:rsidP="0003203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</w:tcPr>
          <w:p w:rsidR="006D3686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850" w:type="dxa"/>
          </w:tcPr>
          <w:p w:rsidR="006D3686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D3686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6D3686" w:rsidRPr="002758A3" w:rsidRDefault="006D368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231,0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160,2</w:t>
            </w:r>
          </w:p>
        </w:tc>
        <w:tc>
          <w:tcPr>
            <w:tcW w:w="709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69,3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358,0</w:t>
            </w:r>
          </w:p>
        </w:tc>
        <w:tc>
          <w:tcPr>
            <w:tcW w:w="851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285,4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79,7</w:t>
            </w:r>
          </w:p>
        </w:tc>
        <w:tc>
          <w:tcPr>
            <w:tcW w:w="851" w:type="dxa"/>
          </w:tcPr>
          <w:p w:rsidR="006D3686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125,2</w:t>
            </w:r>
          </w:p>
        </w:tc>
        <w:tc>
          <w:tcPr>
            <w:tcW w:w="850" w:type="dxa"/>
          </w:tcPr>
          <w:p w:rsidR="006D3686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178,1</w:t>
            </w:r>
          </w:p>
        </w:tc>
      </w:tr>
      <w:tr w:rsidR="006D3686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6D3686" w:rsidRPr="002758A3" w:rsidRDefault="006D368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4828,8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3201,7</w:t>
            </w:r>
          </w:p>
        </w:tc>
        <w:tc>
          <w:tcPr>
            <w:tcW w:w="709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66,3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4427,2</w:t>
            </w:r>
          </w:p>
        </w:tc>
        <w:tc>
          <w:tcPr>
            <w:tcW w:w="851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2544,8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57,5</w:t>
            </w:r>
          </w:p>
        </w:tc>
        <w:tc>
          <w:tcPr>
            <w:tcW w:w="851" w:type="dxa"/>
          </w:tcPr>
          <w:p w:rsidR="006D3686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-656,9</w:t>
            </w:r>
          </w:p>
        </w:tc>
        <w:tc>
          <w:tcPr>
            <w:tcW w:w="850" w:type="dxa"/>
          </w:tcPr>
          <w:p w:rsidR="006D3686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79,5</w:t>
            </w:r>
          </w:p>
        </w:tc>
      </w:tr>
      <w:tr w:rsidR="006D3686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6D3686" w:rsidRPr="002758A3" w:rsidRDefault="006D368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4083,0</w:t>
            </w:r>
          </w:p>
        </w:tc>
        <w:tc>
          <w:tcPr>
            <w:tcW w:w="992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2906,4</w:t>
            </w:r>
          </w:p>
        </w:tc>
        <w:tc>
          <w:tcPr>
            <w:tcW w:w="709" w:type="dxa"/>
          </w:tcPr>
          <w:p w:rsidR="006D3686" w:rsidRPr="002758A3" w:rsidRDefault="006D368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71,2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3187,4</w:t>
            </w:r>
          </w:p>
        </w:tc>
        <w:tc>
          <w:tcPr>
            <w:tcW w:w="851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2390,7</w:t>
            </w:r>
          </w:p>
        </w:tc>
        <w:tc>
          <w:tcPr>
            <w:tcW w:w="850" w:type="dxa"/>
          </w:tcPr>
          <w:p w:rsidR="006D3686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1" w:type="dxa"/>
          </w:tcPr>
          <w:p w:rsidR="006D3686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-515,7</w:t>
            </w:r>
          </w:p>
        </w:tc>
        <w:tc>
          <w:tcPr>
            <w:tcW w:w="850" w:type="dxa"/>
          </w:tcPr>
          <w:p w:rsidR="006D3686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</w:tr>
      <w:tr w:rsidR="002758A3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2758A3" w:rsidRPr="002758A3" w:rsidRDefault="002758A3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 xml:space="preserve">- субсидии </w:t>
            </w:r>
          </w:p>
        </w:tc>
        <w:tc>
          <w:tcPr>
            <w:tcW w:w="992" w:type="dxa"/>
          </w:tcPr>
          <w:p w:rsidR="002758A3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992" w:type="dxa"/>
          </w:tcPr>
          <w:p w:rsidR="002758A3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2758A3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758A3" w:rsidRPr="002758A3" w:rsidRDefault="002758A3" w:rsidP="00AF388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851" w:type="dxa"/>
          </w:tcPr>
          <w:p w:rsidR="002758A3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850" w:type="dxa"/>
          </w:tcPr>
          <w:p w:rsidR="002758A3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</w:tcPr>
          <w:p w:rsidR="002758A3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850" w:type="dxa"/>
          </w:tcPr>
          <w:p w:rsidR="002758A3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76E44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376E44" w:rsidRPr="002758A3" w:rsidRDefault="00376E44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376E44" w:rsidRPr="002758A3" w:rsidRDefault="00376E44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80,3</w:t>
            </w:r>
          </w:p>
        </w:tc>
        <w:tc>
          <w:tcPr>
            <w:tcW w:w="992" w:type="dxa"/>
          </w:tcPr>
          <w:p w:rsidR="00376E44" w:rsidRPr="002758A3" w:rsidRDefault="00376E44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  <w:tc>
          <w:tcPr>
            <w:tcW w:w="709" w:type="dxa"/>
          </w:tcPr>
          <w:p w:rsidR="00376E44" w:rsidRPr="002758A3" w:rsidRDefault="00376E44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850" w:type="dxa"/>
          </w:tcPr>
          <w:p w:rsidR="00376E44" w:rsidRPr="002758A3" w:rsidRDefault="00376E44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</w:tcPr>
          <w:p w:rsidR="00376E44" w:rsidRPr="002758A3" w:rsidRDefault="00376E44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850" w:type="dxa"/>
          </w:tcPr>
          <w:p w:rsidR="00376E44" w:rsidRPr="002758A3" w:rsidRDefault="00376E44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851" w:type="dxa"/>
          </w:tcPr>
          <w:p w:rsidR="00376E44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50" w:type="dxa"/>
          </w:tcPr>
          <w:p w:rsidR="00376E44" w:rsidRPr="002758A3" w:rsidRDefault="00E749B5" w:rsidP="00032035">
            <w:pPr>
              <w:tabs>
                <w:tab w:val="left" w:pos="19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</w:tr>
      <w:tr w:rsidR="00376E44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376E44" w:rsidRPr="002758A3" w:rsidRDefault="00376E44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376E44" w:rsidRPr="002758A3" w:rsidRDefault="00376E44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631,4</w:t>
            </w:r>
          </w:p>
        </w:tc>
        <w:tc>
          <w:tcPr>
            <w:tcW w:w="992" w:type="dxa"/>
          </w:tcPr>
          <w:p w:rsidR="00376E44" w:rsidRPr="002758A3" w:rsidRDefault="00376E44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  <w:tc>
          <w:tcPr>
            <w:tcW w:w="709" w:type="dxa"/>
          </w:tcPr>
          <w:p w:rsidR="00376E44" w:rsidRPr="002758A3" w:rsidRDefault="00376E44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0" w:type="dxa"/>
          </w:tcPr>
          <w:p w:rsidR="00376E44" w:rsidRPr="002758A3" w:rsidRDefault="00376E44" w:rsidP="002758A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1119,6</w:t>
            </w:r>
          </w:p>
        </w:tc>
        <w:tc>
          <w:tcPr>
            <w:tcW w:w="851" w:type="dxa"/>
          </w:tcPr>
          <w:p w:rsidR="00376E44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  <w:tc>
          <w:tcPr>
            <w:tcW w:w="850" w:type="dxa"/>
          </w:tcPr>
          <w:p w:rsidR="00376E44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51" w:type="dxa"/>
          </w:tcPr>
          <w:p w:rsidR="00376E44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-187,3</w:t>
            </w:r>
          </w:p>
        </w:tc>
        <w:tc>
          <w:tcPr>
            <w:tcW w:w="850" w:type="dxa"/>
          </w:tcPr>
          <w:p w:rsidR="00376E44" w:rsidRPr="002758A3" w:rsidRDefault="00E749B5" w:rsidP="00032035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376E44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376E44" w:rsidRPr="002758A3" w:rsidRDefault="00376E44" w:rsidP="002758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 xml:space="preserve">- прочие </w:t>
            </w:r>
            <w:r w:rsidR="002758A3" w:rsidRPr="002758A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</w:tcPr>
          <w:p w:rsidR="00376E44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376E44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376E44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376E44" w:rsidRPr="002758A3" w:rsidRDefault="002758A3" w:rsidP="00376E4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376E44" w:rsidRPr="002758A3" w:rsidRDefault="002758A3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</w:tcPr>
          <w:p w:rsidR="00376E44" w:rsidRPr="002758A3" w:rsidRDefault="002758A3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376E44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</w:tcPr>
          <w:p w:rsidR="00376E44" w:rsidRPr="002758A3" w:rsidRDefault="00E749B5" w:rsidP="00032035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758A3" w:rsidRPr="002758A3" w:rsidTr="00EC57CA">
        <w:trPr>
          <w:gridAfter w:val="1"/>
          <w:wAfter w:w="236" w:type="dxa"/>
        </w:trPr>
        <w:tc>
          <w:tcPr>
            <w:tcW w:w="2802" w:type="dxa"/>
          </w:tcPr>
          <w:p w:rsidR="002758A3" w:rsidRPr="002758A3" w:rsidRDefault="002758A3" w:rsidP="002758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-доходы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2758A3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2758A3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2758A3" w:rsidRPr="002758A3" w:rsidRDefault="002758A3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758A3" w:rsidRPr="002758A3" w:rsidRDefault="002758A3" w:rsidP="00376E4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2758A3" w:rsidRPr="002758A3" w:rsidRDefault="002758A3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</w:tcPr>
          <w:p w:rsidR="002758A3" w:rsidRPr="002758A3" w:rsidRDefault="002758A3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2758A3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</w:tcPr>
          <w:p w:rsidR="002758A3" w:rsidRPr="002758A3" w:rsidRDefault="00E749B5" w:rsidP="00032035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76E44" w:rsidRPr="002758A3" w:rsidTr="00EC57CA">
        <w:trPr>
          <w:trHeight w:val="309"/>
        </w:trPr>
        <w:tc>
          <w:tcPr>
            <w:tcW w:w="2802" w:type="dxa"/>
          </w:tcPr>
          <w:p w:rsidR="00376E44" w:rsidRPr="002758A3" w:rsidRDefault="00376E44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376E44" w:rsidRPr="002758A3" w:rsidRDefault="00376E44" w:rsidP="00AF3884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5059,8</w:t>
            </w:r>
          </w:p>
        </w:tc>
        <w:tc>
          <w:tcPr>
            <w:tcW w:w="992" w:type="dxa"/>
          </w:tcPr>
          <w:p w:rsidR="00376E44" w:rsidRPr="002758A3" w:rsidRDefault="00376E44" w:rsidP="00AF3884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3361,9</w:t>
            </w:r>
          </w:p>
        </w:tc>
        <w:tc>
          <w:tcPr>
            <w:tcW w:w="709" w:type="dxa"/>
          </w:tcPr>
          <w:p w:rsidR="00376E44" w:rsidRPr="002758A3" w:rsidRDefault="00376E44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66,4</w:t>
            </w:r>
          </w:p>
        </w:tc>
        <w:tc>
          <w:tcPr>
            <w:tcW w:w="850" w:type="dxa"/>
          </w:tcPr>
          <w:p w:rsidR="00376E44" w:rsidRPr="002758A3" w:rsidRDefault="002758A3" w:rsidP="00032035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4785,2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76E44" w:rsidRPr="002758A3" w:rsidRDefault="002758A3" w:rsidP="00032035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2830,2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76E44" w:rsidRPr="002758A3" w:rsidRDefault="002758A3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58A3">
              <w:rPr>
                <w:rFonts w:ascii="Times New Roman" w:eastAsia="Times New Roman" w:hAnsi="Times New Roman" w:cs="Times New Roman"/>
                <w:b/>
                <w:lang w:eastAsia="ru-RU"/>
              </w:rPr>
              <w:t>59,1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76E44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-531,7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76E44" w:rsidRPr="002758A3" w:rsidRDefault="00E749B5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84,2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76E44" w:rsidRPr="002758A3" w:rsidRDefault="00376E4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32035" w:rsidRPr="002758A3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Налоговые и неналоговые доходы бюджета поселения</w:t>
      </w: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>285,4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>79,7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>358,0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увеличились  </w:t>
      </w:r>
      <w:r w:rsid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>125,2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>78,1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53" w:rsidRP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увеличение по всем налоговым доходам</w:t>
      </w:r>
      <w:r w:rsidR="00901F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того в текущем году в</w:t>
      </w:r>
      <w:r w:rsidR="00D02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 поступили доходы  от компенсации затрат  бюджетов сельских поселени</w:t>
      </w:r>
      <w:r w:rsidR="00901F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 Структура налоговых  и неналоговых доходов бюджета поселения в сравнении с 9 месяцами  201</w:t>
      </w:r>
      <w:r w:rsidR="00D02853">
        <w:rPr>
          <w:rFonts w:ascii="Times New Roman" w:eastAsia="Calibri" w:hAnsi="Times New Roman" w:cs="Times New Roman"/>
          <w:sz w:val="28"/>
          <w:szCs w:val="28"/>
        </w:rPr>
        <w:t>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7136B7">
        <w:rPr>
          <w:rFonts w:ascii="Times New Roman" w:eastAsia="Calibri" w:hAnsi="Times New Roman" w:cs="Times New Roman"/>
          <w:sz w:val="28"/>
          <w:szCs w:val="28"/>
        </w:rPr>
        <w:t>отражена на следующей диаграмме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136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тыс. </w:t>
      </w:r>
      <w:r w:rsidRPr="00032035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7136B7" w:rsidRPr="00032035" w:rsidRDefault="007136B7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9918C04" wp14:editId="77683C2B">
            <wp:extent cx="5915025" cy="38957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035" w:rsidRPr="00032035" w:rsidRDefault="00032035" w:rsidP="00032035">
      <w:pPr>
        <w:spacing w:after="0" w:line="240" w:lineRule="auto"/>
        <w:ind w:firstLine="705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2035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 исполнены в сумме </w:t>
      </w:r>
      <w:r w:rsidR="007136B7">
        <w:rPr>
          <w:rFonts w:ascii="Times New Roman" w:eastAsia="Calibri" w:hAnsi="Times New Roman" w:cs="Times New Roman"/>
          <w:sz w:val="28"/>
          <w:szCs w:val="28"/>
        </w:rPr>
        <w:t>212,4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7136B7">
        <w:rPr>
          <w:rFonts w:ascii="Times New Roman" w:eastAsia="Calibri" w:hAnsi="Times New Roman" w:cs="Times New Roman"/>
          <w:sz w:val="28"/>
          <w:szCs w:val="28"/>
        </w:rPr>
        <w:t>74,5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7136B7">
        <w:rPr>
          <w:rFonts w:ascii="Times New Roman" w:eastAsia="Calibri" w:hAnsi="Times New Roman" w:cs="Times New Roman"/>
          <w:sz w:val="28"/>
          <w:szCs w:val="28"/>
        </w:rPr>
        <w:t>285,0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налоговых доходов в структуре доходов бюджета  поселения составила </w:t>
      </w:r>
      <w:r w:rsidR="007136B7">
        <w:rPr>
          <w:rFonts w:ascii="Times New Roman" w:eastAsia="Calibri" w:hAnsi="Times New Roman" w:cs="Times New Roman"/>
          <w:sz w:val="28"/>
          <w:szCs w:val="28"/>
        </w:rPr>
        <w:t>7,5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9 месяцев  201</w:t>
      </w:r>
      <w:r w:rsidR="007136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2035">
        <w:rPr>
          <w:rFonts w:ascii="Times New Roman" w:eastAsia="Times New Roman" w:hAnsi="Times New Roman" w:cs="Times New Roman"/>
          <w:lang w:eastAsia="ru-RU"/>
        </w:rPr>
        <w:t>Таблица № 3</w:t>
      </w:r>
      <w:r w:rsidRPr="0003203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тыс. руб.</w:t>
      </w:r>
    </w:p>
    <w:tbl>
      <w:tblPr>
        <w:tblStyle w:val="a7"/>
        <w:tblW w:w="9356" w:type="dxa"/>
        <w:tblInd w:w="108" w:type="dxa"/>
        <w:tblLook w:val="01E0" w:firstRow="1" w:lastRow="1" w:firstColumn="1" w:lastColumn="1" w:noHBand="0" w:noVBand="0"/>
      </w:tblPr>
      <w:tblGrid>
        <w:gridCol w:w="1862"/>
        <w:gridCol w:w="1824"/>
        <w:gridCol w:w="1843"/>
        <w:gridCol w:w="1701"/>
        <w:gridCol w:w="2126"/>
      </w:tblGrid>
      <w:tr w:rsidR="00032035" w:rsidRPr="00032035" w:rsidTr="007136B7">
        <w:tc>
          <w:tcPr>
            <w:tcW w:w="1862" w:type="dxa"/>
          </w:tcPr>
          <w:p w:rsidR="00032035" w:rsidRPr="00032035" w:rsidRDefault="00032035" w:rsidP="007136B7">
            <w:pPr>
              <w:contextualSpacing/>
              <w:jc w:val="both"/>
              <w:rPr>
                <w:sz w:val="28"/>
                <w:szCs w:val="28"/>
              </w:rPr>
            </w:pPr>
            <w:r w:rsidRPr="00032035">
              <w:rPr>
                <w:sz w:val="28"/>
                <w:szCs w:val="28"/>
              </w:rPr>
              <w:t>Фактическое исполнение за 9 месяцев  201</w:t>
            </w:r>
            <w:r w:rsidR="007136B7">
              <w:rPr>
                <w:sz w:val="28"/>
                <w:szCs w:val="28"/>
              </w:rPr>
              <w:t>7</w:t>
            </w:r>
            <w:r w:rsidRPr="0003203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4" w:type="dxa"/>
          </w:tcPr>
          <w:p w:rsidR="00032035" w:rsidRPr="00032035" w:rsidRDefault="00032035" w:rsidP="007136B7">
            <w:pPr>
              <w:contextualSpacing/>
              <w:jc w:val="both"/>
              <w:rPr>
                <w:sz w:val="28"/>
                <w:szCs w:val="28"/>
              </w:rPr>
            </w:pPr>
            <w:r w:rsidRPr="00032035">
              <w:rPr>
                <w:sz w:val="28"/>
                <w:szCs w:val="28"/>
              </w:rPr>
              <w:t>% исполнения от плановых назначений на 201</w:t>
            </w:r>
            <w:r w:rsidR="007136B7">
              <w:rPr>
                <w:sz w:val="28"/>
                <w:szCs w:val="28"/>
              </w:rPr>
              <w:t>7</w:t>
            </w:r>
            <w:r w:rsidRPr="000320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032035" w:rsidRPr="00032035" w:rsidRDefault="00032035" w:rsidP="007136B7">
            <w:pPr>
              <w:contextualSpacing/>
              <w:jc w:val="both"/>
              <w:rPr>
                <w:sz w:val="28"/>
                <w:szCs w:val="28"/>
              </w:rPr>
            </w:pPr>
            <w:r w:rsidRPr="00032035">
              <w:rPr>
                <w:sz w:val="28"/>
                <w:szCs w:val="28"/>
              </w:rPr>
              <w:t>Фактическое исполнение за 9 месяцев  201</w:t>
            </w:r>
            <w:r w:rsidR="007136B7">
              <w:rPr>
                <w:sz w:val="28"/>
                <w:szCs w:val="28"/>
              </w:rPr>
              <w:t>8</w:t>
            </w:r>
            <w:r w:rsidRPr="0003203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032035" w:rsidRPr="00032035" w:rsidRDefault="00032035" w:rsidP="007136B7">
            <w:pPr>
              <w:contextualSpacing/>
              <w:jc w:val="both"/>
              <w:rPr>
                <w:sz w:val="28"/>
                <w:szCs w:val="28"/>
              </w:rPr>
            </w:pPr>
            <w:r w:rsidRPr="00032035">
              <w:rPr>
                <w:sz w:val="28"/>
                <w:szCs w:val="28"/>
              </w:rPr>
              <w:t>% исполнения от плановых назначений на 201</w:t>
            </w:r>
            <w:r w:rsidR="007136B7">
              <w:rPr>
                <w:sz w:val="28"/>
                <w:szCs w:val="28"/>
              </w:rPr>
              <w:t>8</w:t>
            </w:r>
            <w:r w:rsidRPr="000320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032035" w:rsidRPr="00032035" w:rsidRDefault="00032035" w:rsidP="007136B7">
            <w:pPr>
              <w:contextualSpacing/>
              <w:jc w:val="both"/>
              <w:rPr>
                <w:sz w:val="28"/>
                <w:szCs w:val="28"/>
              </w:rPr>
            </w:pPr>
            <w:r w:rsidRPr="00032035">
              <w:rPr>
                <w:sz w:val="28"/>
                <w:szCs w:val="28"/>
              </w:rPr>
              <w:t>Отклонение 9 месяцев 201</w:t>
            </w:r>
            <w:r w:rsidR="007136B7">
              <w:rPr>
                <w:sz w:val="28"/>
                <w:szCs w:val="28"/>
              </w:rPr>
              <w:t>8</w:t>
            </w:r>
            <w:r w:rsidRPr="00032035">
              <w:rPr>
                <w:sz w:val="28"/>
                <w:szCs w:val="28"/>
              </w:rPr>
              <w:t xml:space="preserve"> года от 9 месяцев  201</w:t>
            </w:r>
            <w:r w:rsidR="007136B7">
              <w:rPr>
                <w:sz w:val="28"/>
                <w:szCs w:val="28"/>
              </w:rPr>
              <w:t>7</w:t>
            </w:r>
            <w:r w:rsidRPr="00032035">
              <w:rPr>
                <w:sz w:val="28"/>
                <w:szCs w:val="28"/>
              </w:rPr>
              <w:t xml:space="preserve"> года</w:t>
            </w:r>
          </w:p>
        </w:tc>
      </w:tr>
      <w:tr w:rsidR="007136B7" w:rsidRPr="00032035" w:rsidTr="007136B7">
        <w:tc>
          <w:tcPr>
            <w:tcW w:w="1862" w:type="dxa"/>
          </w:tcPr>
          <w:p w:rsidR="007136B7" w:rsidRPr="00032035" w:rsidRDefault="007136B7" w:rsidP="00AF3884">
            <w:pPr>
              <w:contextualSpacing/>
              <w:jc w:val="center"/>
              <w:rPr>
                <w:sz w:val="28"/>
                <w:szCs w:val="28"/>
              </w:rPr>
            </w:pPr>
            <w:r w:rsidRPr="00032035">
              <w:rPr>
                <w:sz w:val="28"/>
                <w:szCs w:val="28"/>
              </w:rPr>
              <w:t>92,9</w:t>
            </w:r>
          </w:p>
        </w:tc>
        <w:tc>
          <w:tcPr>
            <w:tcW w:w="1824" w:type="dxa"/>
          </w:tcPr>
          <w:p w:rsidR="007136B7" w:rsidRPr="00032035" w:rsidRDefault="007136B7" w:rsidP="00AF3884">
            <w:pPr>
              <w:contextualSpacing/>
              <w:jc w:val="right"/>
              <w:rPr>
                <w:sz w:val="28"/>
                <w:szCs w:val="28"/>
              </w:rPr>
            </w:pPr>
            <w:r w:rsidRPr="00032035">
              <w:rPr>
                <w:sz w:val="28"/>
                <w:szCs w:val="28"/>
              </w:rPr>
              <w:t>119,1</w:t>
            </w:r>
          </w:p>
        </w:tc>
        <w:tc>
          <w:tcPr>
            <w:tcW w:w="1843" w:type="dxa"/>
          </w:tcPr>
          <w:p w:rsidR="007136B7" w:rsidRPr="00032035" w:rsidRDefault="007136B7" w:rsidP="0003203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</w:t>
            </w:r>
          </w:p>
        </w:tc>
        <w:tc>
          <w:tcPr>
            <w:tcW w:w="1701" w:type="dxa"/>
          </w:tcPr>
          <w:p w:rsidR="007136B7" w:rsidRPr="00032035" w:rsidRDefault="00A27F2F" w:rsidP="00032035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  <w:tc>
          <w:tcPr>
            <w:tcW w:w="2126" w:type="dxa"/>
          </w:tcPr>
          <w:p w:rsidR="007136B7" w:rsidRPr="00032035" w:rsidRDefault="00A27F2F" w:rsidP="00032035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</w:tr>
    </w:tbl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   Т. о., первое место по объему налоговых доходов занимает налог на доходы физических лиц (далее - НДФЛ). Объем поступлений указанного налога составил </w:t>
      </w:r>
      <w:r w:rsidR="007136B7">
        <w:rPr>
          <w:rFonts w:ascii="Times New Roman" w:eastAsia="Calibri" w:hAnsi="Times New Roman" w:cs="Times New Roman"/>
          <w:sz w:val="28"/>
          <w:szCs w:val="28"/>
        </w:rPr>
        <w:t>130,7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136B7">
        <w:rPr>
          <w:rFonts w:ascii="Times New Roman" w:eastAsia="Calibri" w:hAnsi="Times New Roman" w:cs="Times New Roman"/>
          <w:sz w:val="28"/>
          <w:szCs w:val="28"/>
        </w:rPr>
        <w:t>105,4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</w:t>
      </w:r>
      <w:r w:rsidRPr="000320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размере </w:t>
      </w:r>
      <w:r w:rsidR="007136B7">
        <w:rPr>
          <w:rFonts w:ascii="Times New Roman" w:eastAsia="Calibri" w:hAnsi="Times New Roman" w:cs="Times New Roman"/>
          <w:sz w:val="28"/>
          <w:szCs w:val="28"/>
        </w:rPr>
        <w:t>124,0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выше уровня 9 месяцев  201</w:t>
      </w:r>
      <w:r w:rsidR="007136B7">
        <w:rPr>
          <w:rFonts w:ascii="Times New Roman" w:eastAsia="Calibri" w:hAnsi="Times New Roman" w:cs="Times New Roman"/>
          <w:sz w:val="28"/>
          <w:szCs w:val="28"/>
        </w:rPr>
        <w:t>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7136B7">
        <w:rPr>
          <w:rFonts w:ascii="Times New Roman" w:eastAsia="Calibri" w:hAnsi="Times New Roman" w:cs="Times New Roman"/>
          <w:sz w:val="28"/>
          <w:szCs w:val="28"/>
        </w:rPr>
        <w:t>37,8 тыс. рублей, или на 40,7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%. Доля НДФЛ в налоговых доходах бюджета </w:t>
      </w:r>
      <w:r w:rsidR="007136B7">
        <w:rPr>
          <w:rFonts w:ascii="Times New Roman" w:eastAsia="Calibri" w:hAnsi="Times New Roman" w:cs="Times New Roman"/>
          <w:sz w:val="28"/>
          <w:szCs w:val="28"/>
        </w:rPr>
        <w:t>увеличилась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на 1,</w:t>
      </w:r>
      <w:r w:rsidR="007136B7">
        <w:rPr>
          <w:rFonts w:ascii="Times New Roman" w:eastAsia="Calibri" w:hAnsi="Times New Roman" w:cs="Times New Roman"/>
          <w:sz w:val="28"/>
          <w:szCs w:val="28"/>
        </w:rPr>
        <w:t>5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% и составила 6</w:t>
      </w:r>
      <w:r w:rsidR="007136B7">
        <w:rPr>
          <w:rFonts w:ascii="Times New Roman" w:eastAsia="Calibri" w:hAnsi="Times New Roman" w:cs="Times New Roman"/>
          <w:sz w:val="28"/>
          <w:szCs w:val="28"/>
        </w:rPr>
        <w:t>1</w:t>
      </w:r>
      <w:r w:rsidRPr="00032035">
        <w:rPr>
          <w:rFonts w:ascii="Times New Roman" w:eastAsia="Calibri" w:hAnsi="Times New Roman" w:cs="Times New Roman"/>
          <w:sz w:val="28"/>
          <w:szCs w:val="28"/>
        </w:rPr>
        <w:t>,</w:t>
      </w:r>
      <w:r w:rsidR="007136B7">
        <w:rPr>
          <w:rFonts w:ascii="Times New Roman" w:eastAsia="Calibri" w:hAnsi="Times New Roman" w:cs="Times New Roman"/>
          <w:sz w:val="28"/>
          <w:szCs w:val="28"/>
        </w:rPr>
        <w:t>5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 Второе  место по величине поступлений в бюджет поселения занимает налоговый доходный источник – земельный налог. Поступление указанного налога составило </w:t>
      </w:r>
      <w:r w:rsidR="007914FC">
        <w:rPr>
          <w:rFonts w:ascii="Times New Roman" w:eastAsia="Calibri" w:hAnsi="Times New Roman" w:cs="Times New Roman"/>
          <w:sz w:val="28"/>
          <w:szCs w:val="28"/>
        </w:rPr>
        <w:t>52,8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914FC">
        <w:rPr>
          <w:rFonts w:ascii="Times New Roman" w:eastAsia="Calibri" w:hAnsi="Times New Roman" w:cs="Times New Roman"/>
          <w:sz w:val="28"/>
          <w:szCs w:val="28"/>
        </w:rPr>
        <w:t>73,3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7914FC">
        <w:rPr>
          <w:rFonts w:ascii="Times New Roman" w:eastAsia="Calibri" w:hAnsi="Times New Roman" w:cs="Times New Roman"/>
          <w:sz w:val="28"/>
          <w:szCs w:val="28"/>
        </w:rPr>
        <w:t>72,0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201</w:t>
      </w:r>
      <w:r w:rsidR="007914FC">
        <w:rPr>
          <w:rFonts w:ascii="Times New Roman" w:eastAsia="Calibri" w:hAnsi="Times New Roman" w:cs="Times New Roman"/>
          <w:sz w:val="28"/>
          <w:szCs w:val="28"/>
        </w:rPr>
        <w:t>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земельного налога увеличилось на </w:t>
      </w:r>
      <w:r w:rsidR="007914FC">
        <w:rPr>
          <w:rFonts w:ascii="Times New Roman" w:eastAsia="Calibri" w:hAnsi="Times New Roman" w:cs="Times New Roman"/>
          <w:sz w:val="28"/>
          <w:szCs w:val="28"/>
        </w:rPr>
        <w:t>11,3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914FC">
        <w:rPr>
          <w:rFonts w:ascii="Times New Roman" w:eastAsia="Calibri" w:hAnsi="Times New Roman" w:cs="Times New Roman"/>
          <w:sz w:val="28"/>
          <w:szCs w:val="28"/>
        </w:rPr>
        <w:t>27,2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%. Доля земельного налога в налоговых доходах бюджета поселения </w:t>
      </w:r>
      <w:r w:rsidR="007914FC">
        <w:rPr>
          <w:rFonts w:ascii="Times New Roman" w:eastAsia="Calibri" w:hAnsi="Times New Roman" w:cs="Times New Roman"/>
          <w:sz w:val="28"/>
          <w:szCs w:val="28"/>
        </w:rPr>
        <w:t>снизилась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с 25,</w:t>
      </w:r>
      <w:r w:rsidR="007914FC">
        <w:rPr>
          <w:rFonts w:ascii="Times New Roman" w:eastAsia="Calibri" w:hAnsi="Times New Roman" w:cs="Times New Roman"/>
          <w:sz w:val="28"/>
          <w:szCs w:val="28"/>
        </w:rPr>
        <w:t>9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до </w:t>
      </w:r>
      <w:r w:rsidR="007914FC">
        <w:rPr>
          <w:rFonts w:ascii="Times New Roman" w:eastAsia="Calibri" w:hAnsi="Times New Roman" w:cs="Times New Roman"/>
          <w:sz w:val="28"/>
          <w:szCs w:val="28"/>
        </w:rPr>
        <w:t>24,9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процента. 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Третье  место  по  величине налоговый доходный  занимает  налог на имущество физических лиц. Поступление указанного налога составило </w:t>
      </w:r>
      <w:r w:rsidR="007914FC">
        <w:rPr>
          <w:rFonts w:ascii="Times New Roman" w:eastAsia="Calibri" w:hAnsi="Times New Roman" w:cs="Times New Roman"/>
          <w:sz w:val="28"/>
          <w:szCs w:val="28"/>
        </w:rPr>
        <w:t>28,7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914FC">
        <w:rPr>
          <w:rFonts w:ascii="Times New Roman" w:eastAsia="Calibri" w:hAnsi="Times New Roman" w:cs="Times New Roman"/>
          <w:sz w:val="28"/>
          <w:szCs w:val="28"/>
        </w:rPr>
        <w:t>37,3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7914FC">
        <w:rPr>
          <w:rFonts w:ascii="Times New Roman" w:eastAsia="Calibri" w:hAnsi="Times New Roman" w:cs="Times New Roman"/>
          <w:sz w:val="28"/>
          <w:szCs w:val="28"/>
        </w:rPr>
        <w:t>77,0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201</w:t>
      </w:r>
      <w:r w:rsidR="007914FC">
        <w:rPr>
          <w:rFonts w:ascii="Times New Roman" w:eastAsia="Calibri" w:hAnsi="Times New Roman" w:cs="Times New Roman"/>
          <w:sz w:val="28"/>
          <w:szCs w:val="28"/>
        </w:rPr>
        <w:t>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увеличилось  на </w:t>
      </w:r>
      <w:r w:rsidR="007914FC">
        <w:rPr>
          <w:rFonts w:ascii="Times New Roman" w:eastAsia="Calibri" w:hAnsi="Times New Roman" w:cs="Times New Roman"/>
          <w:sz w:val="28"/>
          <w:szCs w:val="28"/>
        </w:rPr>
        <w:t>13,0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7914FC">
        <w:rPr>
          <w:rFonts w:ascii="Times New Roman" w:eastAsia="Calibri" w:hAnsi="Times New Roman" w:cs="Times New Roman"/>
          <w:sz w:val="28"/>
          <w:szCs w:val="28"/>
        </w:rPr>
        <w:t>82,8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%. Доля налога  на имущество физических лиц в налоговых доходах бюджета поселения увеличилась с </w:t>
      </w:r>
      <w:r w:rsidR="007914FC">
        <w:rPr>
          <w:rFonts w:ascii="Times New Roman" w:eastAsia="Calibri" w:hAnsi="Times New Roman" w:cs="Times New Roman"/>
          <w:sz w:val="28"/>
          <w:szCs w:val="28"/>
        </w:rPr>
        <w:t>9,8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7914FC">
        <w:rPr>
          <w:rFonts w:ascii="Times New Roman" w:eastAsia="Calibri" w:hAnsi="Times New Roman" w:cs="Times New Roman"/>
          <w:sz w:val="28"/>
          <w:szCs w:val="28"/>
        </w:rPr>
        <w:t>13,5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Четверт</w:t>
      </w:r>
      <w:r w:rsidR="00DF3B8E">
        <w:rPr>
          <w:rFonts w:ascii="Times New Roman" w:eastAsia="Calibri" w:hAnsi="Times New Roman" w:cs="Times New Roman"/>
          <w:sz w:val="28"/>
          <w:szCs w:val="28"/>
        </w:rPr>
        <w:t>ый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и последн</w:t>
      </w:r>
      <w:r w:rsidR="00DF3B8E">
        <w:rPr>
          <w:rFonts w:ascii="Times New Roman" w:eastAsia="Calibri" w:hAnsi="Times New Roman" w:cs="Times New Roman"/>
          <w:sz w:val="28"/>
          <w:szCs w:val="28"/>
        </w:rPr>
        <w:t>ий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по  величине налоговый доходный источник – государственная пошлина. Поступление указанного налога составило </w:t>
      </w:r>
      <w:r w:rsidR="007914FC">
        <w:rPr>
          <w:rFonts w:ascii="Times New Roman" w:eastAsia="Calibri" w:hAnsi="Times New Roman" w:cs="Times New Roman"/>
          <w:sz w:val="28"/>
          <w:szCs w:val="28"/>
        </w:rPr>
        <w:t>всего 0,2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914FC">
        <w:rPr>
          <w:rFonts w:ascii="Times New Roman" w:eastAsia="Calibri" w:hAnsi="Times New Roman" w:cs="Times New Roman"/>
          <w:sz w:val="28"/>
          <w:szCs w:val="28"/>
        </w:rPr>
        <w:t>1,7</w:t>
      </w:r>
      <w:r w:rsidRPr="00032035">
        <w:rPr>
          <w:rFonts w:ascii="Times New Roman" w:eastAsia="Calibri" w:hAnsi="Times New Roman" w:cs="Times New Roman"/>
          <w:sz w:val="28"/>
          <w:szCs w:val="28"/>
        </w:rPr>
        <w:t>% к плановым назначениям в размере 12,0 тыс. рублей. По сравнению с 9 месяцами  201</w:t>
      </w:r>
      <w:r w:rsidR="007914FC">
        <w:rPr>
          <w:rFonts w:ascii="Times New Roman" w:eastAsia="Calibri" w:hAnsi="Times New Roman" w:cs="Times New Roman"/>
          <w:sz w:val="28"/>
          <w:szCs w:val="28"/>
        </w:rPr>
        <w:t>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у</w:t>
      </w:r>
      <w:r w:rsidR="007914FC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914FC">
        <w:rPr>
          <w:rFonts w:ascii="Times New Roman" w:eastAsia="Calibri" w:hAnsi="Times New Roman" w:cs="Times New Roman"/>
          <w:sz w:val="28"/>
          <w:szCs w:val="28"/>
        </w:rPr>
        <w:t>9,9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7914FC">
        <w:rPr>
          <w:rFonts w:ascii="Times New Roman" w:eastAsia="Calibri" w:hAnsi="Times New Roman" w:cs="Times New Roman"/>
          <w:sz w:val="28"/>
          <w:szCs w:val="28"/>
        </w:rPr>
        <w:t>98,0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%. Доля государственной пошлины в налоговых доходах бюджета поселения</w:t>
      </w:r>
      <w:r w:rsidR="007914FC">
        <w:rPr>
          <w:rFonts w:ascii="Times New Roman" w:eastAsia="Calibri" w:hAnsi="Times New Roman" w:cs="Times New Roman"/>
          <w:sz w:val="28"/>
          <w:szCs w:val="28"/>
        </w:rPr>
        <w:t xml:space="preserve"> существенно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4FC">
        <w:rPr>
          <w:rFonts w:ascii="Times New Roman" w:eastAsia="Calibri" w:hAnsi="Times New Roman" w:cs="Times New Roman"/>
          <w:sz w:val="28"/>
          <w:szCs w:val="28"/>
        </w:rPr>
        <w:t>снизилась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7914FC">
        <w:rPr>
          <w:rFonts w:ascii="Times New Roman" w:eastAsia="Calibri" w:hAnsi="Times New Roman" w:cs="Times New Roman"/>
          <w:sz w:val="28"/>
          <w:szCs w:val="28"/>
        </w:rPr>
        <w:t>6,3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7914FC">
        <w:rPr>
          <w:rFonts w:ascii="Times New Roman" w:eastAsia="Calibri" w:hAnsi="Times New Roman" w:cs="Times New Roman"/>
          <w:sz w:val="28"/>
          <w:szCs w:val="28"/>
        </w:rPr>
        <w:t>0,1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 Невысокий уровень исполнения кассового плана за 9 месяцев  201</w:t>
      </w:r>
      <w:r w:rsidR="007914FC">
        <w:rPr>
          <w:rFonts w:ascii="Times New Roman" w:eastAsia="Calibri" w:hAnsi="Times New Roman" w:cs="Times New Roman"/>
          <w:sz w:val="28"/>
          <w:szCs w:val="28"/>
        </w:rPr>
        <w:t>8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2035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304263" w:rsidRPr="00304263" w:rsidRDefault="00032035" w:rsidP="00304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04263" w:rsidRPr="00304263">
        <w:rPr>
          <w:rFonts w:ascii="Times New Roman" w:eastAsia="Calibri" w:hAnsi="Times New Roman" w:cs="Times New Roman"/>
          <w:sz w:val="28"/>
          <w:szCs w:val="28"/>
        </w:rPr>
        <w:t>Неналоговые доходы исполнены в сумме 73,0 тыс. рублей, или на 100,0% к утвержденным показателям бюджета в сумме 73,0 тыс. рублей. Доля неналоговых доходов в структуре собственных  доходов</w:t>
      </w:r>
      <w:r w:rsidR="00304263" w:rsidRPr="00304263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304263" w:rsidRPr="00304263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</w:t>
      </w:r>
      <w:r w:rsidR="00304263">
        <w:rPr>
          <w:rFonts w:ascii="Times New Roman" w:eastAsia="Calibri" w:hAnsi="Times New Roman" w:cs="Times New Roman"/>
          <w:sz w:val="28"/>
          <w:szCs w:val="28"/>
        </w:rPr>
        <w:t>25,6</w:t>
      </w:r>
      <w:r w:rsidR="00304263" w:rsidRPr="00304263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304263" w:rsidRPr="00304263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     </w:t>
      </w:r>
    </w:p>
    <w:p w:rsidR="00304263" w:rsidRPr="00304263" w:rsidRDefault="00304263" w:rsidP="00304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263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     </w:t>
      </w:r>
      <w:r w:rsidRPr="00304263">
        <w:rPr>
          <w:rFonts w:ascii="Times New Roman" w:eastAsia="Calibri" w:hAnsi="Times New Roman" w:cs="Times New Roman"/>
          <w:sz w:val="28"/>
          <w:szCs w:val="28"/>
        </w:rPr>
        <w:t>Всего в отчетном периоде 2018 года осуществлялось администрирование по 1 подгруппе неналоговых доходов. Прочие  доходы   от компенсации затрат бюджетов сельских поселений составили  73,0 тыс. рублей.</w:t>
      </w:r>
    </w:p>
    <w:p w:rsidR="00304263" w:rsidRPr="00304263" w:rsidRDefault="00304263" w:rsidP="00304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63">
        <w:rPr>
          <w:rFonts w:ascii="Times New Roman" w:eastAsia="Calibri" w:hAnsi="Times New Roman" w:cs="Times New Roman"/>
          <w:sz w:val="28"/>
          <w:szCs w:val="28"/>
        </w:rPr>
        <w:t xml:space="preserve">    В сравнении с </w:t>
      </w:r>
      <w:r>
        <w:rPr>
          <w:rFonts w:ascii="Times New Roman" w:eastAsia="Calibri" w:hAnsi="Times New Roman" w:cs="Times New Roman"/>
          <w:sz w:val="28"/>
          <w:szCs w:val="28"/>
        </w:rPr>
        <w:t>9 месяцами</w:t>
      </w:r>
      <w:r w:rsidRPr="00304263">
        <w:rPr>
          <w:rFonts w:ascii="Times New Roman" w:eastAsia="Calibri" w:hAnsi="Times New Roman" w:cs="Times New Roman"/>
          <w:sz w:val="28"/>
          <w:szCs w:val="28"/>
        </w:rPr>
        <w:t xml:space="preserve">  2017 года поступление неналоговых доходов увеличилось на 73,0 тыс. рублей, или на 100,0 %.</w:t>
      </w:r>
    </w:p>
    <w:p w:rsidR="00304263" w:rsidRPr="00304263" w:rsidRDefault="00304263" w:rsidP="00304263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0426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3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</w:t>
      </w:r>
      <w:r w:rsidRPr="00304263">
        <w:rPr>
          <w:rFonts w:ascii="Times New Roman" w:eastAsia="Calibri" w:hAnsi="Times New Roman" w:cs="Times New Roman"/>
          <w:sz w:val="28"/>
          <w:szCs w:val="28"/>
        </w:rPr>
        <w:t xml:space="preserve">с пояснительной запиской администрации поселения </w:t>
      </w:r>
      <w:r w:rsidRPr="003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средства  в качестве компенсации затрат бюджета </w:t>
      </w:r>
      <w:r w:rsidRPr="00304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 на проведение повторных выборов Главы поселения в 2017 году от ЛДПР.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32035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   Безвозмездные поступления в бюджет поселения составили </w:t>
      </w:r>
      <w:r w:rsidR="00304263">
        <w:rPr>
          <w:rFonts w:ascii="Times New Roman" w:eastAsia="Calibri" w:hAnsi="Times New Roman" w:cs="Times New Roman"/>
          <w:sz w:val="28"/>
          <w:szCs w:val="28"/>
        </w:rPr>
        <w:t>2544,8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04263">
        <w:rPr>
          <w:rFonts w:ascii="Times New Roman" w:eastAsia="Calibri" w:hAnsi="Times New Roman" w:cs="Times New Roman"/>
          <w:sz w:val="28"/>
          <w:szCs w:val="28"/>
        </w:rPr>
        <w:t>57,5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304263">
        <w:rPr>
          <w:rFonts w:ascii="Times New Roman" w:eastAsia="Calibri" w:hAnsi="Times New Roman" w:cs="Times New Roman"/>
          <w:sz w:val="28"/>
          <w:szCs w:val="28"/>
        </w:rPr>
        <w:t>4427,2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</w:t>
      </w:r>
      <w:r w:rsidR="00A45142">
        <w:rPr>
          <w:rFonts w:ascii="Times New Roman" w:eastAsia="Calibri" w:hAnsi="Times New Roman" w:cs="Times New Roman"/>
          <w:sz w:val="28"/>
          <w:szCs w:val="28"/>
        </w:rPr>
        <w:t>и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201</w:t>
      </w:r>
      <w:r w:rsidR="00304263">
        <w:rPr>
          <w:rFonts w:ascii="Times New Roman" w:eastAsia="Calibri" w:hAnsi="Times New Roman" w:cs="Times New Roman"/>
          <w:sz w:val="28"/>
          <w:szCs w:val="28"/>
        </w:rPr>
        <w:t>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</w:t>
      </w:r>
      <w:r w:rsidR="00304263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04263">
        <w:rPr>
          <w:rFonts w:ascii="Times New Roman" w:eastAsia="Calibri" w:hAnsi="Times New Roman" w:cs="Times New Roman"/>
          <w:sz w:val="28"/>
          <w:szCs w:val="28"/>
        </w:rPr>
        <w:t>656,9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304263">
        <w:rPr>
          <w:rFonts w:ascii="Times New Roman" w:eastAsia="Calibri" w:hAnsi="Times New Roman" w:cs="Times New Roman"/>
          <w:sz w:val="28"/>
          <w:szCs w:val="28"/>
        </w:rPr>
        <w:t xml:space="preserve"> или на 20,5%,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их доля в общих доходах бюджета поселения составила </w:t>
      </w:r>
      <w:r w:rsidR="002449D6">
        <w:rPr>
          <w:rFonts w:ascii="Times New Roman" w:eastAsia="Calibri" w:hAnsi="Times New Roman" w:cs="Times New Roman"/>
          <w:sz w:val="28"/>
          <w:szCs w:val="28"/>
        </w:rPr>
        <w:t>89,9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201</w:t>
      </w:r>
      <w:r w:rsidR="002449D6">
        <w:rPr>
          <w:rFonts w:ascii="Times New Roman" w:eastAsia="Calibri" w:hAnsi="Times New Roman" w:cs="Times New Roman"/>
          <w:sz w:val="28"/>
          <w:szCs w:val="28"/>
        </w:rPr>
        <w:t>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032035">
        <w:rPr>
          <w:rFonts w:ascii="Times New Roman" w:eastAsia="Times New Roman" w:hAnsi="Times New Roman" w:cs="Times New Roman"/>
          <w:noProof/>
          <w:color w:val="C0000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032035">
        <w:rPr>
          <w:rFonts w:ascii="Times New Roman" w:eastAsia="Times New Roman" w:hAnsi="Times New Roman" w:cs="Times New Roman"/>
          <w:noProof/>
          <w:lang w:eastAsia="ru-RU"/>
        </w:rPr>
        <w:t>тыс. руб.</w:t>
      </w:r>
    </w:p>
    <w:p w:rsidR="00D91637" w:rsidRDefault="00D91637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032035" w:rsidRPr="00D91637" w:rsidRDefault="00D91637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3E99231" wp14:editId="01A4179E">
            <wp:extent cx="5781675" cy="46863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 В отчетном периоде </w:t>
      </w:r>
      <w:r w:rsidRPr="00D91637">
        <w:rPr>
          <w:rFonts w:ascii="Times New Roman" w:eastAsia="Calibri" w:hAnsi="Times New Roman" w:cs="Times New Roman"/>
          <w:i/>
          <w:sz w:val="28"/>
          <w:szCs w:val="28"/>
        </w:rPr>
        <w:t>дотации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из районного бюджета бюджетам субъектов Российской Федерации и муниципальным образованиям поступили в сумме </w:t>
      </w:r>
      <w:r w:rsidR="00D91637">
        <w:rPr>
          <w:rFonts w:ascii="Times New Roman" w:eastAsia="Calibri" w:hAnsi="Times New Roman" w:cs="Times New Roman"/>
          <w:sz w:val="28"/>
          <w:szCs w:val="28"/>
        </w:rPr>
        <w:t>2390,7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91637">
        <w:rPr>
          <w:rFonts w:ascii="Times New Roman" w:eastAsia="Calibri" w:hAnsi="Times New Roman" w:cs="Times New Roman"/>
          <w:sz w:val="28"/>
          <w:szCs w:val="28"/>
        </w:rPr>
        <w:t>75,0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D91637">
        <w:rPr>
          <w:rFonts w:ascii="Times New Roman" w:eastAsia="Calibri" w:hAnsi="Times New Roman" w:cs="Times New Roman"/>
          <w:sz w:val="28"/>
          <w:szCs w:val="28"/>
        </w:rPr>
        <w:t>3187,4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Доля дотаций в общем объеме безвозмездных поступлений составила </w:t>
      </w:r>
      <w:r w:rsidR="00D91637">
        <w:rPr>
          <w:rFonts w:ascii="Times New Roman" w:eastAsia="Calibri" w:hAnsi="Times New Roman" w:cs="Times New Roman"/>
          <w:sz w:val="28"/>
          <w:szCs w:val="28"/>
        </w:rPr>
        <w:t>93,9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D91637" w:rsidRPr="00D91637" w:rsidRDefault="00032035" w:rsidP="00D916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D91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637" w:rsidRPr="00D91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637" w:rsidRPr="00D91637">
        <w:rPr>
          <w:rFonts w:ascii="Times New Roman" w:eastAsia="Calibri" w:hAnsi="Times New Roman" w:cs="Times New Roman"/>
          <w:i/>
          <w:sz w:val="28"/>
          <w:szCs w:val="28"/>
        </w:rPr>
        <w:t xml:space="preserve">Субсидии </w:t>
      </w:r>
      <w:r w:rsidR="00D91637" w:rsidRPr="00D91637">
        <w:rPr>
          <w:rFonts w:ascii="Times New Roman" w:eastAsia="Calibri" w:hAnsi="Times New Roman" w:cs="Times New Roman"/>
          <w:sz w:val="28"/>
          <w:szCs w:val="28"/>
        </w:rPr>
        <w:t xml:space="preserve">бюджетам субъектов Российской Федерации и муниципальных образований поступили в сумме 34,1 тыс. рублей, или 100,0 % к утвержденным назначениям в сумме 34,1 тыс. рублей. Поступила субсидия из областного бюджета по  программе «Энергосбережение и повышение энергетической эффективности на территории Вологодской области на 2014-2020 годы». По сравнению с </w:t>
      </w:r>
      <w:r w:rsidR="00D91637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="00D91637" w:rsidRPr="00D91637">
        <w:rPr>
          <w:rFonts w:ascii="Times New Roman" w:eastAsia="Calibri" w:hAnsi="Times New Roman" w:cs="Times New Roman"/>
          <w:sz w:val="28"/>
          <w:szCs w:val="28"/>
        </w:rPr>
        <w:t xml:space="preserve"> 2017 года субсидия увеличилась на 34,1  тыс. рублей, или на 100,0 процентов. Доля субсидий в общем объеме безвозмездных поступлений составила </w:t>
      </w:r>
      <w:r w:rsidR="00D91637">
        <w:rPr>
          <w:rFonts w:ascii="Times New Roman" w:eastAsia="Calibri" w:hAnsi="Times New Roman" w:cs="Times New Roman"/>
          <w:sz w:val="28"/>
          <w:szCs w:val="28"/>
        </w:rPr>
        <w:t>1,3</w:t>
      </w:r>
      <w:r w:rsidR="00D91637" w:rsidRPr="00D91637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6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91637" w:rsidRPr="00D916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91637">
        <w:rPr>
          <w:rFonts w:ascii="Times New Roman" w:eastAsia="Calibri" w:hAnsi="Times New Roman" w:cs="Times New Roman"/>
          <w:i/>
          <w:sz w:val="28"/>
          <w:szCs w:val="28"/>
        </w:rPr>
        <w:t>Субвенции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D91637">
        <w:rPr>
          <w:rFonts w:ascii="Times New Roman" w:eastAsia="Calibri" w:hAnsi="Times New Roman" w:cs="Times New Roman"/>
          <w:sz w:val="28"/>
          <w:szCs w:val="28"/>
        </w:rPr>
        <w:t>64,7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тыс. рублей, или 75,1 % к утвержденным назначениям в сумме </w:t>
      </w:r>
      <w:r w:rsidR="00D91637">
        <w:rPr>
          <w:rFonts w:ascii="Times New Roman" w:eastAsia="Calibri" w:hAnsi="Times New Roman" w:cs="Times New Roman"/>
          <w:sz w:val="28"/>
          <w:szCs w:val="28"/>
        </w:rPr>
        <w:t>86,1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Pr="00032035">
        <w:rPr>
          <w:rFonts w:ascii="Times New Roman" w:hAnsi="Times New Roman" w:cs="Times New Roman"/>
          <w:sz w:val="28"/>
          <w:szCs w:val="28"/>
        </w:rPr>
        <w:t>Из 2 видов</w:t>
      </w:r>
      <w:r w:rsidRPr="0003203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32035">
        <w:rPr>
          <w:rFonts w:ascii="Times New Roman" w:hAnsi="Times New Roman" w:cs="Times New Roman"/>
          <w:sz w:val="28"/>
          <w:szCs w:val="28"/>
        </w:rPr>
        <w:t xml:space="preserve">субвенций в течение 9 месяцев текущего года поступила субвенция на осуществление первичного воинского учета и на выполнение переданных государственных полномочий по составлению протоколов по административным правонарушениям. 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По сравнению с 9 месяцами  201</w:t>
      </w:r>
      <w:r w:rsidR="00D91637">
        <w:rPr>
          <w:rFonts w:ascii="Times New Roman" w:eastAsia="Calibri" w:hAnsi="Times New Roman" w:cs="Times New Roman"/>
          <w:sz w:val="28"/>
          <w:szCs w:val="28"/>
        </w:rPr>
        <w:t>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субвенция </w:t>
      </w:r>
      <w:r w:rsidR="00D91637">
        <w:rPr>
          <w:rFonts w:ascii="Times New Roman" w:eastAsia="Calibri" w:hAnsi="Times New Roman" w:cs="Times New Roman"/>
          <w:sz w:val="28"/>
          <w:szCs w:val="28"/>
        </w:rPr>
        <w:t>увеличилась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91637">
        <w:rPr>
          <w:rFonts w:ascii="Times New Roman" w:eastAsia="Calibri" w:hAnsi="Times New Roman" w:cs="Times New Roman"/>
          <w:sz w:val="28"/>
          <w:szCs w:val="28"/>
        </w:rPr>
        <w:t>4,4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D91637">
        <w:rPr>
          <w:rFonts w:ascii="Times New Roman" w:eastAsia="Calibri" w:hAnsi="Times New Roman" w:cs="Times New Roman"/>
          <w:sz w:val="28"/>
          <w:szCs w:val="28"/>
        </w:rPr>
        <w:t>7,3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D91637">
        <w:rPr>
          <w:rFonts w:ascii="Times New Roman" w:eastAsia="Calibri" w:hAnsi="Times New Roman" w:cs="Times New Roman"/>
          <w:sz w:val="28"/>
          <w:szCs w:val="28"/>
        </w:rPr>
        <w:t>2,5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D91637" w:rsidRDefault="00032035" w:rsidP="00D916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      Поступление иных </w:t>
      </w:r>
      <w:r w:rsidRPr="00D91637">
        <w:rPr>
          <w:rFonts w:ascii="Times New Roman" w:eastAsia="Calibri" w:hAnsi="Times New Roman" w:cs="Times New Roman"/>
          <w:i/>
          <w:sz w:val="28"/>
          <w:szCs w:val="28"/>
        </w:rPr>
        <w:t>межбюджетных трансфертов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 за 9 месяцев  201</w:t>
      </w:r>
      <w:r w:rsidR="00D91637">
        <w:rPr>
          <w:rFonts w:ascii="Times New Roman" w:eastAsia="Calibri" w:hAnsi="Times New Roman" w:cs="Times New Roman"/>
          <w:sz w:val="28"/>
          <w:szCs w:val="28"/>
        </w:rPr>
        <w:t>8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составило – </w:t>
      </w:r>
      <w:r w:rsidR="00D91637">
        <w:rPr>
          <w:rFonts w:ascii="Times New Roman" w:eastAsia="Calibri" w:hAnsi="Times New Roman" w:cs="Times New Roman"/>
          <w:sz w:val="28"/>
          <w:szCs w:val="28"/>
        </w:rPr>
        <w:t>47,7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91637">
        <w:rPr>
          <w:rFonts w:ascii="Times New Roman" w:eastAsia="Calibri" w:hAnsi="Times New Roman" w:cs="Times New Roman"/>
          <w:sz w:val="28"/>
          <w:szCs w:val="28"/>
        </w:rPr>
        <w:t>4,3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D91637">
        <w:rPr>
          <w:rFonts w:ascii="Times New Roman" w:eastAsia="Calibri" w:hAnsi="Times New Roman" w:cs="Times New Roman"/>
          <w:sz w:val="28"/>
          <w:szCs w:val="28"/>
        </w:rPr>
        <w:t>1119,6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201</w:t>
      </w:r>
      <w:r w:rsidR="00D91637">
        <w:rPr>
          <w:rFonts w:ascii="Times New Roman" w:eastAsia="Calibri" w:hAnsi="Times New Roman" w:cs="Times New Roman"/>
          <w:sz w:val="28"/>
          <w:szCs w:val="28"/>
        </w:rPr>
        <w:t>7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года иные межбюджетные трансферты у</w:t>
      </w:r>
      <w:r w:rsidR="00D91637">
        <w:rPr>
          <w:rFonts w:ascii="Times New Roman" w:eastAsia="Calibri" w:hAnsi="Times New Roman" w:cs="Times New Roman"/>
          <w:sz w:val="28"/>
          <w:szCs w:val="28"/>
        </w:rPr>
        <w:t>меньшились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91637">
        <w:rPr>
          <w:rFonts w:ascii="Times New Roman" w:eastAsia="Calibri" w:hAnsi="Times New Roman" w:cs="Times New Roman"/>
          <w:sz w:val="28"/>
          <w:szCs w:val="28"/>
        </w:rPr>
        <w:t>187,3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91637">
        <w:rPr>
          <w:rFonts w:ascii="Times New Roman" w:eastAsia="Calibri" w:hAnsi="Times New Roman" w:cs="Times New Roman"/>
          <w:sz w:val="28"/>
          <w:szCs w:val="28"/>
        </w:rPr>
        <w:t>на 80 процентов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="00D91637">
        <w:rPr>
          <w:rFonts w:ascii="Times New Roman" w:eastAsia="Calibri" w:hAnsi="Times New Roman" w:cs="Times New Roman"/>
          <w:sz w:val="28"/>
          <w:szCs w:val="28"/>
        </w:rPr>
        <w:t>1,9</w:t>
      </w:r>
      <w:r w:rsidRPr="0003203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D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91637" w:rsidRPr="00D91637" w:rsidRDefault="00D91637" w:rsidP="00D916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916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Прочие</w:t>
      </w:r>
      <w:r w:rsidRPr="00D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6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безвозмездные поступления</w:t>
      </w:r>
      <w:r w:rsidRPr="00D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D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составили 7,5 тыс. рублей. Решением о бюджете данные доходы в 2018 году не планировались. Доля прочих безвозмездных поступлений в общем объеме безвозмездных поступлений составила 0,3 процента. Средства поступили от  </w:t>
      </w:r>
      <w:r w:rsidR="00B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КФХ «Сухона»</w:t>
      </w:r>
      <w:r w:rsidRPr="00D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Дня </w:t>
      </w:r>
      <w:r w:rsidR="00506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D91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 января и 01 октября  201</w:t>
      </w:r>
      <w:r w:rsidR="005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а также на   01 января и  01 октября 201</w:t>
      </w:r>
      <w:r w:rsidR="005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032035" w:rsidRPr="00032035" w:rsidRDefault="00032035" w:rsidP="000320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032035" w:rsidRPr="00032035" w:rsidRDefault="00032035" w:rsidP="000320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2035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032035" w:rsidRPr="00032035" w:rsidTr="00EC57CA">
        <w:trPr>
          <w:trHeight w:val="1985"/>
        </w:trPr>
        <w:tc>
          <w:tcPr>
            <w:tcW w:w="3227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плательщиков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01.01.201</w:t>
            </w:r>
            <w:r w:rsidR="0099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32035" w:rsidRPr="00032035" w:rsidRDefault="00032035" w:rsidP="0099605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задолженности плательщиков по состоянию на 01.01.20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99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032035" w:rsidRPr="00032035" w:rsidRDefault="00032035" w:rsidP="009960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задолженности плательщиков по состоянию на 01.10.201</w:t>
            </w:r>
            <w:r w:rsidR="0099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032035" w:rsidRPr="00032035" w:rsidRDefault="00032035" w:rsidP="0099605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плательщиков по состоянию на 01.10.201</w:t>
            </w:r>
            <w:r w:rsidR="0099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032035" w:rsidRPr="00032035" w:rsidRDefault="00032035" w:rsidP="0099605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недоимки   на 01.01.201</w:t>
            </w:r>
            <w:r w:rsidR="0099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от 01.01.201</w:t>
            </w:r>
            <w:r w:rsidR="0099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(+увеличение;- 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уменьшение</w:t>
            </w:r>
          </w:p>
        </w:tc>
        <w:tc>
          <w:tcPr>
            <w:tcW w:w="993" w:type="dxa"/>
          </w:tcPr>
          <w:p w:rsidR="00032035" w:rsidRPr="00032035" w:rsidRDefault="00032035" w:rsidP="0099605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Отклонение недоимки на 01.10.201</w:t>
            </w:r>
            <w:r w:rsidR="0099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от 01.10.201</w:t>
            </w:r>
            <w:r w:rsidR="0099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(+-</w:t>
            </w: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увеличение;- уменьшение)</w:t>
            </w:r>
          </w:p>
        </w:tc>
      </w:tr>
      <w:tr w:rsidR="00032035" w:rsidRPr="00032035" w:rsidTr="00EC57CA">
        <w:tc>
          <w:tcPr>
            <w:tcW w:w="3227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32035" w:rsidRPr="00032035" w:rsidRDefault="00032035" w:rsidP="0003203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032035" w:rsidRPr="00032035" w:rsidRDefault="00032035" w:rsidP="0003203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1646" w:rsidRPr="00032035" w:rsidTr="00EC57CA">
        <w:tc>
          <w:tcPr>
            <w:tcW w:w="3227" w:type="dxa"/>
          </w:tcPr>
          <w:p w:rsidR="00891646" w:rsidRPr="00032035" w:rsidRDefault="0089164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891646" w:rsidRPr="00032035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</w:tcPr>
          <w:p w:rsidR="00891646" w:rsidRPr="006C192E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</w:tcPr>
          <w:p w:rsidR="00891646" w:rsidRPr="00032035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34" w:type="dxa"/>
          </w:tcPr>
          <w:p w:rsidR="00891646" w:rsidRPr="00032035" w:rsidRDefault="00AF388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</w:tcPr>
          <w:p w:rsidR="00891646" w:rsidRPr="006C192E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-0,3</w:t>
            </w:r>
          </w:p>
        </w:tc>
        <w:tc>
          <w:tcPr>
            <w:tcW w:w="993" w:type="dxa"/>
          </w:tcPr>
          <w:p w:rsidR="00891646" w:rsidRPr="00032035" w:rsidRDefault="00AF3884" w:rsidP="00032035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</w:t>
            </w:r>
          </w:p>
        </w:tc>
      </w:tr>
      <w:tr w:rsidR="00891646" w:rsidRPr="00032035" w:rsidTr="00EC57CA">
        <w:tc>
          <w:tcPr>
            <w:tcW w:w="3227" w:type="dxa"/>
          </w:tcPr>
          <w:p w:rsidR="00891646" w:rsidRPr="00032035" w:rsidRDefault="0089164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91646" w:rsidRPr="00032035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  <w:tc>
          <w:tcPr>
            <w:tcW w:w="992" w:type="dxa"/>
          </w:tcPr>
          <w:p w:rsidR="00891646" w:rsidRPr="006C192E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62,6</w:t>
            </w:r>
          </w:p>
        </w:tc>
        <w:tc>
          <w:tcPr>
            <w:tcW w:w="992" w:type="dxa"/>
          </w:tcPr>
          <w:p w:rsidR="00891646" w:rsidRPr="00032035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134" w:type="dxa"/>
          </w:tcPr>
          <w:p w:rsidR="00891646" w:rsidRPr="00032035" w:rsidRDefault="00AF388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  <w:tc>
          <w:tcPr>
            <w:tcW w:w="1134" w:type="dxa"/>
          </w:tcPr>
          <w:p w:rsidR="00891646" w:rsidRPr="006C192E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93" w:type="dxa"/>
          </w:tcPr>
          <w:p w:rsidR="00891646" w:rsidRPr="00032035" w:rsidRDefault="00AF388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</w:tr>
      <w:tr w:rsidR="00891646" w:rsidRPr="00032035" w:rsidTr="00EC57CA">
        <w:tc>
          <w:tcPr>
            <w:tcW w:w="3227" w:type="dxa"/>
          </w:tcPr>
          <w:p w:rsidR="00891646" w:rsidRPr="00032035" w:rsidRDefault="00891646" w:rsidP="00032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891646" w:rsidRPr="00032035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92" w:type="dxa"/>
          </w:tcPr>
          <w:p w:rsidR="00891646" w:rsidRPr="006C192E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92" w:type="dxa"/>
          </w:tcPr>
          <w:p w:rsidR="00891646" w:rsidRPr="00032035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134" w:type="dxa"/>
          </w:tcPr>
          <w:p w:rsidR="00891646" w:rsidRPr="00032035" w:rsidRDefault="00AF388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134" w:type="dxa"/>
          </w:tcPr>
          <w:p w:rsidR="00891646" w:rsidRPr="006C192E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93" w:type="dxa"/>
          </w:tcPr>
          <w:p w:rsidR="00891646" w:rsidRPr="00032035" w:rsidRDefault="00AF388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891646" w:rsidRPr="00032035" w:rsidTr="00EC57CA">
        <w:tc>
          <w:tcPr>
            <w:tcW w:w="3227" w:type="dxa"/>
          </w:tcPr>
          <w:p w:rsidR="00891646" w:rsidRPr="00032035" w:rsidRDefault="00891646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1646" w:rsidRPr="00032035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</w:t>
            </w:r>
          </w:p>
        </w:tc>
        <w:tc>
          <w:tcPr>
            <w:tcW w:w="992" w:type="dxa"/>
          </w:tcPr>
          <w:p w:rsidR="00891646" w:rsidRPr="006C192E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71,9</w:t>
            </w:r>
          </w:p>
        </w:tc>
        <w:tc>
          <w:tcPr>
            <w:tcW w:w="992" w:type="dxa"/>
          </w:tcPr>
          <w:p w:rsidR="00891646" w:rsidRPr="00032035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1134" w:type="dxa"/>
          </w:tcPr>
          <w:p w:rsidR="00891646" w:rsidRPr="00032035" w:rsidRDefault="00AF388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1134" w:type="dxa"/>
          </w:tcPr>
          <w:p w:rsidR="00891646" w:rsidRPr="006C192E" w:rsidRDefault="00891646" w:rsidP="00AF38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93" w:type="dxa"/>
          </w:tcPr>
          <w:p w:rsidR="00891646" w:rsidRPr="00032035" w:rsidRDefault="00AF3884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</w:tr>
    </w:tbl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6AF" w:rsidRPr="00C956AF" w:rsidRDefault="00032035" w:rsidP="00C95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956AF"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вышеприведенного анализа  наблюдается незначительный  рост  задолженности плательщиков по платежам в бюджет  в сравнении задолженности на 01.01.2018  года с аналогичным периодом прошлого года   на 6,8 тыс. рублей, или на 10,4%, на 01.</w:t>
      </w:r>
      <w:r w:rsid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956AF"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.2018 года на </w:t>
      </w:r>
      <w:r w:rsid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7,7</w:t>
      </w:r>
      <w:r w:rsidR="00C956AF"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13,5</w:t>
      </w:r>
      <w:r w:rsidR="00C956AF"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том числе в разрезе налоговых источников:</w:t>
      </w:r>
    </w:p>
    <w:p w:rsidR="00C956AF" w:rsidRPr="00C956AF" w:rsidRDefault="00C956AF" w:rsidP="00C956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4,6</w:t>
      </w:r>
      <w:r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8,8</w:t>
      </w:r>
      <w:r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процента;</w:t>
      </w:r>
    </w:p>
    <w:p w:rsidR="00C956AF" w:rsidRPr="00C956AF" w:rsidRDefault="00C956AF" w:rsidP="00C956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76,2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C956AF" w:rsidRPr="00C956AF" w:rsidRDefault="00C956AF" w:rsidP="00C95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НДФЛ 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16,7 процентов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AF" w:rsidRPr="00C956AF" w:rsidRDefault="00C956AF" w:rsidP="00C95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следует, что наибольший удельный вес в структуре недоимки по платежам  составляет налог на имущество  физических лиц – 87,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 задолженность</w:t>
      </w:r>
      <w:r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земельному налогу –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на третьем месте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НДФЛ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C956AF" w:rsidRDefault="00C956AF" w:rsidP="00C95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B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  <w:r w:rsidRPr="00ED3B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приложении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постановлению администрации поселения Туровецкое 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.2018 года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указан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цифр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 столбце «% исполнения:</w:t>
      </w:r>
    </w:p>
    <w:p w:rsidR="00C956AF" w:rsidRDefault="00C956AF" w:rsidP="00C95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строке «000 1 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20 01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0000 110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Государственная пошлина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указать цифру «1,7»;</w:t>
      </w:r>
    </w:p>
    <w:p w:rsidR="00C956AF" w:rsidRDefault="00C956AF" w:rsidP="00C95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B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  <w:r w:rsidRPr="00ED3B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 приложении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постановлению администрации поселения Туровецкое 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.2018 года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неверно указана цифра 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столбце «% исполнения:</w:t>
      </w:r>
    </w:p>
    <w:p w:rsidR="00C956AF" w:rsidRPr="00ED3B57" w:rsidRDefault="00C956AF" w:rsidP="00C95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строке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Общегосударственные вопросы 01 00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цифры 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32,5»   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   заменить цифр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52,1</w:t>
      </w:r>
      <w:r w:rsidRPr="00ED3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</w:p>
    <w:p w:rsidR="00032035" w:rsidRPr="00032035" w:rsidRDefault="00032035" w:rsidP="000320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035" w:rsidRPr="00B32457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бюджета поселения за 9 месяцев  201</w:t>
      </w:r>
      <w:r w:rsidR="00C956AF"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исполнены в сумме </w:t>
      </w:r>
      <w:r w:rsidR="00B32457"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2833,2 </w:t>
      </w:r>
      <w:r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или </w:t>
      </w:r>
      <w:r w:rsidR="00B32457"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58,9</w:t>
      </w:r>
      <w:r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к утвержденным годовым назначениям </w:t>
      </w:r>
      <w:r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 сумме </w:t>
      </w:r>
      <w:r w:rsidR="00B32457"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4810,2</w:t>
      </w:r>
      <w:r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По сравнению с 9 месяцами  201</w:t>
      </w:r>
      <w:r w:rsidR="00B32457"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расходы у</w:t>
      </w:r>
      <w:r w:rsidR="00B32457"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меньшились</w:t>
      </w:r>
      <w:r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B32457"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543,3</w:t>
      </w:r>
      <w:r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</w:t>
      </w:r>
      <w:r w:rsidR="00B32457"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16,1</w:t>
      </w:r>
      <w:r w:rsidRPr="00B3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032035" w:rsidRPr="00B32457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24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Структура  исполнения бюджета поселения по расходам в сравнении с 9 месяцами  201</w:t>
      </w:r>
      <w:r w:rsidR="00B32457" w:rsidRPr="00B324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B324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отражена на следующей диаграмме:</w:t>
      </w:r>
    </w:p>
    <w:p w:rsidR="00032035" w:rsidRPr="00B32457" w:rsidRDefault="00032035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B32457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тыс. руб</w:t>
      </w:r>
      <w:r w:rsidR="00B32457" w:rsidRPr="00B32457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.</w:t>
      </w:r>
    </w:p>
    <w:p w:rsidR="00B32457" w:rsidRDefault="00B32457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B32457" w:rsidRPr="00222CDB" w:rsidRDefault="00B32457" w:rsidP="0003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4D792D" wp14:editId="199E2222">
            <wp:extent cx="5876925" cy="4533901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Расходы   бюджета поселения на социальную сферу за последний год имеют тенденцию к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 социальную сферу направлено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1040,6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81,7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9 месяцами  201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340,1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%),   их доля  в расходах бюджета поселения у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40,9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36,7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Наибольший удельный вес в расходах бюджета поселения занимают расходы  по разделу «Общегосударственные вопросы» -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52,9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разделу «Физическая культура и спорт» -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32,5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по разделу </w:t>
      </w:r>
      <w:r w:rsidR="0022412A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-5,8%, по разделу «Социальная экономика» - 4,2%.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остальным разделам: </w:t>
      </w:r>
      <w:r w:rsidR="0022412A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</w:t>
      </w:r>
      <w:r w:rsidR="0022412A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всего 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3D1" w:rsidRDefault="00032035" w:rsidP="00032035">
      <w:pPr>
        <w:spacing w:after="0" w:line="240" w:lineRule="auto"/>
        <w:contextualSpacing/>
        <w:jc w:val="both"/>
        <w:rPr>
          <w:noProof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9 месяцев  201</w:t>
      </w:r>
      <w:r w:rsidR="002241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</w:t>
      </w:r>
      <w:r w:rsidR="0022412A" w:rsidRPr="0022412A">
        <w:rPr>
          <w:noProof/>
          <w:lang w:eastAsia="ru-RU"/>
        </w:rPr>
        <w:t xml:space="preserve"> </w:t>
      </w:r>
      <w:r w:rsidR="00DA03D1">
        <w:rPr>
          <w:noProof/>
          <w:lang w:eastAsia="ru-RU"/>
        </w:rPr>
        <w:t>:</w:t>
      </w:r>
    </w:p>
    <w:p w:rsidR="00032035" w:rsidRPr="00032035" w:rsidRDefault="0022412A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54A01CE" wp14:editId="48C48E20">
            <wp:extent cx="5943600" cy="4257675"/>
            <wp:effectExtent l="0" t="0" r="571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течение отчетного периода не производились расходы, предусмотренные решением о бюджете, по разделам «Образование»,  «Национальная безопасность и правоохранительная деятельность». 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разделам предусмотрены бюджетные ассигнования на проведение мероприятий по молодежной политике и оздоровлению детей, на проведение мероприятий пожарной безопасности</w:t>
      </w:r>
      <w:r w:rsidR="00DA0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3D1" w:rsidRDefault="00DA03D1" w:rsidP="00DA03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разделам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разделов  «Национальная оборона» и «Физическая культура и спорт»,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2035">
        <w:rPr>
          <w:rFonts w:ascii="Times New Roman" w:eastAsia="Times New Roman" w:hAnsi="Times New Roman" w:cs="Times New Roman"/>
          <w:lang w:eastAsia="ru-RU"/>
        </w:rPr>
        <w:t>Таблица 5</w:t>
      </w:r>
      <w:r w:rsidRPr="00032035">
        <w:rPr>
          <w:rFonts w:ascii="Times New Roman" w:eastAsia="Times New Roman" w:hAnsi="Times New Roman" w:cs="Times New Roman"/>
          <w:lang w:eastAsia="ru-RU"/>
        </w:rPr>
        <w:tab/>
      </w:r>
      <w:r w:rsidRPr="00032035">
        <w:rPr>
          <w:rFonts w:ascii="Times New Roman" w:eastAsia="Times New Roman" w:hAnsi="Times New Roman" w:cs="Times New Roman"/>
          <w:lang w:eastAsia="ru-RU"/>
        </w:rPr>
        <w:tab/>
      </w:r>
      <w:r w:rsidRPr="00032035">
        <w:rPr>
          <w:rFonts w:ascii="Times New Roman" w:eastAsia="Times New Roman" w:hAnsi="Times New Roman" w:cs="Times New Roman"/>
          <w:lang w:eastAsia="ru-RU"/>
        </w:rPr>
        <w:tab/>
      </w:r>
      <w:r w:rsidRPr="00032035">
        <w:rPr>
          <w:rFonts w:ascii="Times New Roman" w:eastAsia="Times New Roman" w:hAnsi="Times New Roman" w:cs="Times New Roman"/>
          <w:lang w:eastAsia="ru-RU"/>
        </w:rPr>
        <w:tab/>
      </w:r>
      <w:r w:rsidRPr="00032035">
        <w:rPr>
          <w:rFonts w:ascii="Times New Roman" w:eastAsia="Times New Roman" w:hAnsi="Times New Roman" w:cs="Times New Roman"/>
          <w:lang w:eastAsia="ru-RU"/>
        </w:rPr>
        <w:tab/>
      </w:r>
      <w:r w:rsidRPr="00032035">
        <w:rPr>
          <w:rFonts w:ascii="Times New Roman" w:eastAsia="Times New Roman" w:hAnsi="Times New Roman" w:cs="Times New Roman"/>
          <w:lang w:eastAsia="ru-RU"/>
        </w:rPr>
        <w:tab/>
      </w:r>
      <w:r w:rsidRPr="00032035">
        <w:rPr>
          <w:rFonts w:ascii="Times New Roman" w:eastAsia="Times New Roman" w:hAnsi="Times New Roman" w:cs="Times New Roman"/>
          <w:lang w:eastAsia="ru-RU"/>
        </w:rPr>
        <w:tab/>
      </w:r>
      <w:r w:rsidRPr="0003203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Pr="00032035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039"/>
        <w:gridCol w:w="1091"/>
        <w:gridCol w:w="1213"/>
        <w:gridCol w:w="1038"/>
        <w:gridCol w:w="1091"/>
        <w:gridCol w:w="1147"/>
        <w:gridCol w:w="1038"/>
      </w:tblGrid>
      <w:tr w:rsidR="00032035" w:rsidRPr="00032035" w:rsidTr="00EC57CA">
        <w:trPr>
          <w:trHeight w:val="970"/>
        </w:trPr>
        <w:tc>
          <w:tcPr>
            <w:tcW w:w="1914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039" w:type="dxa"/>
          </w:tcPr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t xml:space="preserve">Исполнено в   9 месяцев </w:t>
            </w:r>
          </w:p>
          <w:p w:rsidR="00032035" w:rsidRPr="00032035" w:rsidRDefault="00032035" w:rsidP="00222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222CDB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03203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32035">
              <w:rPr>
                <w:rFonts w:ascii="Times New Roman" w:eastAsia="Calibri" w:hAnsi="Times New Roman" w:cs="Times New Roman"/>
                <w:lang w:eastAsia="ru-RU"/>
              </w:rPr>
              <w:lastRenderedPageBreak/>
              <w:t>года</w:t>
            </w:r>
          </w:p>
        </w:tc>
        <w:tc>
          <w:tcPr>
            <w:tcW w:w="1091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Процент 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213" w:type="dxa"/>
          </w:tcPr>
          <w:p w:rsidR="00032035" w:rsidRPr="00032035" w:rsidRDefault="00032035" w:rsidP="00222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</w:t>
            </w:r>
            <w:r w:rsidR="0022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038" w:type="dxa"/>
          </w:tcPr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Исполнено в 9 месяцев </w:t>
            </w:r>
          </w:p>
          <w:p w:rsidR="00032035" w:rsidRPr="00032035" w:rsidRDefault="00032035" w:rsidP="00222C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222CDB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03203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32035">
              <w:rPr>
                <w:rFonts w:ascii="Times New Roman" w:eastAsia="Calibri" w:hAnsi="Times New Roman" w:cs="Times New Roman"/>
                <w:lang w:eastAsia="ru-RU"/>
              </w:rPr>
              <w:lastRenderedPageBreak/>
              <w:t>года</w:t>
            </w:r>
          </w:p>
        </w:tc>
        <w:tc>
          <w:tcPr>
            <w:tcW w:w="1091" w:type="dxa"/>
          </w:tcPr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Процент 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147" w:type="dxa"/>
          </w:tcPr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t xml:space="preserve">отклонение 9 </w:t>
            </w:r>
            <w:r w:rsidRPr="0003203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месяцев  201</w:t>
            </w:r>
            <w:r w:rsidR="00222CD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t>года от 9 месяцев  2017</w:t>
            </w:r>
          </w:p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032035" w:rsidRPr="00032035" w:rsidRDefault="00032035" w:rsidP="00032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Исполнено</w:t>
            </w:r>
          </w:p>
          <w:p w:rsidR="00032035" w:rsidRPr="00032035" w:rsidRDefault="00032035" w:rsidP="000320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t xml:space="preserve">к уровню </w:t>
            </w:r>
            <w:r w:rsidRPr="00032035">
              <w:rPr>
                <w:rFonts w:ascii="Times New Roman" w:eastAsia="Calibri" w:hAnsi="Times New Roman" w:cs="Times New Roman"/>
                <w:lang w:eastAsia="ru-RU"/>
              </w:rPr>
              <w:lastRenderedPageBreak/>
              <w:t>9 месяцам</w:t>
            </w:r>
          </w:p>
          <w:p w:rsidR="00032035" w:rsidRPr="00032035" w:rsidRDefault="00032035" w:rsidP="00222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222CDB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032035">
              <w:rPr>
                <w:rFonts w:ascii="Times New Roman" w:eastAsia="Calibri" w:hAnsi="Times New Roman" w:cs="Times New Roman"/>
                <w:lang w:eastAsia="ru-RU"/>
              </w:rPr>
              <w:t xml:space="preserve"> года,%</w:t>
            </w:r>
          </w:p>
        </w:tc>
      </w:tr>
      <w:tr w:rsidR="00222CDB" w:rsidRPr="00032035" w:rsidTr="00EC57CA">
        <w:tc>
          <w:tcPr>
            <w:tcW w:w="1914" w:type="dxa"/>
          </w:tcPr>
          <w:p w:rsidR="00222CDB" w:rsidRPr="00032035" w:rsidRDefault="00222CDB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39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1571,7</w:t>
            </w:r>
          </w:p>
        </w:tc>
        <w:tc>
          <w:tcPr>
            <w:tcW w:w="1091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13" w:type="dxa"/>
          </w:tcPr>
          <w:p w:rsidR="00222CDB" w:rsidRPr="00032035" w:rsidRDefault="00197D16" w:rsidP="0003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2877,8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1499,7</w:t>
            </w:r>
          </w:p>
        </w:tc>
        <w:tc>
          <w:tcPr>
            <w:tcW w:w="1091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1147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-72,0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</w:tr>
      <w:tr w:rsidR="00222CDB" w:rsidRPr="00032035" w:rsidTr="00EC57CA">
        <w:tc>
          <w:tcPr>
            <w:tcW w:w="1914" w:type="dxa"/>
          </w:tcPr>
          <w:p w:rsidR="00222CDB" w:rsidRPr="00032035" w:rsidRDefault="00222CDB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39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1091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13" w:type="dxa"/>
          </w:tcPr>
          <w:p w:rsidR="00222CDB" w:rsidRPr="00032035" w:rsidRDefault="00197D16" w:rsidP="0003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091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147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</w:tr>
      <w:tr w:rsidR="00222CDB" w:rsidRPr="00032035" w:rsidTr="00EC57CA">
        <w:tc>
          <w:tcPr>
            <w:tcW w:w="1914" w:type="dxa"/>
          </w:tcPr>
          <w:p w:rsidR="00222CDB" w:rsidRPr="00032035" w:rsidRDefault="00222CDB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1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</w:tcPr>
          <w:p w:rsidR="00222CDB" w:rsidRPr="00032035" w:rsidRDefault="00197D16" w:rsidP="0003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1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7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22CDB" w:rsidRPr="00032035" w:rsidTr="00EC57CA">
        <w:tc>
          <w:tcPr>
            <w:tcW w:w="1914" w:type="dxa"/>
          </w:tcPr>
          <w:p w:rsidR="00222CDB" w:rsidRPr="00032035" w:rsidRDefault="00222CDB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39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223,9</w:t>
            </w:r>
          </w:p>
        </w:tc>
        <w:tc>
          <w:tcPr>
            <w:tcW w:w="1091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213" w:type="dxa"/>
          </w:tcPr>
          <w:p w:rsidR="00222CDB" w:rsidRPr="00032035" w:rsidRDefault="00197D16" w:rsidP="0003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259,3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091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147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-160,1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</w:tr>
      <w:tr w:rsidR="00222CDB" w:rsidRPr="00032035" w:rsidTr="00EC57CA">
        <w:tc>
          <w:tcPr>
            <w:tcW w:w="1914" w:type="dxa"/>
          </w:tcPr>
          <w:p w:rsidR="00222CDB" w:rsidRPr="00032035" w:rsidRDefault="00222CDB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39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091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55,7</w:t>
            </w:r>
          </w:p>
        </w:tc>
        <w:tc>
          <w:tcPr>
            <w:tcW w:w="1213" w:type="dxa"/>
          </w:tcPr>
          <w:p w:rsidR="00222CDB" w:rsidRPr="00032035" w:rsidRDefault="00197D16" w:rsidP="0003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280,5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164,8</w:t>
            </w:r>
          </w:p>
        </w:tc>
        <w:tc>
          <w:tcPr>
            <w:tcW w:w="1091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147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222CDB" w:rsidRPr="00032035" w:rsidTr="00EC57CA">
        <w:tc>
          <w:tcPr>
            <w:tcW w:w="1914" w:type="dxa"/>
          </w:tcPr>
          <w:p w:rsidR="00222CDB" w:rsidRPr="00032035" w:rsidRDefault="00222CDB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39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1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</w:tcPr>
          <w:p w:rsidR="00222CDB" w:rsidRPr="00032035" w:rsidRDefault="00197D16" w:rsidP="0003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1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7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22CDB" w:rsidRPr="00032035" w:rsidTr="00EC57CA">
        <w:tc>
          <w:tcPr>
            <w:tcW w:w="1914" w:type="dxa"/>
          </w:tcPr>
          <w:p w:rsidR="00222CDB" w:rsidRPr="00032035" w:rsidRDefault="00222CDB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039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750,2</w:t>
            </w:r>
          </w:p>
        </w:tc>
        <w:tc>
          <w:tcPr>
            <w:tcW w:w="1091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1213" w:type="dxa"/>
          </w:tcPr>
          <w:p w:rsidR="00222CDB" w:rsidRPr="00032035" w:rsidRDefault="00197D16" w:rsidP="0003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1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7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-750,2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22CDB" w:rsidRPr="00032035" w:rsidTr="00EC57CA">
        <w:tc>
          <w:tcPr>
            <w:tcW w:w="1914" w:type="dxa"/>
          </w:tcPr>
          <w:p w:rsidR="00222CDB" w:rsidRPr="00032035" w:rsidRDefault="00222CDB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39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1" w:type="dxa"/>
          </w:tcPr>
          <w:p w:rsidR="00222CDB" w:rsidRPr="00032035" w:rsidRDefault="00222CDB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</w:tcPr>
          <w:p w:rsidR="00222CDB" w:rsidRPr="00032035" w:rsidRDefault="00197D16" w:rsidP="0003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203,8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119,4</w:t>
            </w:r>
          </w:p>
        </w:tc>
        <w:tc>
          <w:tcPr>
            <w:tcW w:w="1091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1147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119,4</w:t>
            </w:r>
          </w:p>
        </w:tc>
        <w:tc>
          <w:tcPr>
            <w:tcW w:w="1038" w:type="dxa"/>
          </w:tcPr>
          <w:p w:rsidR="00222CDB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97D16" w:rsidRPr="00032035" w:rsidTr="00EC57CA">
        <w:trPr>
          <w:trHeight w:val="540"/>
        </w:trPr>
        <w:tc>
          <w:tcPr>
            <w:tcW w:w="1914" w:type="dxa"/>
          </w:tcPr>
          <w:p w:rsidR="00197D16" w:rsidRPr="00032035" w:rsidRDefault="00197D16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39" w:type="dxa"/>
          </w:tcPr>
          <w:p w:rsidR="00197D16" w:rsidRPr="00032035" w:rsidRDefault="00197D16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630,5</w:t>
            </w:r>
          </w:p>
        </w:tc>
        <w:tc>
          <w:tcPr>
            <w:tcW w:w="1091" w:type="dxa"/>
          </w:tcPr>
          <w:p w:rsidR="00197D16" w:rsidRPr="00032035" w:rsidRDefault="00197D16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213" w:type="dxa"/>
          </w:tcPr>
          <w:p w:rsidR="00197D16" w:rsidRPr="00032035" w:rsidRDefault="00197D16" w:rsidP="00E74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1070,4</w:t>
            </w:r>
          </w:p>
        </w:tc>
        <w:tc>
          <w:tcPr>
            <w:tcW w:w="1038" w:type="dxa"/>
          </w:tcPr>
          <w:p w:rsidR="00197D16" w:rsidRPr="00032035" w:rsidRDefault="00197D16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921,2</w:t>
            </w:r>
          </w:p>
        </w:tc>
        <w:tc>
          <w:tcPr>
            <w:tcW w:w="1091" w:type="dxa"/>
          </w:tcPr>
          <w:p w:rsidR="00197D16" w:rsidRPr="00032035" w:rsidRDefault="00197D16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  <w:tc>
          <w:tcPr>
            <w:tcW w:w="1147" w:type="dxa"/>
          </w:tcPr>
          <w:p w:rsidR="00197D16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290,7</w:t>
            </w:r>
          </w:p>
        </w:tc>
        <w:tc>
          <w:tcPr>
            <w:tcW w:w="1038" w:type="dxa"/>
          </w:tcPr>
          <w:p w:rsidR="00197D16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146,1</w:t>
            </w:r>
          </w:p>
        </w:tc>
      </w:tr>
      <w:tr w:rsidR="00197D16" w:rsidRPr="00032035" w:rsidTr="00EC57CA">
        <w:tc>
          <w:tcPr>
            <w:tcW w:w="1914" w:type="dxa"/>
          </w:tcPr>
          <w:p w:rsidR="00197D16" w:rsidRPr="00032035" w:rsidRDefault="00197D16" w:rsidP="00032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039" w:type="dxa"/>
          </w:tcPr>
          <w:p w:rsidR="00197D16" w:rsidRPr="00032035" w:rsidRDefault="00197D16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b/>
                <w:lang w:eastAsia="ru-RU"/>
              </w:rPr>
              <w:t>3376,5</w:t>
            </w:r>
          </w:p>
        </w:tc>
        <w:tc>
          <w:tcPr>
            <w:tcW w:w="1091" w:type="dxa"/>
          </w:tcPr>
          <w:p w:rsidR="00197D16" w:rsidRPr="00032035" w:rsidRDefault="00197D16" w:rsidP="00E749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035">
              <w:rPr>
                <w:rFonts w:ascii="Times New Roman" w:eastAsia="Times New Roman" w:hAnsi="Times New Roman" w:cs="Times New Roman"/>
                <w:b/>
                <w:lang w:eastAsia="ru-RU"/>
              </w:rPr>
              <w:t>66,4</w:t>
            </w:r>
          </w:p>
        </w:tc>
        <w:tc>
          <w:tcPr>
            <w:tcW w:w="1213" w:type="dxa"/>
          </w:tcPr>
          <w:p w:rsidR="00197D16" w:rsidRPr="00032035" w:rsidRDefault="00197D16" w:rsidP="0003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4810,2</w:t>
            </w:r>
          </w:p>
        </w:tc>
        <w:tc>
          <w:tcPr>
            <w:tcW w:w="1038" w:type="dxa"/>
          </w:tcPr>
          <w:p w:rsidR="00197D16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2833,2</w:t>
            </w:r>
          </w:p>
        </w:tc>
        <w:tc>
          <w:tcPr>
            <w:tcW w:w="1091" w:type="dxa"/>
          </w:tcPr>
          <w:p w:rsidR="00197D16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58,9</w:t>
            </w:r>
          </w:p>
        </w:tc>
        <w:tc>
          <w:tcPr>
            <w:tcW w:w="1147" w:type="dxa"/>
          </w:tcPr>
          <w:p w:rsidR="00197D16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-543,3</w:t>
            </w:r>
          </w:p>
        </w:tc>
        <w:tc>
          <w:tcPr>
            <w:tcW w:w="1038" w:type="dxa"/>
          </w:tcPr>
          <w:p w:rsidR="00197D16" w:rsidRPr="00032035" w:rsidRDefault="00197D16" w:rsidP="000320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83,9</w:t>
            </w:r>
          </w:p>
        </w:tc>
      </w:tr>
    </w:tbl>
    <w:p w:rsidR="00032035" w:rsidRPr="00032035" w:rsidRDefault="00032035" w:rsidP="000320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«Общегосударственные вопросы»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CE239B">
        <w:rPr>
          <w:rFonts w:ascii="Times New Roman" w:eastAsia="Times New Roman" w:hAnsi="Times New Roman" w:cs="Times New Roman"/>
          <w:sz w:val="28"/>
          <w:szCs w:val="28"/>
          <w:lang w:eastAsia="ru-RU"/>
        </w:rPr>
        <w:t>1499,7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E239B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201</w:t>
      </w:r>
      <w:r w:rsidR="00CE23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C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CE239B">
        <w:rPr>
          <w:rFonts w:ascii="Times New Roman" w:eastAsia="Times New Roman" w:hAnsi="Times New Roman" w:cs="Times New Roman"/>
          <w:sz w:val="28"/>
          <w:szCs w:val="28"/>
          <w:lang w:eastAsia="ru-RU"/>
        </w:rPr>
        <w:t>543,3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E239B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направлены:</w:t>
      </w:r>
    </w:p>
    <w:p w:rsidR="00586B5A" w:rsidRPr="00586B5A" w:rsidRDefault="00586B5A" w:rsidP="0058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направлены:</w:t>
      </w:r>
    </w:p>
    <w:p w:rsidR="00586B5A" w:rsidRPr="00586B5A" w:rsidRDefault="00586B5A" w:rsidP="0058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выплату заработной платы с начислениями  Главе поселения  в сумме </w:t>
      </w:r>
      <w:r w:rsidR="00D8461D">
        <w:rPr>
          <w:rFonts w:ascii="Times New Roman" w:eastAsia="Times New Roman" w:hAnsi="Times New Roman" w:cs="Times New Roman"/>
          <w:sz w:val="28"/>
          <w:szCs w:val="28"/>
          <w:lang w:eastAsia="ru-RU"/>
        </w:rPr>
        <w:t>278,1</w:t>
      </w:r>
      <w:r w:rsidRPr="005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86B5A" w:rsidRPr="00586B5A" w:rsidRDefault="00586B5A" w:rsidP="0058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содержание администрации поселения в сумме </w:t>
      </w:r>
      <w:r w:rsidR="00CB717A">
        <w:rPr>
          <w:rFonts w:ascii="Times New Roman" w:eastAsia="Times New Roman" w:hAnsi="Times New Roman" w:cs="Times New Roman"/>
          <w:sz w:val="28"/>
          <w:szCs w:val="28"/>
          <w:lang w:eastAsia="ru-RU"/>
        </w:rPr>
        <w:t>1176,6</w:t>
      </w:r>
      <w:r w:rsidRPr="005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86B5A" w:rsidRPr="00586B5A" w:rsidRDefault="00586B5A" w:rsidP="0058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-</w:t>
      </w:r>
      <w:r w:rsidR="00CB717A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Pr="005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86B5A" w:rsidRPr="00586B5A" w:rsidRDefault="00586B5A" w:rsidP="0058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межбюджетные трансферты по осуществлению  полномочий по внутреннему муниципальному финансовому контролю – </w:t>
      </w:r>
      <w:r w:rsidR="00CB717A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5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86B5A" w:rsidRDefault="00586B5A" w:rsidP="0058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оплата членского взноса</w:t>
      </w:r>
      <w:r w:rsidR="00CB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Ассоциацию – 3,0 тыс. рублей;</w:t>
      </w:r>
    </w:p>
    <w:p w:rsidR="00CB717A" w:rsidRPr="00586B5A" w:rsidRDefault="00CB717A" w:rsidP="0058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 оформление протоколов  по административным правонарушениям – 0,4  тыс. рублей.</w:t>
      </w:r>
    </w:p>
    <w:p w:rsidR="00586B5A" w:rsidRDefault="00CB717A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B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2018 года</w:t>
      </w:r>
      <w:r w:rsidRPr="00CB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расходовались.</w:t>
      </w:r>
    </w:p>
    <w:p w:rsidR="00E354FE" w:rsidRPr="00032035" w:rsidRDefault="00E354FE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</w:t>
      </w:r>
      <w:r w:rsidRPr="00E74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64,3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75,0 % к годовым бюджетным назначениям. По сравнению с 9 месяцами  201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E354FE" w:rsidRPr="00E74916" w:rsidRDefault="00E354FE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за 9 месяцев  201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E354FE" w:rsidRPr="00E74916" w:rsidRDefault="00E354FE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за 9 месяцев  составили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63,8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 По сравнению с 9 месяцами  201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160,1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71,5</w:t>
      </w:r>
      <w:r w:rsidR="00B156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Средства направлены  на расчистку автомобильных дорог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4FE" w:rsidRPr="00E74916" w:rsidRDefault="00E354FE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16" w:rsidRPr="00E74916" w:rsidRDefault="00032035" w:rsidP="00E7491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164,8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58,8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назначениям, в том числе  по подразделу «Благоустройству» -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164,8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оплату уличного освещения на территории поселения направлено </w:t>
      </w:r>
      <w:r w:rsid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112,4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 н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прочие мероприятия по благоустройству израсходовано 49,9 тыс. рублей на разборку </w:t>
      </w:r>
      <w:r w:rsid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аварийного жилья, на вывоз ТБО – 2,4 тыс. рублей.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9 месяцами 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24,5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="00E74916" w:rsidRP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32035" w:rsidRPr="00CB717A" w:rsidRDefault="00032035" w:rsidP="0003203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 за 9 месяцев  2017 года не осуществлялись.</w:t>
      </w:r>
    </w:p>
    <w:p w:rsidR="00E354FE" w:rsidRPr="00E354FE" w:rsidRDefault="00E354FE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FE" w:rsidRPr="00E354FE" w:rsidRDefault="00032035" w:rsidP="00E354F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</w:t>
      </w:r>
      <w:r w:rsidR="00B15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35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кинематография»</w:t>
      </w:r>
      <w:r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354FE"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за 9 месяцев 2018 года не осуществлялись в связи с тем, что МБУК «Туровецкий Дом культуры» ликвидирован. По сравнению с 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месяцами </w:t>
      </w:r>
      <w:r w:rsidR="00E354FE"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года расходы уменьшились на  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750,2</w:t>
      </w:r>
      <w:r w:rsidR="00E354FE"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(100 %). 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FE" w:rsidRPr="00E354FE" w:rsidRDefault="00E354FE" w:rsidP="00E354F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035" w:rsidRPr="00032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="00032035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расходы за 9 месяцев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2035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119,4</w:t>
      </w:r>
      <w:r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58,6</w:t>
      </w:r>
      <w:r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Средства направлены на доплаты к пенсии муниципальным служащим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бывшей  Главе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 сравнению с аналогичным периодом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119,4</w:t>
      </w:r>
      <w:r w:rsidRP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(100%).</w:t>
      </w:r>
    </w:p>
    <w:p w:rsidR="00E354FE" w:rsidRPr="00032035" w:rsidRDefault="00E354FE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921,2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86,1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  По сравнению с 9 месяцами  201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290,7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46,1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«Олимп» в сумме </w:t>
      </w:r>
      <w:r w:rsidR="00E354FE">
        <w:rPr>
          <w:rFonts w:ascii="Times New Roman" w:eastAsia="Times New Roman" w:hAnsi="Times New Roman" w:cs="Times New Roman"/>
          <w:sz w:val="28"/>
          <w:szCs w:val="28"/>
          <w:lang w:eastAsia="ru-RU"/>
        </w:rPr>
        <w:t>921,2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03203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201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сферы, в том числе финансируемых за счет собственных средств бюджета поселения.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201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-3 шт. единиц, на 01 октября 201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 шт. единиц. Штатная численность служащих аппарата управления остается без изменений.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DA53B0">
        <w:rPr>
          <w:rFonts w:ascii="Times New Roman" w:hAnsi="Times New Roman" w:cs="Times New Roman"/>
          <w:sz w:val="28"/>
          <w:szCs w:val="28"/>
        </w:rPr>
        <w:t>697,0</w:t>
      </w:r>
      <w:r w:rsidRPr="00032035">
        <w:rPr>
          <w:rFonts w:ascii="Times New Roman" w:hAnsi="Times New Roman" w:cs="Times New Roman"/>
          <w:sz w:val="28"/>
          <w:szCs w:val="28"/>
        </w:rPr>
        <w:t xml:space="preserve"> 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709,7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9 месяцев   201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Наблюдается увеличение  расходов на оплату труда работников органа местного самоуправления  за 9 месяцев  201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октября  201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2 (в т. ч. финансируемых за счет собственных доходов  – 2), на 01 октября   201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DA53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– </w:t>
      </w:r>
      <w:r w:rsidR="00B15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октября  201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01октября  201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01.10.201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01.10.201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снизилась на 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штатную единицу</w:t>
      </w:r>
      <w:r w:rsidR="00DB34F1" w:rsidRP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DB34F1" w:rsidRP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МБУК «</w:t>
      </w:r>
      <w:r w:rsidR="00DB34F1" w:rsidRP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Туровецкий Дом культуры»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DB34F1" w:rsidRPr="00032035" w:rsidRDefault="00DB34F1" w:rsidP="00DB34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9 месяцев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–  733,7 тыс. рублей;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621,9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9 месяцев   201</w:t>
      </w:r>
      <w:r w:rsidR="00DB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составила  </w:t>
      </w:r>
      <w:r w:rsidR="00DB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22,0</w:t>
      </w:r>
      <w:r w:rsidRPr="0003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процента.</w:t>
      </w:r>
    </w:p>
    <w:p w:rsid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Наблюдается снижение    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оплату труда работников муниципальных учреждений  на 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111,8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15,2  процента.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4F1" w:rsidRDefault="00DB34F1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F1" w:rsidRDefault="00DB34F1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F1" w:rsidRPr="00032035" w:rsidRDefault="00DB34F1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Дефицит бюджета поселения.</w:t>
      </w:r>
    </w:p>
    <w:p w:rsidR="00032035" w:rsidRPr="00032035" w:rsidRDefault="00032035" w:rsidP="00032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2589" w:rsidRPr="00432589" w:rsidRDefault="00432589" w:rsidP="004325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Первоначальный бюджет поселения на 2018  год принят без дефицита. Изменения в решение «О бюджете поселения на 2018 год и плановый период 2019 и 2020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4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вносились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4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от 19.04.2018 года №26 и от 29.06.2018 года №32. Уточненный бюджет поселения принят с дефицитом в сумме 25,0 тыс. рублей, или 8,8 процента от объема доходов без учета безвозмездных поступлений и поступлений налоговых доходов по дополнительным нормативам отчислений. Источником финансирования дефицита бюджета поселения являются остатки средств бюджета на начало 2018 года в сумме 25,2  тыс. рублей.</w:t>
      </w:r>
    </w:p>
    <w:p w:rsidR="00432589" w:rsidRPr="00432589" w:rsidRDefault="00432589" w:rsidP="004325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4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 года исполнен с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4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4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035" w:rsidRPr="00032035" w:rsidRDefault="00032035" w:rsidP="00032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032035" w:rsidRPr="00032035" w:rsidRDefault="00032035" w:rsidP="0003203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5EBD" w:rsidRPr="00C05EBD" w:rsidRDefault="00C05EBD" w:rsidP="00C05E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5E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Туровецкое от 18 декабря 2017 года № 20 установлен верхний предел муниципального внутреннего долга поселения по состоянию на 1 января 2019 года в сумме 0,0 тыс. рублей.</w:t>
      </w:r>
    </w:p>
    <w:p w:rsidR="00C05EBD" w:rsidRPr="00C05EBD" w:rsidRDefault="00C05EBD" w:rsidP="00C05EB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C05EBD" w:rsidRPr="00C05EBD" w:rsidRDefault="00C05EBD" w:rsidP="00C05E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5E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2018 году не запланировано.</w:t>
      </w:r>
    </w:p>
    <w:p w:rsidR="00032035" w:rsidRPr="00032035" w:rsidRDefault="00032035" w:rsidP="0003203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32035" w:rsidRPr="00032035" w:rsidRDefault="00032035" w:rsidP="0003203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32035" w:rsidRPr="00032035" w:rsidRDefault="00032035" w:rsidP="0003203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03203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032035" w:rsidRPr="00032035" w:rsidRDefault="00032035" w:rsidP="0003203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кредиторской задолженности по состоянию на 01 января 201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269,4</w:t>
      </w:r>
      <w:r w:rsidRPr="0003203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 октября  201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05EBD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105,3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января 201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C05EBD" w:rsidRP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60,2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C05EBD" w:rsidRP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просроченной –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35,5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 октября 201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по содержанию муниципального имущества –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услуги –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 материальных запасов – 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60,0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передаваемые полномочия по внешнему финансовому контролю – 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201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меньшился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209,2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77,6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ходе исполнения бюджета поселения за 9 месяцев  текущего года объем кредиторской задолженности снизился  по сравнению с 9 месяцами 201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на 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значительная по объему задолженность 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приобретенные материальные запасы в сумме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40,6 тыс. рублей.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дебиторской задолженности по состоянию  на 01 января 201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 задолженности по состоянию на 01 октября 201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– 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84,0 тыс. рублей 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земельному налогу и налогу на имущество физических лиц.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19E" w:rsidRPr="0072219E" w:rsidRDefault="0072219E" w:rsidP="0072219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Изменения в решение «О бюджете поселения на 2018 год и плановый период 2019 и 2020 годов»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вносились 2 раза решениями от 19.04.2018 года №26 и от 29.06.2018 года №32.</w:t>
      </w:r>
    </w:p>
    <w:p w:rsidR="0072219E" w:rsidRPr="0072219E" w:rsidRDefault="0072219E" w:rsidP="0072219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доходы бюджета поселения составили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2830,2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59,1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4785,2 тыс. рублей, в том числе налоговые и неналоговые доходы –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285,4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79,7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2544,8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57,5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72219E" w:rsidRPr="0072219E" w:rsidRDefault="0072219E" w:rsidP="0072219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является налог на доходы физических лиц, земельный налог прочие доходы от компенсации затрат бюджетов сельских поселений, доля которых в объеме налоговых и неналоговых доходов бюджета поселения составила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89,9 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19E" w:rsidRPr="0072219E" w:rsidRDefault="0072219E" w:rsidP="0072219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89,8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219E" w:rsidRPr="0072219E" w:rsidRDefault="0072219E" w:rsidP="0072219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2833,2 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58,9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4810,2  тыс. рублей.</w:t>
      </w:r>
    </w:p>
    <w:p w:rsidR="0072219E" w:rsidRPr="0072219E" w:rsidRDefault="0072219E" w:rsidP="0072219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социальную сферу направлено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1040,6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81,7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Не производилось финансирование расходов по разделам  «Национальная безопасность и правоохранительная деятельность» и «Образование».</w:t>
      </w:r>
    </w:p>
    <w:p w:rsidR="00A67650" w:rsidRDefault="00A67650" w:rsidP="00A6765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разделам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разделов  «Национальная оборона» и «Физическая культура и спорт»,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34B" w:rsidRPr="00C956AF" w:rsidRDefault="0072219E" w:rsidP="001D0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76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 сравнении задолженности по  налоговым платежам  по состоянию на 01.07.2018 года с аналогичным периодом 2017 года   произошло увеличение</w:t>
      </w:r>
      <w:r w:rsidR="001D034B"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34B"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7,7</w:t>
      </w:r>
      <w:r w:rsidR="001D034B"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13,5</w:t>
      </w:r>
      <w:r w:rsidR="001D034B"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том числе в разрезе налоговых источников:</w:t>
      </w:r>
    </w:p>
    <w:p w:rsidR="001D034B" w:rsidRPr="00C956AF" w:rsidRDefault="001D034B" w:rsidP="001D03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4,6</w:t>
      </w:r>
      <w:r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8,8</w:t>
      </w:r>
      <w:r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процента;</w:t>
      </w:r>
    </w:p>
    <w:p w:rsidR="001D034B" w:rsidRPr="00C956AF" w:rsidRDefault="001D034B" w:rsidP="001D03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76,2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1D034B" w:rsidRPr="00C956AF" w:rsidRDefault="001D034B" w:rsidP="001D0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НДФЛ 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16,7 процентов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34B" w:rsidRDefault="001D034B" w:rsidP="0072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следует, что наибольший удельный вес в структуре недоимки по платежам  составляет налог на имущество  физических лиц – 87,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 задолженность</w:t>
      </w:r>
      <w:r w:rsidRPr="00C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земельному налогу –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на третьем месте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НДФЛ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0,8  процента.</w:t>
      </w:r>
    </w:p>
    <w:p w:rsidR="0072219E" w:rsidRPr="0072219E" w:rsidRDefault="001D034B" w:rsidP="0072219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219E"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2219E"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 года бюджет поселения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="0072219E"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72219E"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2219E" w:rsidRPr="0072219E" w:rsidRDefault="0072219E" w:rsidP="007221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D03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исполнения бюджета поселения за </w:t>
      </w:r>
      <w:r w:rsidR="001D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объем кредиторской задолженности увеличился по сравнению с началом года на 19,1 тыс. рублей (31,7%). Наиболее значительная по объему задолженность по содержанию имущества  -37,8 тыс. рублей.</w:t>
      </w:r>
    </w:p>
    <w:p w:rsidR="0072219E" w:rsidRPr="0072219E" w:rsidRDefault="0072219E" w:rsidP="007221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Дебиторская задолженность  на 01 июля 2018 года отсутствует, то есть снизилась по сравнению с началом года на 4,8 тыс. рублей.</w:t>
      </w:r>
    </w:p>
    <w:p w:rsidR="0072219E" w:rsidRPr="0072219E" w:rsidRDefault="0072219E" w:rsidP="007221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32035" w:rsidRPr="00032035" w:rsidRDefault="00032035" w:rsidP="001D034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032035" w:rsidRPr="00032035" w:rsidRDefault="00032035" w:rsidP="0003203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D94" w:rsidRDefault="00437D94" w:rsidP="0043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B25C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Устранить ошибки в Приложениях 1,</w:t>
      </w:r>
      <w:r w:rsidR="00020AB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 w:rsidR="00020AB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0A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.2018 года №2</w:t>
      </w:r>
      <w:r w:rsidR="00020A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указанные в тексте заключения.</w:t>
      </w:r>
    </w:p>
    <w:p w:rsidR="00437D94" w:rsidRPr="001A0077" w:rsidRDefault="00437D94" w:rsidP="0043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032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Пересмотреть плановый показатель в сторону увеличения   в части налога на доходы физических лиц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A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94" w:rsidRPr="00F55FD7" w:rsidRDefault="00437D94" w:rsidP="00437D94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F55FD7">
        <w:rPr>
          <w:rFonts w:ascii="Times New Roman" w:hAnsi="Times New Roman" w:cs="Times New Roman"/>
          <w:sz w:val="28"/>
          <w:szCs w:val="28"/>
        </w:rPr>
        <w:t>.В целях пополнения доходной части  бюджета поселения  рекомендуем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все необходимые меры по сокращению задолженности по налоговым доходам. </w:t>
      </w:r>
    </w:p>
    <w:p w:rsidR="00437D94" w:rsidRPr="001A0077" w:rsidRDefault="00437D94" w:rsidP="0043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4.В связи с</w:t>
      </w:r>
      <w:r w:rsidRPr="006C192E">
        <w:rPr>
          <w:rFonts w:ascii="Times New Roman" w:hAnsi="Times New Roman" w:cs="Times New Roman"/>
          <w:sz w:val="28"/>
          <w:szCs w:val="28"/>
        </w:rPr>
        <w:t xml:space="preserve">  ростом кредиторской задолженности, принять все  необходимые меры по  ее сокращению.</w:t>
      </w:r>
      <w:r w:rsidRPr="001A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035" w:rsidRPr="00032035" w:rsidRDefault="00032035" w:rsidP="00437D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A6" w:rsidRDefault="00C014A6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и</w:t>
      </w:r>
      <w:r w:rsidR="00032035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</w:t>
      </w:r>
    </w:p>
    <w:p w:rsidR="00032035" w:rsidRPr="00032035" w:rsidRDefault="00C014A6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</w:t>
      </w:r>
      <w:r w:rsidR="00032035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035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035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32035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2035" w:rsidRPr="0003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Шестакова</w:t>
      </w:r>
    </w:p>
    <w:p w:rsidR="00032035" w:rsidRPr="0003203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5" w:rsidRPr="00032035" w:rsidRDefault="00032035" w:rsidP="000320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FC" w:rsidRDefault="002318FC"/>
    <w:sectPr w:rsidR="002318FC" w:rsidSect="00EC57CA">
      <w:headerReference w:type="default" r:id="rId14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67" w:rsidRDefault="00F50367">
      <w:pPr>
        <w:spacing w:after="0" w:line="240" w:lineRule="auto"/>
      </w:pPr>
      <w:r>
        <w:separator/>
      </w:r>
    </w:p>
  </w:endnote>
  <w:endnote w:type="continuationSeparator" w:id="0">
    <w:p w:rsidR="00F50367" w:rsidRDefault="00F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67" w:rsidRDefault="00F50367">
      <w:pPr>
        <w:spacing w:after="0" w:line="240" w:lineRule="auto"/>
      </w:pPr>
      <w:r>
        <w:separator/>
      </w:r>
    </w:p>
  </w:footnote>
  <w:footnote w:type="continuationSeparator" w:id="0">
    <w:p w:rsidR="00F50367" w:rsidRDefault="00F5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0453"/>
    </w:sdtPr>
    <w:sdtEndPr/>
    <w:sdtContent>
      <w:p w:rsidR="00E74916" w:rsidRDefault="00E7491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8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4916" w:rsidRDefault="00E74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4529E3"/>
    <w:multiLevelType w:val="hybridMultilevel"/>
    <w:tmpl w:val="B1C45ADE"/>
    <w:lvl w:ilvl="0" w:tplc="7F928A7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89"/>
    <w:rsid w:val="00020ABD"/>
    <w:rsid w:val="00032035"/>
    <w:rsid w:val="001010E6"/>
    <w:rsid w:val="00197D16"/>
    <w:rsid w:val="001D034B"/>
    <w:rsid w:val="00222CDB"/>
    <w:rsid w:val="0022412A"/>
    <w:rsid w:val="002318FC"/>
    <w:rsid w:val="002321AB"/>
    <w:rsid w:val="002449D6"/>
    <w:rsid w:val="002758A3"/>
    <w:rsid w:val="002C53CC"/>
    <w:rsid w:val="00304263"/>
    <w:rsid w:val="00306A0E"/>
    <w:rsid w:val="00376E44"/>
    <w:rsid w:val="003E1443"/>
    <w:rsid w:val="004004FE"/>
    <w:rsid w:val="00420289"/>
    <w:rsid w:val="00432589"/>
    <w:rsid w:val="00437D94"/>
    <w:rsid w:val="00506E48"/>
    <w:rsid w:val="00585CDC"/>
    <w:rsid w:val="00586B5A"/>
    <w:rsid w:val="005B2850"/>
    <w:rsid w:val="00614457"/>
    <w:rsid w:val="00665A1A"/>
    <w:rsid w:val="006C3294"/>
    <w:rsid w:val="006D3686"/>
    <w:rsid w:val="006E5736"/>
    <w:rsid w:val="007136B7"/>
    <w:rsid w:val="0072219E"/>
    <w:rsid w:val="007403BF"/>
    <w:rsid w:val="00741844"/>
    <w:rsid w:val="007914FC"/>
    <w:rsid w:val="007F6519"/>
    <w:rsid w:val="00891646"/>
    <w:rsid w:val="00901F83"/>
    <w:rsid w:val="00931E14"/>
    <w:rsid w:val="00996056"/>
    <w:rsid w:val="00A27F2F"/>
    <w:rsid w:val="00A45142"/>
    <w:rsid w:val="00A67650"/>
    <w:rsid w:val="00AA0F93"/>
    <w:rsid w:val="00AF3884"/>
    <w:rsid w:val="00B1561B"/>
    <w:rsid w:val="00B32457"/>
    <w:rsid w:val="00C014A6"/>
    <w:rsid w:val="00C05EBD"/>
    <w:rsid w:val="00C3333D"/>
    <w:rsid w:val="00C50FB2"/>
    <w:rsid w:val="00C956AF"/>
    <w:rsid w:val="00CB717A"/>
    <w:rsid w:val="00CE239B"/>
    <w:rsid w:val="00D02853"/>
    <w:rsid w:val="00D8461D"/>
    <w:rsid w:val="00D91637"/>
    <w:rsid w:val="00DA03D1"/>
    <w:rsid w:val="00DA53B0"/>
    <w:rsid w:val="00DB34F1"/>
    <w:rsid w:val="00DF3B8E"/>
    <w:rsid w:val="00E354FE"/>
    <w:rsid w:val="00E74916"/>
    <w:rsid w:val="00E749B5"/>
    <w:rsid w:val="00EC57CA"/>
    <w:rsid w:val="00ED3B57"/>
    <w:rsid w:val="00F40C3F"/>
    <w:rsid w:val="00F50367"/>
    <w:rsid w:val="00F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2035"/>
  </w:style>
  <w:style w:type="paragraph" w:styleId="a3">
    <w:name w:val="header"/>
    <w:basedOn w:val="a"/>
    <w:link w:val="a4"/>
    <w:rsid w:val="000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03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3203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320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32035"/>
  </w:style>
  <w:style w:type="table" w:styleId="a7">
    <w:name w:val="Table Grid"/>
    <w:basedOn w:val="a1"/>
    <w:rsid w:val="000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0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0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032035"/>
  </w:style>
  <w:style w:type="paragraph" w:customStyle="1" w:styleId="ConsPlusTitle">
    <w:name w:val="ConsPlusTitle"/>
    <w:rsid w:val="00032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0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3203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3203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03203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32035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32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2035"/>
  </w:style>
  <w:style w:type="paragraph" w:styleId="a3">
    <w:name w:val="header"/>
    <w:basedOn w:val="a"/>
    <w:link w:val="a4"/>
    <w:rsid w:val="000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03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3203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320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32035"/>
  </w:style>
  <w:style w:type="table" w:styleId="a7">
    <w:name w:val="Table Grid"/>
    <w:basedOn w:val="a1"/>
    <w:rsid w:val="000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0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0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032035"/>
  </w:style>
  <w:style w:type="paragraph" w:customStyle="1" w:styleId="ConsPlusTitle">
    <w:name w:val="ConsPlusTitle"/>
    <w:rsid w:val="00032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0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3203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3203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03203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32035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32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457174103237098"/>
          <c:y val="7.407407407407407E-2"/>
          <c:w val="0.32837423447069114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Лист1!$B$153</c:f>
              <c:strCache>
                <c:ptCount val="1"/>
                <c:pt idx="0">
                  <c:v>за 9 месяцев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Лист1!$A$154:$A$158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прочие доходы от компенсации затрат бюджетов сельских поселений</c:v>
                </c:pt>
              </c:strCache>
            </c:strRef>
          </c:cat>
          <c:val>
            <c:numRef>
              <c:f>Лист1!$B$154:$B$158</c:f>
              <c:numCache>
                <c:formatCode>General</c:formatCode>
                <c:ptCount val="5"/>
                <c:pt idx="0">
                  <c:v>130.69999999999999</c:v>
                </c:pt>
                <c:pt idx="1">
                  <c:v>28.7</c:v>
                </c:pt>
                <c:pt idx="2">
                  <c:v>52.8</c:v>
                </c:pt>
                <c:pt idx="3">
                  <c:v>0.2</c:v>
                </c:pt>
                <c:pt idx="4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Лист1!$C$153</c:f>
              <c:strCache>
                <c:ptCount val="1"/>
                <c:pt idx="0">
                  <c:v>за 9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Лист1!$A$154:$A$158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прочие доходы от компенсации затрат бюджетов сельских поселений</c:v>
                </c:pt>
              </c:strCache>
            </c:strRef>
          </c:cat>
          <c:val>
            <c:numRef>
              <c:f>Лист1!$C$154:$C$158</c:f>
              <c:numCache>
                <c:formatCode>General</c:formatCode>
                <c:ptCount val="5"/>
                <c:pt idx="0">
                  <c:v>92.9</c:v>
                </c:pt>
                <c:pt idx="1">
                  <c:v>15.7</c:v>
                </c:pt>
                <c:pt idx="2">
                  <c:v>41.5</c:v>
                </c:pt>
                <c:pt idx="3">
                  <c:v>10.1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721088"/>
        <c:axId val="31613696"/>
        <c:axId val="0"/>
      </c:bar3DChart>
      <c:catAx>
        <c:axId val="109721088"/>
        <c:scaling>
          <c:orientation val="minMax"/>
        </c:scaling>
        <c:delete val="0"/>
        <c:axPos val="l"/>
        <c:majorTickMark val="out"/>
        <c:minorTickMark val="none"/>
        <c:tickLblPos val="nextTo"/>
        <c:crossAx val="31613696"/>
        <c:crosses val="autoZero"/>
        <c:auto val="1"/>
        <c:lblAlgn val="ctr"/>
        <c:lblOffset val="100"/>
        <c:noMultiLvlLbl val="0"/>
      </c:catAx>
      <c:valAx>
        <c:axId val="31613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972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9665408380789E-2"/>
          <c:y val="1.6537993726393956E-2"/>
          <c:w val="0.86666597482563446"/>
          <c:h val="0.502296054456607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Лист1!$B$193</c:f>
              <c:strCache>
                <c:ptCount val="1"/>
                <c:pt idx="0">
                  <c:v>за 9 месяцев  2018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982976386600769E-2"/>
                  <c:y val="-1.24208140566048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Лист1!$A$194:$A$199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от  возврата межбюджетных трансфертов</c:v>
                </c:pt>
              </c:strCache>
            </c:strRef>
          </c:cat>
          <c:val>
            <c:numRef>
              <c:f>Лист1!$B$194:$B$199</c:f>
              <c:numCache>
                <c:formatCode>General</c:formatCode>
                <c:ptCount val="6"/>
                <c:pt idx="0">
                  <c:v>2390.6999999999998</c:v>
                </c:pt>
                <c:pt idx="1">
                  <c:v>34.1</c:v>
                </c:pt>
                <c:pt idx="2">
                  <c:v>64.7</c:v>
                </c:pt>
                <c:pt idx="3">
                  <c:v>47.7</c:v>
                </c:pt>
                <c:pt idx="4">
                  <c:v>7.5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Лист1!$C$193</c:f>
              <c:strCache>
                <c:ptCount val="1"/>
                <c:pt idx="0">
                  <c:v>за 9 месяцев  2017года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5.42005420054200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179571663920923E-2"/>
                  <c:y val="-4.968325622641948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Лист1!$A$194:$A$199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от  возврата межбюджетных трансфертов</c:v>
                </c:pt>
              </c:strCache>
            </c:strRef>
          </c:cat>
          <c:val>
            <c:numRef>
              <c:f>Лист1!$C$194:$C$199</c:f>
              <c:numCache>
                <c:formatCode>General</c:formatCode>
                <c:ptCount val="6"/>
                <c:pt idx="0">
                  <c:v>2906.4</c:v>
                </c:pt>
                <c:pt idx="1">
                  <c:v>0</c:v>
                </c:pt>
                <c:pt idx="2">
                  <c:v>60.3</c:v>
                </c:pt>
                <c:pt idx="3">
                  <c:v>235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829312"/>
        <c:axId val="150831104"/>
        <c:axId val="0"/>
      </c:bar3DChart>
      <c:catAx>
        <c:axId val="15082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831104"/>
        <c:crosses val="autoZero"/>
        <c:auto val="1"/>
        <c:lblAlgn val="ctr"/>
        <c:lblOffset val="100"/>
        <c:noMultiLvlLbl val="0"/>
      </c:catAx>
      <c:valAx>
        <c:axId val="15083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2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84031011774269"/>
          <c:y val="0.87646906941510361"/>
          <c:w val="0.25841732715865212"/>
          <c:h val="0.1142705332565136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Лист1!$B$224</c:f>
              <c:strCache>
                <c:ptCount val="1"/>
                <c:pt idx="0">
                  <c:v>за 9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Лист1!$A$225:$A$233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Лист1!$B$225:$B$233</c:f>
              <c:numCache>
                <c:formatCode>General</c:formatCode>
                <c:ptCount val="9"/>
                <c:pt idx="0">
                  <c:v>1499.7</c:v>
                </c:pt>
                <c:pt idx="1">
                  <c:v>64.3</c:v>
                </c:pt>
                <c:pt idx="2">
                  <c:v>0</c:v>
                </c:pt>
                <c:pt idx="3">
                  <c:v>63.8</c:v>
                </c:pt>
                <c:pt idx="4">
                  <c:v>164.8</c:v>
                </c:pt>
                <c:pt idx="5">
                  <c:v>0</c:v>
                </c:pt>
                <c:pt idx="6">
                  <c:v>0</c:v>
                </c:pt>
                <c:pt idx="7">
                  <c:v>119.4</c:v>
                </c:pt>
                <c:pt idx="8">
                  <c:v>921.2</c:v>
                </c:pt>
              </c:numCache>
            </c:numRef>
          </c:val>
        </c:ser>
        <c:ser>
          <c:idx val="1"/>
          <c:order val="1"/>
          <c:tx>
            <c:strRef>
              <c:f>Лист1!$C$224</c:f>
              <c:strCache>
                <c:ptCount val="1"/>
                <c:pt idx="0">
                  <c:v>за 9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Лист1!$A$225:$A$233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Лист1!$C$225:$C$233</c:f>
              <c:numCache>
                <c:formatCode>General</c:formatCode>
                <c:ptCount val="9"/>
                <c:pt idx="0">
                  <c:v>1571.7</c:v>
                </c:pt>
                <c:pt idx="1">
                  <c:v>59.9</c:v>
                </c:pt>
                <c:pt idx="2">
                  <c:v>0</c:v>
                </c:pt>
                <c:pt idx="3">
                  <c:v>223.9</c:v>
                </c:pt>
                <c:pt idx="4">
                  <c:v>140.30000000000001</c:v>
                </c:pt>
                <c:pt idx="5">
                  <c:v>0</c:v>
                </c:pt>
                <c:pt idx="6">
                  <c:v>750.2</c:v>
                </c:pt>
                <c:pt idx="7">
                  <c:v>0</c:v>
                </c:pt>
                <c:pt idx="8">
                  <c:v>630.5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733568"/>
        <c:axId val="150735104"/>
      </c:barChart>
      <c:catAx>
        <c:axId val="150733568"/>
        <c:scaling>
          <c:orientation val="minMax"/>
        </c:scaling>
        <c:delete val="0"/>
        <c:axPos val="l"/>
        <c:majorTickMark val="out"/>
        <c:minorTickMark val="none"/>
        <c:tickLblPos val="nextTo"/>
        <c:crossAx val="150735104"/>
        <c:crosses val="autoZero"/>
        <c:auto val="1"/>
        <c:lblAlgn val="ctr"/>
        <c:lblOffset val="100"/>
        <c:noMultiLvlLbl val="0"/>
      </c:catAx>
      <c:valAx>
        <c:axId val="1507351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073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8888888888889E-2"/>
          <c:y val="4.6296296296296294E-2"/>
          <c:w val="0.96111111111111114"/>
          <c:h val="0.953703840711186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52,9%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229455013775453"/>
                  <c:y val="1.7973666467524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-2,3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44091227726971E-2"/>
                  <c:y val="9.81470721039579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-2,3%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-5,8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- 4,2%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-32,5%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"Социальная политика" - 2,0%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Лист1!$A$264:$A$271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Лист1!$B$264:$B$271</c:f>
              <c:numCache>
                <c:formatCode>General</c:formatCode>
                <c:ptCount val="8"/>
                <c:pt idx="0">
                  <c:v>52.9</c:v>
                </c:pt>
                <c:pt idx="1">
                  <c:v>2.2999999999999998</c:v>
                </c:pt>
                <c:pt idx="2">
                  <c:v>0</c:v>
                </c:pt>
                <c:pt idx="3">
                  <c:v>2.2999999999999998</c:v>
                </c:pt>
                <c:pt idx="4">
                  <c:v>5.8</c:v>
                </c:pt>
                <c:pt idx="5">
                  <c:v>0</c:v>
                </c:pt>
                <c:pt idx="6">
                  <c:v>4.2</c:v>
                </c:pt>
                <c:pt idx="7">
                  <c:v>32.5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0A50-EFC5-437E-8108-1EC1FE08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2018-10-26T09:07:00Z</cp:lastPrinted>
  <dcterms:created xsi:type="dcterms:W3CDTF">2018-11-09T12:44:00Z</dcterms:created>
  <dcterms:modified xsi:type="dcterms:W3CDTF">2018-11-09T12:44:00Z</dcterms:modified>
</cp:coreProperties>
</file>