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C1329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679128E7" wp14:editId="46DB144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132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8C1329" w:rsidRPr="008C1329" w:rsidRDefault="008C1329" w:rsidP="008C132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132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C1329" w:rsidRPr="008C1329" w:rsidRDefault="008C1329" w:rsidP="008C132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132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8C1329" w:rsidRPr="008C1329" w:rsidRDefault="008C1329" w:rsidP="008C132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21.12.2016 г. № 138»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1329" w:rsidRPr="0029718F" w:rsidRDefault="008C1329" w:rsidP="008C132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29718F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19307D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2017 года   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 2, проведена экспертиза проекта решения Совета поселения Сухонское «О внесении изменений и дополнений  в решение от 21.12.2016  г. № 138».</w:t>
      </w: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21.12.2016 года № 138 «О бюджете поселения на 2017  год и плановый период 2018 и 2019 годов», проект решения «О внесении изменений  и дополнений в решение от 21.12.2015 года №138»  и пояснительная записка к проекту решению Совета поселения  «О внесении изменений и дополнений в решение от 21.12.2016 года № 138».</w:t>
      </w:r>
    </w:p>
    <w:p w:rsidR="008C1329" w:rsidRPr="008C1329" w:rsidRDefault="008C1329" w:rsidP="008C132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C1329" w:rsidRPr="0029718F" w:rsidRDefault="008C1329" w:rsidP="008C132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Внесение изменений и дополнений в решение о бюджете поселения Сухонское </w:t>
      </w:r>
      <w:r w:rsidRPr="002971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2017 год 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производится </w:t>
      </w:r>
      <w:r w:rsidR="0029718F" w:rsidRPr="0029718F">
        <w:rPr>
          <w:rFonts w:ascii="Times New Roman" w:hAnsi="Times New Roman" w:cs="Times New Roman"/>
          <w:sz w:val="28"/>
          <w:szCs w:val="28"/>
        </w:rPr>
        <w:t xml:space="preserve">изменение объема и  параметров  неналоговых доходов, также увеличением и   корректировки лимитов бюджетных обязательств 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разделам </w:t>
      </w:r>
      <w:r w:rsidR="0029718F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</w:t>
      </w:r>
      <w:r w:rsidR="0029718F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осы»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718F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«Жилищно-коммунальному хозяйству».  Изменения и дополнения вносятся в </w:t>
      </w:r>
      <w:r w:rsidR="0019307D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четвертый 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раз.</w:t>
      </w:r>
    </w:p>
    <w:p w:rsidR="008C1329" w:rsidRPr="0029718F" w:rsidRDefault="008C1329" w:rsidP="008C132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2017 год </w:t>
      </w:r>
      <w:r w:rsidR="0029718F"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увеличатся</w:t>
      </w:r>
      <w:r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18F"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4,4 тыс. рублей</w:t>
      </w:r>
      <w:r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 - </w:t>
      </w:r>
      <w:r w:rsidR="0029718F"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>9745,4</w:t>
      </w:r>
      <w:r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увеличивается  на </w:t>
      </w:r>
      <w:r w:rsidR="0029718F"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>174,3</w:t>
      </w:r>
      <w:r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29718F"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>10754,3</w:t>
      </w:r>
      <w:r w:rsidRPr="00297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C1329" w:rsidRPr="0029718F" w:rsidRDefault="008C1329" w:rsidP="008C13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сформирован с дефицитом бюджета поселения в сумме </w:t>
      </w:r>
      <w:r w:rsidR="0029718F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1008,9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9718F"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35,5</w:t>
      </w:r>
      <w:r w:rsidRPr="002971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 с учетом остатка денежных средств на счетах бюджета поселения по состоянию на 01.01.2017 года.</w:t>
      </w:r>
    </w:p>
    <w:p w:rsidR="008C1329" w:rsidRPr="0019307D" w:rsidRDefault="008C1329" w:rsidP="008C13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C1329" w:rsidRPr="008C1329" w:rsidRDefault="008C1329" w:rsidP="008C132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8C1329" w:rsidRPr="0019307D" w:rsidRDefault="008C1329" w:rsidP="008C1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134"/>
        <w:gridCol w:w="1134"/>
        <w:gridCol w:w="1134"/>
        <w:gridCol w:w="1134"/>
        <w:gridCol w:w="1276"/>
        <w:gridCol w:w="1134"/>
      </w:tblGrid>
      <w:tr w:rsidR="00A22D22" w:rsidRPr="008C1329" w:rsidTr="00A22D22">
        <w:trPr>
          <w:trHeight w:val="863"/>
        </w:trPr>
        <w:tc>
          <w:tcPr>
            <w:tcW w:w="1526" w:type="dxa"/>
            <w:vMerge w:val="restart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134" w:type="dxa"/>
            <w:vMerge w:val="restart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</w:p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поправок </w:t>
            </w:r>
          </w:p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 2017 года</w:t>
            </w:r>
          </w:p>
        </w:tc>
        <w:tc>
          <w:tcPr>
            <w:tcW w:w="1134" w:type="dxa"/>
            <w:vMerge w:val="restart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</w:p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 в</w:t>
            </w:r>
          </w:p>
          <w:p w:rsidR="00A22D22" w:rsidRPr="008C1329" w:rsidRDefault="00A22D22" w:rsidP="008C13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июне 2017 года</w:t>
            </w:r>
          </w:p>
        </w:tc>
        <w:tc>
          <w:tcPr>
            <w:tcW w:w="1134" w:type="dxa"/>
            <w:vMerge w:val="restart"/>
          </w:tcPr>
          <w:p w:rsidR="00A22D22" w:rsidRPr="008C1329" w:rsidRDefault="00A22D22" w:rsidP="00A22D2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поправок в </w:t>
            </w:r>
            <w:r w:rsidR="00C102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июле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2017 года</w:t>
            </w:r>
          </w:p>
          <w:p w:rsidR="00A22D22" w:rsidRPr="008C1329" w:rsidRDefault="00A22D22" w:rsidP="008C13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22D22" w:rsidRPr="008C1329" w:rsidRDefault="00A22D22" w:rsidP="008C13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</w:t>
            </w:r>
          </w:p>
        </w:tc>
        <w:tc>
          <w:tcPr>
            <w:tcW w:w="2410" w:type="dxa"/>
            <w:gridSpan w:val="2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предлагаемых поправок</w:t>
            </w:r>
          </w:p>
          <w:p w:rsidR="00A22D22" w:rsidRPr="008C1329" w:rsidRDefault="00A22D22" w:rsidP="008C13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2D22" w:rsidRPr="008C1329" w:rsidTr="00A22D22">
        <w:trPr>
          <w:trHeight w:val="2146"/>
        </w:trPr>
        <w:tc>
          <w:tcPr>
            <w:tcW w:w="1526" w:type="dxa"/>
            <w:vMerge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22D22" w:rsidRPr="008C1329" w:rsidRDefault="00A22D22" w:rsidP="008C13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A22D22" w:rsidRPr="008C1329" w:rsidTr="00A22D22">
        <w:tc>
          <w:tcPr>
            <w:tcW w:w="1526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9199,0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9271,0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9741,0</w:t>
            </w:r>
          </w:p>
        </w:tc>
        <w:tc>
          <w:tcPr>
            <w:tcW w:w="1134" w:type="dxa"/>
          </w:tcPr>
          <w:p w:rsidR="00A22D22" w:rsidRPr="008C1329" w:rsidRDefault="00A22D22" w:rsidP="004442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9741,0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9745,4</w:t>
            </w:r>
          </w:p>
        </w:tc>
        <w:tc>
          <w:tcPr>
            <w:tcW w:w="1276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546,4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A22D22" w:rsidRPr="008C1329" w:rsidTr="00A22D22">
        <w:tc>
          <w:tcPr>
            <w:tcW w:w="1526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9199,0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9337,0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10150,0</w:t>
            </w:r>
          </w:p>
        </w:tc>
        <w:tc>
          <w:tcPr>
            <w:tcW w:w="1134" w:type="dxa"/>
          </w:tcPr>
          <w:p w:rsidR="00A22D22" w:rsidRPr="008C1329" w:rsidRDefault="00A22D22" w:rsidP="004442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10580,0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10754,3</w:t>
            </w:r>
          </w:p>
        </w:tc>
        <w:tc>
          <w:tcPr>
            <w:tcW w:w="1276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1552,3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174,3</w:t>
            </w:r>
          </w:p>
        </w:tc>
      </w:tr>
      <w:tr w:rsidR="00A22D22" w:rsidRPr="008C1329" w:rsidTr="00A22D22">
        <w:tc>
          <w:tcPr>
            <w:tcW w:w="1526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992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-66,0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-409,0</w:t>
            </w:r>
          </w:p>
        </w:tc>
        <w:tc>
          <w:tcPr>
            <w:tcW w:w="1134" w:type="dxa"/>
          </w:tcPr>
          <w:p w:rsidR="00A22D22" w:rsidRPr="008C1329" w:rsidRDefault="00A22D22" w:rsidP="004442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-839,0</w:t>
            </w:r>
          </w:p>
        </w:tc>
        <w:tc>
          <w:tcPr>
            <w:tcW w:w="1134" w:type="dxa"/>
          </w:tcPr>
          <w:p w:rsidR="00A22D22" w:rsidRPr="008C1329" w:rsidRDefault="00A22D22" w:rsidP="00A22D22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1008,9</w:t>
            </w:r>
          </w:p>
        </w:tc>
        <w:tc>
          <w:tcPr>
            <w:tcW w:w="1276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1008,9</w:t>
            </w:r>
          </w:p>
        </w:tc>
        <w:tc>
          <w:tcPr>
            <w:tcW w:w="1134" w:type="dxa"/>
          </w:tcPr>
          <w:p w:rsidR="00A22D22" w:rsidRPr="008C1329" w:rsidRDefault="00A22D22" w:rsidP="008C1329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-179,9</w:t>
            </w:r>
          </w:p>
        </w:tc>
      </w:tr>
    </w:tbl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8C1329" w:rsidRPr="00A22D22" w:rsidRDefault="008C1329" w:rsidP="008C132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в 2017 году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4,4 тыс. рублей 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составит  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>9745,4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больше бюджетных назначений первоначального бюджета 2017 года на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546,4 тыс. рублей, или  </w:t>
      </w:r>
      <w:r w:rsidR="00A22D22" w:rsidRP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5,9 процента </w:t>
      </w:r>
      <w:r w:rsidR="00A22D22" w:rsidRPr="00A22D22">
        <w:rPr>
          <w:rFonts w:ascii="Times New Roman" w:hAnsi="Times New Roman" w:cs="Times New Roman"/>
          <w:sz w:val="28"/>
          <w:szCs w:val="28"/>
        </w:rPr>
        <w:t xml:space="preserve">и выше уточненных бюджетных назначений на </w:t>
      </w:r>
      <w:r w:rsidR="00A22D22">
        <w:rPr>
          <w:rFonts w:ascii="Times New Roman" w:hAnsi="Times New Roman" w:cs="Times New Roman"/>
          <w:sz w:val="28"/>
          <w:szCs w:val="28"/>
        </w:rPr>
        <w:t>4,4</w:t>
      </w:r>
      <w:r w:rsidR="00A22D22" w:rsidRPr="00A22D2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22D22">
        <w:rPr>
          <w:rFonts w:ascii="Times New Roman" w:hAnsi="Times New Roman" w:cs="Times New Roman"/>
          <w:sz w:val="28"/>
          <w:szCs w:val="28"/>
        </w:rPr>
        <w:t>0,05</w:t>
      </w:r>
      <w:r w:rsidR="00A22D22" w:rsidRPr="00A22D2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C1329" w:rsidRPr="008C1329" w:rsidRDefault="008C1329" w:rsidP="008C132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C1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поправок предусмотрен в сумме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>10754,3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>1552,3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выше уточненных бюджетных назначений на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>174,3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</w:t>
      </w:r>
      <w:r w:rsidRPr="008C1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предусматривает 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 в объеме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>1008,9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22D22">
        <w:rPr>
          <w:rFonts w:ascii="Times New Roman" w:eastAsia="Times New Roman" w:hAnsi="Times New Roman" w:cs="Times New Roman"/>
          <w:sz w:val="28"/>
          <w:szCs w:val="28"/>
          <w:lang w:eastAsia="ru-RU"/>
        </w:rPr>
        <w:t>35,5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предлагает 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неналоговые доходы в бюджет  поселения Сухонское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части  подраздела «Доходы от продажи материальных и нематериальных активов» на 4,4 тыс. рублей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Поселение планирует реализацию материальных запасов после утилизации  транспортного средства УАЗ – 3303, 1995 года выпуска, сумма дохода </w:t>
      </w:r>
      <w:r w:rsidR="00EE63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предварительной оценк</w:t>
      </w:r>
      <w:r w:rsidR="00EE63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утилизации составляет 4,4 тыс. рублей.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C1329" w:rsidRPr="008C1329" w:rsidRDefault="008C1329" w:rsidP="008C132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не предлагает внесения изменений в безвозмездные поступления  в бюджет  поселения Сухонское.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предусматриваются в объеме 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10745,4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2017  года на 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174,3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8C1329" w:rsidRPr="008C1329" w:rsidRDefault="008C1329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двум разделам бюджетной классификации по сравнению с утвержденными  бюджетными назначениями на сумму </w:t>
      </w:r>
      <w:r w:rsidR="00057E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174,3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по семи разделам изменения объема бюджетных ассигнований не планируется.</w:t>
      </w:r>
    </w:p>
    <w:p w:rsidR="008C1329" w:rsidRDefault="008C1329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2017  год характеризуется следующими данными:</w:t>
      </w:r>
    </w:p>
    <w:p w:rsidR="00F06098" w:rsidRDefault="00F06098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6098" w:rsidRPr="008C1329" w:rsidRDefault="00F06098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Таблица №3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851"/>
        <w:gridCol w:w="992"/>
        <w:gridCol w:w="983"/>
        <w:gridCol w:w="1002"/>
        <w:gridCol w:w="992"/>
        <w:gridCol w:w="1134"/>
      </w:tblGrid>
      <w:tr w:rsidR="00057EAB" w:rsidRPr="008C1329" w:rsidTr="00057EAB">
        <w:trPr>
          <w:trHeight w:val="2004"/>
        </w:trPr>
        <w:tc>
          <w:tcPr>
            <w:tcW w:w="2518" w:type="dxa"/>
            <w:vMerge w:val="restart"/>
          </w:tcPr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851" w:type="dxa"/>
            <w:vMerge w:val="restart"/>
          </w:tcPr>
          <w:p w:rsidR="00057EAB" w:rsidRPr="008C1329" w:rsidRDefault="00057EAB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</w:p>
          <w:p w:rsidR="00057EAB" w:rsidRPr="008C1329" w:rsidRDefault="00057EAB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поправок </w:t>
            </w:r>
          </w:p>
          <w:p w:rsidR="00057EAB" w:rsidRPr="008C1329" w:rsidRDefault="00057EAB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марта 2017 года </w:t>
            </w:r>
          </w:p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57EAB" w:rsidRPr="008C1329" w:rsidRDefault="00057EAB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</w:p>
          <w:p w:rsidR="00057EAB" w:rsidRPr="008C1329" w:rsidRDefault="00057EAB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поправок </w:t>
            </w:r>
          </w:p>
          <w:p w:rsidR="00057EAB" w:rsidRPr="008C1329" w:rsidRDefault="00057EAB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июне 2017 года</w:t>
            </w:r>
          </w:p>
        </w:tc>
        <w:tc>
          <w:tcPr>
            <w:tcW w:w="983" w:type="dxa"/>
            <w:vMerge w:val="restart"/>
          </w:tcPr>
          <w:p w:rsidR="00057EAB" w:rsidRPr="008C1329" w:rsidRDefault="00057EAB" w:rsidP="004442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</w:p>
          <w:p w:rsidR="00057EAB" w:rsidRPr="008C1329" w:rsidRDefault="00057EAB" w:rsidP="004442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поправок </w:t>
            </w:r>
          </w:p>
          <w:p w:rsidR="00057EAB" w:rsidRPr="008C1329" w:rsidRDefault="00057EAB" w:rsidP="004442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июне 2017 года</w:t>
            </w:r>
          </w:p>
        </w:tc>
        <w:tc>
          <w:tcPr>
            <w:tcW w:w="1002" w:type="dxa"/>
            <w:vMerge w:val="restart"/>
          </w:tcPr>
          <w:p w:rsidR="00057EAB" w:rsidRPr="008C1329" w:rsidRDefault="00057EAB" w:rsidP="00057EA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 предлага</w:t>
            </w:r>
          </w:p>
          <w:p w:rsidR="00057EAB" w:rsidRPr="008C1329" w:rsidRDefault="00057EAB" w:rsidP="00057EA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емых</w:t>
            </w:r>
          </w:p>
          <w:p w:rsidR="00057EAB" w:rsidRPr="008C1329" w:rsidRDefault="00057EAB" w:rsidP="0005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</w:t>
            </w:r>
          </w:p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057EAB" w:rsidRPr="008C1329" w:rsidRDefault="00057EAB" w:rsidP="008C13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показателей предлагаемых поправок</w:t>
            </w:r>
          </w:p>
        </w:tc>
      </w:tr>
      <w:tr w:rsidR="00057EAB" w:rsidRPr="008C1329" w:rsidTr="003B0E6F">
        <w:trPr>
          <w:trHeight w:val="1679"/>
        </w:trPr>
        <w:tc>
          <w:tcPr>
            <w:tcW w:w="2518" w:type="dxa"/>
            <w:vMerge/>
          </w:tcPr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057EAB" w:rsidRPr="008C1329" w:rsidRDefault="00057EAB" w:rsidP="008C13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</w:tcPr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vMerge/>
          </w:tcPr>
          <w:p w:rsidR="00057EAB" w:rsidRPr="008C1329" w:rsidRDefault="00057EAB" w:rsidP="008C1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57EAB" w:rsidRPr="008C1329" w:rsidRDefault="00057EAB" w:rsidP="008C13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первоначального бюджета </w:t>
            </w:r>
          </w:p>
        </w:tc>
        <w:tc>
          <w:tcPr>
            <w:tcW w:w="1134" w:type="dxa"/>
          </w:tcPr>
          <w:p w:rsidR="00057EAB" w:rsidRPr="008C1329" w:rsidRDefault="00057EAB" w:rsidP="008C13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AF0442" w:rsidRPr="008C1329" w:rsidTr="003B0E6F"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3454,6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3520,6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3826,6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3826,6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3977,9</w:t>
            </w:r>
          </w:p>
        </w:tc>
        <w:tc>
          <w:tcPr>
            <w:tcW w:w="992" w:type="dxa"/>
          </w:tcPr>
          <w:p w:rsidR="00AF0442" w:rsidRPr="008C1329" w:rsidRDefault="00AF0442" w:rsidP="00AF0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523,3</w:t>
            </w:r>
          </w:p>
        </w:tc>
        <w:tc>
          <w:tcPr>
            <w:tcW w:w="1134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+151,3</w:t>
            </w:r>
          </w:p>
        </w:tc>
      </w:tr>
      <w:tr w:rsidR="00AF0442" w:rsidRPr="008C1329" w:rsidTr="003B0E6F"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0442" w:rsidRPr="008C1329" w:rsidTr="003B0E6F">
        <w:trPr>
          <w:trHeight w:val="1339"/>
        </w:trPr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+37,0</w:t>
            </w:r>
          </w:p>
        </w:tc>
        <w:tc>
          <w:tcPr>
            <w:tcW w:w="1134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0442" w:rsidRPr="008C1329" w:rsidTr="003B0E6F">
        <w:trPr>
          <w:trHeight w:val="586"/>
        </w:trPr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142,0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+142,0</w:t>
            </w:r>
          </w:p>
        </w:tc>
        <w:tc>
          <w:tcPr>
            <w:tcW w:w="1134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0442" w:rsidRPr="008C1329" w:rsidTr="003B0E6F"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2106,5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2106,5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2106,5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2526,5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2549,5</w:t>
            </w:r>
          </w:p>
        </w:tc>
        <w:tc>
          <w:tcPr>
            <w:tcW w:w="992" w:type="dxa"/>
          </w:tcPr>
          <w:p w:rsidR="00AF0442" w:rsidRPr="008C1329" w:rsidRDefault="00AF0442" w:rsidP="00AF0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443,0</w:t>
            </w:r>
          </w:p>
        </w:tc>
        <w:tc>
          <w:tcPr>
            <w:tcW w:w="1134" w:type="dxa"/>
          </w:tcPr>
          <w:p w:rsidR="00AF0442" w:rsidRPr="008C1329" w:rsidRDefault="00AF0442" w:rsidP="00AF0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23,0</w:t>
            </w:r>
          </w:p>
        </w:tc>
      </w:tr>
      <w:tr w:rsidR="00AF0442" w:rsidRPr="008C1329" w:rsidTr="003B0E6F"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+10,0</w:t>
            </w:r>
          </w:p>
        </w:tc>
        <w:tc>
          <w:tcPr>
            <w:tcW w:w="1134" w:type="dxa"/>
          </w:tcPr>
          <w:p w:rsidR="00AF0442" w:rsidRPr="008C1329" w:rsidRDefault="00AF0442" w:rsidP="00AF0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0442" w:rsidRPr="008C1329" w:rsidTr="003B0E6F"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2950,0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2950,0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3350,0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3350,0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3350,0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+400,0</w:t>
            </w:r>
          </w:p>
        </w:tc>
        <w:tc>
          <w:tcPr>
            <w:tcW w:w="1134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0,0</w:t>
            </w:r>
          </w:p>
        </w:tc>
      </w:tr>
      <w:tr w:rsidR="00AF0442" w:rsidRPr="008C1329" w:rsidTr="003B0E6F"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188,0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0442" w:rsidRPr="008C1329" w:rsidTr="003B0E6F">
        <w:trPr>
          <w:trHeight w:val="290"/>
        </w:trPr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00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F0442" w:rsidRPr="008C1329" w:rsidTr="003B0E6F">
        <w:trPr>
          <w:trHeight w:val="290"/>
        </w:trPr>
        <w:tc>
          <w:tcPr>
            <w:tcW w:w="2518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9199,0</w:t>
            </w:r>
          </w:p>
        </w:tc>
        <w:tc>
          <w:tcPr>
            <w:tcW w:w="851" w:type="dxa"/>
          </w:tcPr>
          <w:p w:rsidR="00AF0442" w:rsidRPr="008C1329" w:rsidRDefault="00AF0442" w:rsidP="008C132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9337,0</w:t>
            </w:r>
          </w:p>
        </w:tc>
        <w:tc>
          <w:tcPr>
            <w:tcW w:w="992" w:type="dxa"/>
          </w:tcPr>
          <w:p w:rsidR="00AF0442" w:rsidRPr="008C1329" w:rsidRDefault="00AF0442" w:rsidP="008C1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10150,0</w:t>
            </w:r>
          </w:p>
        </w:tc>
        <w:tc>
          <w:tcPr>
            <w:tcW w:w="983" w:type="dxa"/>
          </w:tcPr>
          <w:p w:rsidR="00AF0442" w:rsidRPr="008C1329" w:rsidRDefault="00AF0442" w:rsidP="004442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10580,0</w:t>
            </w:r>
          </w:p>
        </w:tc>
        <w:tc>
          <w:tcPr>
            <w:tcW w:w="1002" w:type="dxa"/>
          </w:tcPr>
          <w:p w:rsidR="00AF0442" w:rsidRPr="008C1329" w:rsidRDefault="00AF0442" w:rsidP="00AF0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10754,3</w:t>
            </w:r>
          </w:p>
        </w:tc>
        <w:tc>
          <w:tcPr>
            <w:tcW w:w="992" w:type="dxa"/>
          </w:tcPr>
          <w:p w:rsidR="00AF0442" w:rsidRPr="008C1329" w:rsidRDefault="00AF0442" w:rsidP="001E665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155</w:t>
            </w:r>
            <w:r w:rsidR="001E665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E665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AF0442" w:rsidRPr="008C1329" w:rsidRDefault="00AF0442" w:rsidP="00AF0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C132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174,3</w:t>
            </w:r>
          </w:p>
        </w:tc>
      </w:tr>
    </w:tbl>
    <w:p w:rsidR="008C1329" w:rsidRPr="008C1329" w:rsidRDefault="008C1329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4049" w:rsidRDefault="008C1329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 бюджет поселения увеличиваются лимиты бюджетных обязательств по раздел</w:t>
      </w:r>
      <w:r w:rsidR="006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E76EF5" w:rsidRPr="003B0E6F" w:rsidRDefault="00144E7C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="003B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E6F" w:rsidRPr="003B0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151,3 тыс. рублей, в том числе:</w:t>
      </w:r>
    </w:p>
    <w:p w:rsidR="00144E7C" w:rsidRDefault="00144E7C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44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«Функционирование местных администраций»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150,0 тыс. рублей, </w:t>
      </w:r>
      <w:r w:rsidR="003B0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44E7C" w:rsidRDefault="00144E7C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АМУ «Редакции газеты «Междуречье» за публикацию в газете нормативно-правовых актов поселения на </w:t>
      </w:r>
      <w:r w:rsidR="003B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120,0 тыс. рублей</w:t>
      </w:r>
      <w:r w:rsidR="00EE5C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4049" w:rsidRDefault="00144E7C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</w:t>
      </w:r>
      <w:r w:rsidR="00EE6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</w:t>
      </w:r>
      <w:r w:rsidR="0061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смазочные материалы – 30,0 тыс. рублей (основание</w:t>
      </w:r>
      <w:r w:rsidR="003B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является </w:t>
      </w:r>
      <w:r w:rsidR="00EE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не</w:t>
      </w:r>
      <w:r w:rsidR="0061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достающихся средств на обеспечение деятельности органов МС в части публикации НПА и потребности в ГСМ)</w:t>
      </w:r>
      <w:r w:rsidR="00EE5C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76EF5" w:rsidRPr="00D4070B" w:rsidRDefault="003B0E6F" w:rsidP="00D407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0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E76EF5" w:rsidRPr="003B0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подразделу «Другие общегосударственные вопросы</w:t>
      </w:r>
      <w:r w:rsidR="00E76E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1DC4" w:rsidRPr="00331D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31DC4" w:rsidRPr="003B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целевую статью 01 13 970 00 21030 «Членские взносы в Ассоциацию «Советов муниципальных образований» </w:t>
      </w:r>
      <w:r w:rsidR="00556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1,3 тыс. рублей </w:t>
      </w:r>
      <w:r w:rsidRPr="003B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1DC4" w:rsidRPr="003B0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снованием</w:t>
      </w:r>
      <w:r w:rsidR="00331DC4" w:rsidRPr="009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33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Общего Собрания членов Ассоциации «Советов муниципальных образований Вологодской области» от 20.04.2017 года, где годовой взнос для сельских поселений численностью более 1000 человек составляет 5000,0 рублей</w:t>
      </w:r>
      <w:r w:rsidR="00EE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счет от 11.08.2017 года №143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1329" w:rsidRPr="008C1329" w:rsidRDefault="00614049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329" w:rsidRPr="00144E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C1329" w:rsidRPr="008C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</w:t>
      </w:r>
      <w:r w:rsidR="00556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Жилищно-коммунальное хозяйство», </w:t>
      </w:r>
      <w:r w:rsidR="00556932" w:rsidRPr="00556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C1329"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329" w:rsidRPr="008C13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 0503 «Благоустройство»</w:t>
      </w:r>
      <w:r w:rsidR="008C1329"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="008C1329"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E76EF5" w:rsidRDefault="008C1329" w:rsidP="00E76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лимитов на уличное освещение в сумме </w:t>
      </w:r>
      <w:r w:rsidR="00D4070B">
        <w:rPr>
          <w:rFonts w:ascii="Times New Roman" w:eastAsia="Times New Roman" w:hAnsi="Times New Roman" w:cs="Times New Roman"/>
          <w:sz w:val="28"/>
          <w:szCs w:val="28"/>
          <w:lang w:eastAsia="ru-RU"/>
        </w:rPr>
        <w:t>371,8</w:t>
      </w:r>
      <w:r w:rsidR="0067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требованиями Гост Р 52766-2007 п.4.6.1.16 в темное время суток не допускается отключение наружного освещения или снижение о</w:t>
      </w:r>
      <w:r w:rsidR="00E76E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вещенности поверхности проезжей части в местах пешеходных переходов, расположенных в населенных пунктах, за исключение случаев</w:t>
      </w:r>
      <w:r w:rsidR="00E7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аварийного нарушения электроснабжения</w:t>
      </w:r>
      <w:r w:rsidR="0067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EF5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</w:t>
      </w:r>
      <w:r w:rsidR="0055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является</w:t>
      </w:r>
      <w:r w:rsidR="00E7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потребности денежных средств на освещение в соответствии с ГОТОми </w:t>
      </w:r>
      <w:r w:rsidR="005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52766-2007, </w:t>
      </w:r>
      <w:r w:rsidR="00EE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50597-93),</w:t>
      </w:r>
    </w:p>
    <w:p w:rsidR="00D4070B" w:rsidRDefault="00D4070B" w:rsidP="00D4070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D4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 w:rsidR="00EE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</w:t>
      </w:r>
      <w:r w:rsidRPr="00431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</w:t>
      </w:r>
      <w:r w:rsidR="00EE5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</w:t>
      </w:r>
      <w:r w:rsidRPr="00431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стать</w:t>
      </w:r>
      <w:r w:rsidR="00EE5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431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05 03 783 00 </w:t>
      </w:r>
      <w:r w:rsidRPr="004312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431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1090 «Софинансирование по организации уличного освещения в рамках подпрограммы «Энергосбережение и повышение энергетической эффективности на территории Вологодской области на 2014-2020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сумме </w:t>
      </w:r>
      <w:r w:rsidR="00EE5C95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="00556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</w:t>
      </w:r>
      <w:r w:rsidR="00EE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является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 Вологодской области от 05.06.2017 года №509 «Об утверждении Правил предоставления и расходования субсидий муниципальным образованиям области на организацию уличного освещения». Размер софинансирования составляет не менее 25 процентов от расходного обязательства (размер субсидии – </w:t>
      </w:r>
      <w:r w:rsidR="00EE5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84,5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(75 %), размер софинансирования -</w:t>
      </w:r>
      <w:r w:rsidR="00EE5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28,2 тыс. рублей (25%)),</w:t>
      </w:r>
    </w:p>
    <w:p w:rsidR="003B0E6F" w:rsidRPr="00EE5C95" w:rsidRDefault="003B0E6F" w:rsidP="003B0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-увеличение расходов по </w:t>
      </w:r>
      <w:r w:rsidRPr="00EE5C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целевой статье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05 03 783 00 2530 «Расходы на содержание мест захоронения» </w:t>
      </w:r>
      <w:r w:rsidRPr="00EE5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23,0 тыс. рублей на обустройство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мостовых тротуаров на кладбище в с. Шуйское (основание</w:t>
      </w:r>
      <w:r w:rsidR="0055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подряда от 10.07.2017 года, акт выполненных работ от 18.07.2017 года № 883),</w:t>
      </w:r>
    </w:p>
    <w:p w:rsidR="008C1329" w:rsidRDefault="00E76EF5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-уменьшение суммы утвержденных лимитов </w:t>
      </w:r>
      <w:r w:rsidR="008C1329"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обустройство детской игровой площадки в сумме 400,0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до конца текущего года расходы не будут проведены, что связано с отсутствием земельного участка, на котором планировалось установить об</w:t>
      </w:r>
      <w:r w:rsidR="00D40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орудования для детской площадки</w:t>
      </w:r>
      <w:r w:rsidR="003B0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329" w:rsidRPr="008C1329" w:rsidRDefault="008C1329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Выводы: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2017 году доходы бюджета поселения </w:t>
      </w:r>
      <w:r w:rsidR="00556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увеличатся на 4,4 тыс. рублей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56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составят </w:t>
      </w:r>
      <w:r w:rsidR="00556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9745,4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рублей,</w:t>
      </w:r>
      <w:r w:rsidR="00556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увеличатся на </w:t>
      </w:r>
      <w:r w:rsidR="005569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174,3 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и  составят </w:t>
      </w:r>
      <w:r w:rsidR="00556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10754,3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8C1329" w:rsidRDefault="008C1329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Планируется увеличить расходы по сравнению с утвержденными бюджетными назначениями по следующим разделам:</w:t>
      </w:r>
    </w:p>
    <w:p w:rsidR="00556932" w:rsidRPr="008C1329" w:rsidRDefault="00556932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«Общегосударственные расходы» на 151,3 тыс. рублей, или на 4,0</w:t>
      </w:r>
      <w:r w:rsidR="006A60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</w:t>
      </w:r>
    </w:p>
    <w:p w:rsidR="008C1329" w:rsidRPr="008C1329" w:rsidRDefault="008C1329" w:rsidP="008C132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6A6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A6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 процента.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По семи разделам  изменения объема бюджетных ассигнований не планируется.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Проект </w:t>
      </w:r>
      <w:r w:rsidRPr="008C13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предусматривает 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в сумме </w:t>
      </w:r>
      <w:r w:rsidR="006A608C">
        <w:rPr>
          <w:rFonts w:ascii="Times New Roman" w:eastAsia="Times New Roman" w:hAnsi="Times New Roman" w:cs="Times New Roman"/>
          <w:sz w:val="28"/>
          <w:szCs w:val="28"/>
          <w:lang w:eastAsia="ru-RU"/>
        </w:rPr>
        <w:t>1008,9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A608C">
        <w:rPr>
          <w:rFonts w:ascii="Times New Roman" w:eastAsia="Times New Roman" w:hAnsi="Times New Roman" w:cs="Times New Roman"/>
          <w:sz w:val="28"/>
          <w:szCs w:val="28"/>
          <w:lang w:eastAsia="ru-RU"/>
        </w:rPr>
        <w:t>35,5</w:t>
      </w:r>
      <w:r w:rsidRPr="008C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доходов без учета объема безвозмездных поступлений и поступлений налоговых доходов по дополнительным нормативам отчислений. </w:t>
      </w:r>
    </w:p>
    <w:p w:rsidR="008C1329" w:rsidRPr="008C1329" w:rsidRDefault="008C1329" w:rsidP="008C1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29" w:rsidRPr="008C1329" w:rsidRDefault="008C1329" w:rsidP="008C132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C1329" w:rsidRPr="008C1329" w:rsidRDefault="008C1329" w:rsidP="006A60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1329" w:rsidRPr="008C1329" w:rsidRDefault="006A608C" w:rsidP="008C132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8C1329"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Ревизионная комиссия района предлагает принять проект решения  «О внесении изменений и дополнений в решение от 21.12.2016 г. №138».</w:t>
      </w: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C132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Pr="008C132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8C1329" w:rsidRPr="008C1329" w:rsidRDefault="008C1329" w:rsidP="008C132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C1329" w:rsidRPr="008C1329" w:rsidRDefault="008C1329" w:rsidP="008C132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8C1329" w:rsidRPr="008C1329" w:rsidRDefault="008C1329" w:rsidP="008C132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8C1329" w:rsidRPr="008C1329" w:rsidRDefault="008C1329" w:rsidP="008C132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8C1329" w:rsidRPr="008C1329" w:rsidRDefault="008C1329" w:rsidP="008C132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8C1329" w:rsidRPr="008C1329" w:rsidRDefault="008C1329" w:rsidP="008C132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8C1329" w:rsidRPr="008C1329" w:rsidRDefault="008C1329" w:rsidP="008C1329">
      <w:pPr>
        <w:rPr>
          <w:rFonts w:eastAsiaTheme="minorEastAsia"/>
          <w:lang w:eastAsia="ru-RU"/>
        </w:rPr>
      </w:pPr>
    </w:p>
    <w:p w:rsidR="008C1329" w:rsidRPr="008C1329" w:rsidRDefault="008C1329" w:rsidP="008C1329">
      <w:pPr>
        <w:rPr>
          <w:rFonts w:eastAsiaTheme="minorEastAsia"/>
          <w:lang w:eastAsia="ru-RU"/>
        </w:rPr>
      </w:pPr>
    </w:p>
    <w:p w:rsidR="008C1329" w:rsidRPr="008C1329" w:rsidRDefault="008C1329" w:rsidP="008C1329">
      <w:pPr>
        <w:rPr>
          <w:rFonts w:eastAsiaTheme="minorEastAsia"/>
          <w:lang w:eastAsia="ru-RU"/>
        </w:rPr>
      </w:pPr>
    </w:p>
    <w:p w:rsidR="0094078D" w:rsidRDefault="0094078D"/>
    <w:sectPr w:rsidR="0094078D" w:rsidSect="00672B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82" w:rsidRDefault="00206182">
      <w:pPr>
        <w:spacing w:after="0" w:line="240" w:lineRule="auto"/>
      </w:pPr>
      <w:r>
        <w:separator/>
      </w:r>
    </w:p>
  </w:endnote>
  <w:endnote w:type="continuationSeparator" w:id="0">
    <w:p w:rsidR="00206182" w:rsidRDefault="0020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82" w:rsidRDefault="00206182">
      <w:pPr>
        <w:spacing w:after="0" w:line="240" w:lineRule="auto"/>
      </w:pPr>
      <w:r>
        <w:separator/>
      </w:r>
    </w:p>
  </w:footnote>
  <w:footnote w:type="continuationSeparator" w:id="0">
    <w:p w:rsidR="00206182" w:rsidRDefault="0020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672B7C" w:rsidRDefault="008C132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E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B7C" w:rsidRDefault="002061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7C"/>
    <w:rsid w:val="00057EAB"/>
    <w:rsid w:val="000D4F5B"/>
    <w:rsid w:val="000D56F6"/>
    <w:rsid w:val="00144E7C"/>
    <w:rsid w:val="0019307D"/>
    <w:rsid w:val="001E6651"/>
    <w:rsid w:val="00206182"/>
    <w:rsid w:val="0029718F"/>
    <w:rsid w:val="00331DC4"/>
    <w:rsid w:val="003B0E6F"/>
    <w:rsid w:val="00556932"/>
    <w:rsid w:val="00614049"/>
    <w:rsid w:val="00676564"/>
    <w:rsid w:val="006A608C"/>
    <w:rsid w:val="007A59B8"/>
    <w:rsid w:val="007D147C"/>
    <w:rsid w:val="008C1329"/>
    <w:rsid w:val="00913CAD"/>
    <w:rsid w:val="0094078D"/>
    <w:rsid w:val="009F6EAA"/>
    <w:rsid w:val="00A22D22"/>
    <w:rsid w:val="00AF0442"/>
    <w:rsid w:val="00C102B5"/>
    <w:rsid w:val="00D4070B"/>
    <w:rsid w:val="00D6438A"/>
    <w:rsid w:val="00E76EF5"/>
    <w:rsid w:val="00EE5C95"/>
    <w:rsid w:val="00EE63BA"/>
    <w:rsid w:val="00F0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2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132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2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132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DAEA-4696-4F8C-9165-27AD0365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2017-09-01T05:38:00Z</cp:lastPrinted>
  <dcterms:created xsi:type="dcterms:W3CDTF">2023-06-28T11:27:00Z</dcterms:created>
  <dcterms:modified xsi:type="dcterms:W3CDTF">2023-06-28T11:27:00Z</dcterms:modified>
</cp:coreProperties>
</file>