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14ED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2C55A5B5" wp14:editId="6CC2DEC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14E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E14ED" w:rsidRPr="000E14ED" w:rsidRDefault="000E14ED" w:rsidP="000E14ED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14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E14ED" w:rsidRPr="000E14ED" w:rsidRDefault="000E14ED" w:rsidP="000E14ED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14ED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E14ED" w:rsidRPr="000E14ED" w:rsidRDefault="000E14ED" w:rsidP="000E1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21.12.2016 г. № 138»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830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декабря  2017 года   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 2, проведена экспертиза проекта решения Совета поселения Сухонское «О</w:t>
      </w:r>
      <w:proofErr w:type="gramEnd"/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proofErr w:type="gramEnd"/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 в решение от 21.12.2016  г. № 138».</w:t>
      </w: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21.12.2016 года № 138 «О бюджете поселения на 2017  год и плановый период 2018 и 2019 годов», проект решения «О внесении изменений  и дополнений в решение от 21.12.2015 года №138»  и пояснительная записка к проекту решению Совета поселения  «О внесении изменений и дополнений в решение от 21.12.2016 года № 138».</w:t>
      </w:r>
      <w:proofErr w:type="gramEnd"/>
    </w:p>
    <w:p w:rsidR="000E14ED" w:rsidRPr="000E14ED" w:rsidRDefault="000E14ED" w:rsidP="000E14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E14ED" w:rsidRPr="000E14ED" w:rsidRDefault="000E14ED" w:rsidP="000E14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</w:t>
      </w:r>
      <w:r w:rsidR="00A81350">
        <w:rPr>
          <w:rFonts w:ascii="Times New Roman" w:hAnsi="Times New Roman" w:cs="Times New Roman"/>
          <w:sz w:val="28"/>
          <w:szCs w:val="28"/>
        </w:rPr>
        <w:t xml:space="preserve">поселения Сухонское </w:t>
      </w:r>
      <w:r w:rsidRPr="000E14ED">
        <w:rPr>
          <w:rFonts w:ascii="Times New Roman" w:hAnsi="Times New Roman" w:cs="Times New Roman"/>
          <w:sz w:val="28"/>
          <w:szCs w:val="28"/>
        </w:rPr>
        <w:t xml:space="preserve"> </w:t>
      </w:r>
      <w:r w:rsidR="00954E21"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  <w:r w:rsidR="00954E21"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954E21"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</w:t>
      </w:r>
      <w:r w:rsidR="00954E21"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E21" w:rsidRPr="005722E4">
        <w:rPr>
          <w:rFonts w:ascii="Times New Roman" w:hAnsi="Times New Roman" w:cs="Times New Roman"/>
          <w:sz w:val="28"/>
          <w:szCs w:val="28"/>
        </w:rPr>
        <w:t>связано с корректировкой лимитов бюджетных обязательств по раздел</w:t>
      </w:r>
      <w:r w:rsidR="00954E21">
        <w:rPr>
          <w:rFonts w:ascii="Times New Roman" w:hAnsi="Times New Roman" w:cs="Times New Roman"/>
          <w:sz w:val="28"/>
          <w:szCs w:val="28"/>
        </w:rPr>
        <w:t>ам</w:t>
      </w:r>
      <w:r w:rsidR="00954E21"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«Общегосударственные вопросы» и </w:t>
      </w:r>
      <w:r w:rsidR="00954E21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95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E21"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954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восьмой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раз.</w:t>
      </w:r>
    </w:p>
    <w:p w:rsidR="000E14ED" w:rsidRPr="000E14ED" w:rsidRDefault="00954E21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1">
        <w:rPr>
          <w:rFonts w:ascii="Times New Roman" w:hAnsi="Times New Roman" w:cs="Times New Roman"/>
          <w:sz w:val="28"/>
          <w:szCs w:val="28"/>
        </w:rPr>
        <w:t>С учетом предлагаемых поправок объем доходов бюджета поселения на 2017 год остается без изменений</w:t>
      </w:r>
      <w:r w:rsidR="000E14ED"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10483,3 тыс. рублей, объем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E14ED"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составит 11580,7 тыс. рублей. </w:t>
      </w:r>
    </w:p>
    <w:p w:rsidR="000E14ED" w:rsidRPr="000E14ED" w:rsidRDefault="000E14ED" w:rsidP="000E14E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с дефицитом бюджета поселения в сумме 1097,4 тыс. рублей, или 33,8 % от объема доходов без учета безвозмездных поступлений  с учетом остатка денежных средств на счетах бюджета поселения по состоянию на 01.01.2017 года.</w:t>
      </w:r>
    </w:p>
    <w:p w:rsidR="000E14ED" w:rsidRPr="000E14ED" w:rsidRDefault="000E14ED" w:rsidP="000E14E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E14ED" w:rsidRPr="000E14ED" w:rsidRDefault="000E14ED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09"/>
        <w:gridCol w:w="709"/>
        <w:gridCol w:w="850"/>
        <w:gridCol w:w="851"/>
        <w:gridCol w:w="850"/>
        <w:gridCol w:w="851"/>
        <w:gridCol w:w="705"/>
        <w:gridCol w:w="712"/>
        <w:gridCol w:w="851"/>
        <w:gridCol w:w="567"/>
      </w:tblGrid>
      <w:tr w:rsidR="00B1185F" w:rsidRPr="000E14ED" w:rsidTr="00B1185F">
        <w:trPr>
          <w:trHeight w:val="863"/>
        </w:trPr>
        <w:tc>
          <w:tcPr>
            <w:tcW w:w="959" w:type="dxa"/>
            <w:vMerge w:val="restart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709" w:type="dxa"/>
            <w:vMerge w:val="restart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 2017 года</w:t>
            </w:r>
          </w:p>
        </w:tc>
        <w:tc>
          <w:tcPr>
            <w:tcW w:w="709" w:type="dxa"/>
            <w:vMerge w:val="restart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proofErr w:type="gramStart"/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июне</w:t>
            </w:r>
            <w:proofErr w:type="gramEnd"/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850" w:type="dxa"/>
            <w:vMerge w:val="restart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июне 2017 года</w:t>
            </w:r>
          </w:p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сентябре 2017 года</w:t>
            </w:r>
          </w:p>
        </w:tc>
        <w:tc>
          <w:tcPr>
            <w:tcW w:w="850" w:type="dxa"/>
            <w:vMerge w:val="restart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октябре 2017 года</w:t>
            </w:r>
          </w:p>
        </w:tc>
        <w:tc>
          <w:tcPr>
            <w:tcW w:w="851" w:type="dxa"/>
            <w:vMerge w:val="restart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октябре 2017 года (2-раз)</w:t>
            </w:r>
          </w:p>
        </w:tc>
        <w:tc>
          <w:tcPr>
            <w:tcW w:w="705" w:type="dxa"/>
            <w:vMerge w:val="restart"/>
          </w:tcPr>
          <w:p w:rsidR="00B1185F" w:rsidRPr="000E14ED" w:rsidRDefault="00B1185F" w:rsidP="00B11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декабре 2017 года</w:t>
            </w:r>
          </w:p>
        </w:tc>
        <w:tc>
          <w:tcPr>
            <w:tcW w:w="712" w:type="dxa"/>
            <w:vMerge w:val="restart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предлагаемых поправок</w:t>
            </w:r>
            <w:r w:rsidR="00CF1D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в декабре 2017 года (2-е)</w:t>
            </w:r>
          </w:p>
        </w:tc>
        <w:tc>
          <w:tcPr>
            <w:tcW w:w="1418" w:type="dxa"/>
            <w:gridSpan w:val="2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</w:t>
            </w:r>
          </w:p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85F" w:rsidRPr="000E14ED" w:rsidTr="00B1185F">
        <w:trPr>
          <w:trHeight w:val="2146"/>
        </w:trPr>
        <w:tc>
          <w:tcPr>
            <w:tcW w:w="959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567" w:type="dxa"/>
          </w:tcPr>
          <w:p w:rsidR="00B1185F" w:rsidRPr="000E14ED" w:rsidRDefault="00B1185F" w:rsidP="000E14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уточненного бюджета</w:t>
            </w:r>
          </w:p>
        </w:tc>
      </w:tr>
      <w:tr w:rsidR="00B1185F" w:rsidRPr="000E14ED" w:rsidTr="00B1185F">
        <w:tc>
          <w:tcPr>
            <w:tcW w:w="959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9199,0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9271,0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9741,0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9741,0</w:t>
            </w:r>
          </w:p>
        </w:tc>
        <w:tc>
          <w:tcPr>
            <w:tcW w:w="851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9745,4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10072,6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10072,6</w:t>
            </w:r>
          </w:p>
        </w:tc>
        <w:tc>
          <w:tcPr>
            <w:tcW w:w="705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10483,3</w:t>
            </w:r>
          </w:p>
        </w:tc>
        <w:tc>
          <w:tcPr>
            <w:tcW w:w="712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4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10483,3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 w:firstLine="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1284,3</w:t>
            </w:r>
          </w:p>
        </w:tc>
        <w:tc>
          <w:tcPr>
            <w:tcW w:w="567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85F" w:rsidRPr="000E14ED" w:rsidTr="00B1185F">
        <w:tc>
          <w:tcPr>
            <w:tcW w:w="959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9199,0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9337,0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10150,0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10580,0</w:t>
            </w:r>
          </w:p>
        </w:tc>
        <w:tc>
          <w:tcPr>
            <w:tcW w:w="851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10754,3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11571,5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11580,7</w:t>
            </w:r>
          </w:p>
        </w:tc>
        <w:tc>
          <w:tcPr>
            <w:tcW w:w="705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11580,7</w:t>
            </w:r>
          </w:p>
        </w:tc>
        <w:tc>
          <w:tcPr>
            <w:tcW w:w="712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4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11580,7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2381,7</w:t>
            </w:r>
          </w:p>
        </w:tc>
        <w:tc>
          <w:tcPr>
            <w:tcW w:w="567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85F" w:rsidRPr="000E14ED" w:rsidTr="00B1185F">
        <w:tc>
          <w:tcPr>
            <w:tcW w:w="959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850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-66,0</w:t>
            </w:r>
          </w:p>
        </w:tc>
        <w:tc>
          <w:tcPr>
            <w:tcW w:w="709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-409,0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-839,0</w:t>
            </w:r>
          </w:p>
        </w:tc>
        <w:tc>
          <w:tcPr>
            <w:tcW w:w="851" w:type="dxa"/>
          </w:tcPr>
          <w:p w:rsidR="00B1185F" w:rsidRPr="000E14ED" w:rsidRDefault="00B1185F" w:rsidP="000E14ED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-1008,9</w:t>
            </w:r>
          </w:p>
        </w:tc>
        <w:tc>
          <w:tcPr>
            <w:tcW w:w="850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-1498,9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-1508,1</w:t>
            </w:r>
          </w:p>
        </w:tc>
        <w:tc>
          <w:tcPr>
            <w:tcW w:w="705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-1097,4</w:t>
            </w:r>
          </w:p>
        </w:tc>
        <w:tc>
          <w:tcPr>
            <w:tcW w:w="712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4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-1097,4</w:t>
            </w:r>
          </w:p>
        </w:tc>
        <w:tc>
          <w:tcPr>
            <w:tcW w:w="851" w:type="dxa"/>
          </w:tcPr>
          <w:p w:rsidR="00B1185F" w:rsidRPr="000E14ED" w:rsidRDefault="00B1185F" w:rsidP="00B118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+1097,4</w:t>
            </w:r>
          </w:p>
        </w:tc>
        <w:tc>
          <w:tcPr>
            <w:tcW w:w="567" w:type="dxa"/>
          </w:tcPr>
          <w:p w:rsidR="00B1185F" w:rsidRPr="000E14ED" w:rsidRDefault="00A81350" w:rsidP="00B118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118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0E14ED" w:rsidRPr="000E14ED" w:rsidRDefault="000E14ED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2017 год  с учетом поправок </w:t>
      </w:r>
      <w:r w:rsidR="00B11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10483,3 тыс. рублей, что выше бюджетных назначений первоначального бюджета 2017 года на 1284,3 тыс. рублей, или на 14,0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</w:t>
      </w:r>
      <w:r w:rsidRPr="000E14ED">
        <w:rPr>
          <w:rFonts w:ascii="Times New Roman" w:hAnsi="Times New Roman" w:cs="Times New Roman"/>
          <w:sz w:val="28"/>
          <w:szCs w:val="28"/>
        </w:rPr>
        <w:t>.</w:t>
      </w:r>
    </w:p>
    <w:p w:rsidR="000E14ED" w:rsidRPr="000E14ED" w:rsidRDefault="000E14ED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Общий объем </w:t>
      </w:r>
      <w:r w:rsidRPr="000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</w:t>
      </w:r>
      <w:r w:rsidR="00B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остается без изменений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11580,7 тыс. рублей, что выше бюджетных назначений первоначального бюджета 2017 года на 2381,7 тыс. рублей, или 25,9   процента.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</w:t>
      </w:r>
      <w:r w:rsidRPr="000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 в объеме 1097,4 тыс. рублей, или 33,8 %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01.01.2017 года составил  1641,7   тыс. рублей.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1185F" w:rsidRPr="003F61E5" w:rsidRDefault="00B1185F" w:rsidP="00B11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1185F" w:rsidRPr="00537D06" w:rsidRDefault="00B1185F" w:rsidP="00B11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1185F" w:rsidRDefault="00B1185F" w:rsidP="00B1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Сухонское.</w:t>
      </w:r>
    </w:p>
    <w:p w:rsidR="00B1185F" w:rsidRPr="00537D06" w:rsidRDefault="00B1185F" w:rsidP="00B11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85F" w:rsidRPr="00537D06" w:rsidRDefault="00B1185F" w:rsidP="00B118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1185F" w:rsidRDefault="00B1185F" w:rsidP="00B1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64404">
        <w:rPr>
          <w:rFonts w:ascii="Times New Roman" w:hAnsi="Times New Roman" w:cs="Times New Roman"/>
          <w:sz w:val="28"/>
          <w:szCs w:val="28"/>
        </w:rPr>
        <w:t xml:space="preserve">безвозмездные  поступления </w:t>
      </w:r>
      <w:r w:rsidRPr="00537D06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Сухонское.</w:t>
      </w:r>
    </w:p>
    <w:p w:rsidR="00B1185F" w:rsidRPr="003F61E5" w:rsidRDefault="00B1185F" w:rsidP="00B118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11580,7 тыс. рублей. Анализ динамики расходов  бюджета поселения  по проекту решения показывает, что в целом расходы  остаются без изменений. Планируется увеличение  бюджетных ассигнований  на 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 раздел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«Общегосударственные расходы», 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меньшение также на сумму 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раздел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A81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По остальным разделам изменения объема бюджетных ассигнований не планируется.</w:t>
      </w:r>
    </w:p>
    <w:p w:rsidR="007E74F7" w:rsidRDefault="000E14ED" w:rsidP="00F749D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2017  год характеризуется следующими данными:</w:t>
      </w:r>
    </w:p>
    <w:p w:rsidR="007E74F7" w:rsidRPr="000E14ED" w:rsidRDefault="007E74F7" w:rsidP="000E14E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5"/>
        <w:gridCol w:w="854"/>
        <w:gridCol w:w="851"/>
        <w:gridCol w:w="567"/>
      </w:tblGrid>
      <w:tr w:rsidR="007E74F7" w:rsidRPr="000E14ED" w:rsidTr="007E74F7">
        <w:trPr>
          <w:trHeight w:val="2004"/>
        </w:trPr>
        <w:tc>
          <w:tcPr>
            <w:tcW w:w="1526" w:type="dxa"/>
            <w:vMerge w:val="restart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708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от марта 2017 года 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709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709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Поправок в сентябре 2017 года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Поправок в октябре 2017 года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в октябре 2017 года (2-й раз)</w:t>
            </w:r>
          </w:p>
        </w:tc>
        <w:tc>
          <w:tcPr>
            <w:tcW w:w="705" w:type="dxa"/>
            <w:vMerge w:val="restart"/>
          </w:tcPr>
          <w:p w:rsidR="007E74F7" w:rsidRPr="000E14ED" w:rsidRDefault="007E74F7" w:rsidP="007E74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декабре 2017 года </w:t>
            </w:r>
          </w:p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7E74F7" w:rsidRPr="000E14ED" w:rsidRDefault="007E74F7" w:rsidP="007E74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  <w:proofErr w:type="spellStart"/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предлага</w:t>
            </w:r>
            <w:proofErr w:type="spellEnd"/>
          </w:p>
          <w:p w:rsidR="007E74F7" w:rsidRPr="000E14ED" w:rsidRDefault="007E74F7" w:rsidP="007E74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емых</w:t>
            </w:r>
            <w:proofErr w:type="spellEnd"/>
          </w:p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</w:p>
          <w:p w:rsidR="007E74F7" w:rsidRPr="00CF1D76" w:rsidRDefault="00CF1D76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F1D76">
              <w:rPr>
                <w:rFonts w:ascii="Times New Roman" w:eastAsiaTheme="minorEastAsia" w:hAnsi="Times New Roman" w:cs="Times New Roman"/>
                <w:lang w:eastAsia="ru-RU"/>
              </w:rPr>
              <w:t>в декабре 2017 года (2-е</w:t>
            </w:r>
            <w:proofErr w:type="gramEnd"/>
          </w:p>
        </w:tc>
        <w:tc>
          <w:tcPr>
            <w:tcW w:w="1418" w:type="dxa"/>
            <w:gridSpan w:val="2"/>
          </w:tcPr>
          <w:p w:rsidR="007E74F7" w:rsidRPr="000E14ED" w:rsidRDefault="007E74F7" w:rsidP="000E1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lang w:eastAsia="ru-RU"/>
              </w:rPr>
              <w:t>Отклонения показателей предлагаемых поправок</w:t>
            </w:r>
          </w:p>
        </w:tc>
      </w:tr>
      <w:tr w:rsidR="007E74F7" w:rsidRPr="000E14ED" w:rsidTr="007E74F7">
        <w:trPr>
          <w:trHeight w:val="1679"/>
        </w:trPr>
        <w:tc>
          <w:tcPr>
            <w:tcW w:w="1526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74F7" w:rsidRPr="000E14ED" w:rsidRDefault="007E74F7" w:rsidP="000E14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74F7" w:rsidRPr="000E14ED" w:rsidRDefault="007E74F7" w:rsidP="000E1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lang w:eastAsia="ru-RU"/>
              </w:rPr>
              <w:t xml:space="preserve">от первоначального бюджета </w:t>
            </w:r>
          </w:p>
        </w:tc>
        <w:tc>
          <w:tcPr>
            <w:tcW w:w="567" w:type="dxa"/>
          </w:tcPr>
          <w:p w:rsidR="007E74F7" w:rsidRPr="000E14ED" w:rsidRDefault="007E74F7" w:rsidP="000E1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lang w:eastAsia="ru-RU"/>
              </w:rPr>
              <w:t>от уточненного бюджета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3454,6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3520,6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3977,9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4457,9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4457,9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4757,9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4761,7</w:t>
            </w:r>
          </w:p>
        </w:tc>
        <w:tc>
          <w:tcPr>
            <w:tcW w:w="851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7,1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+3,8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rPr>
          <w:trHeight w:val="1339"/>
        </w:trPr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 37,0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rPr>
          <w:trHeight w:val="586"/>
        </w:trPr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151,2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151,2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147,4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147,4</w:t>
            </w:r>
          </w:p>
        </w:tc>
        <w:tc>
          <w:tcPr>
            <w:tcW w:w="567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2526,5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2183,6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2183,6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77,1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3,8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3677,2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 xml:space="preserve"> 3677,2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3748,7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3748,7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798,7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0,0</w:t>
            </w:r>
          </w:p>
        </w:tc>
      </w:tr>
      <w:tr w:rsidR="007E74F7" w:rsidRPr="000E14ED" w:rsidTr="007E74F7"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152,4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152,4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-35,6</w:t>
            </w:r>
          </w:p>
        </w:tc>
        <w:tc>
          <w:tcPr>
            <w:tcW w:w="567" w:type="dxa"/>
          </w:tcPr>
          <w:p w:rsidR="007E74F7" w:rsidRPr="000E14ED" w:rsidRDefault="007E74F7" w:rsidP="007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rPr>
          <w:trHeight w:val="290"/>
        </w:trPr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140,0</w:t>
            </w:r>
          </w:p>
        </w:tc>
        <w:tc>
          <w:tcPr>
            <w:tcW w:w="705" w:type="dxa"/>
          </w:tcPr>
          <w:p w:rsidR="007E74F7" w:rsidRPr="000E14ED" w:rsidRDefault="007E74F7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170,0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170,0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lang w:eastAsia="ru-RU"/>
              </w:rPr>
              <w:t>40,0</w:t>
            </w:r>
          </w:p>
        </w:tc>
        <w:tc>
          <w:tcPr>
            <w:tcW w:w="567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74F7" w:rsidRPr="000E14ED" w:rsidTr="007E74F7">
        <w:trPr>
          <w:trHeight w:val="290"/>
        </w:trPr>
        <w:tc>
          <w:tcPr>
            <w:tcW w:w="1526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9199,0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9337,0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10150,0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10580,0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10754,3</w:t>
            </w:r>
          </w:p>
        </w:tc>
        <w:tc>
          <w:tcPr>
            <w:tcW w:w="708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11571,5</w:t>
            </w:r>
          </w:p>
        </w:tc>
        <w:tc>
          <w:tcPr>
            <w:tcW w:w="709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11580,7</w:t>
            </w:r>
          </w:p>
        </w:tc>
        <w:tc>
          <w:tcPr>
            <w:tcW w:w="705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11580,7</w:t>
            </w:r>
          </w:p>
        </w:tc>
        <w:tc>
          <w:tcPr>
            <w:tcW w:w="854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11580,7</w:t>
            </w:r>
          </w:p>
        </w:tc>
        <w:tc>
          <w:tcPr>
            <w:tcW w:w="851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2381,7</w:t>
            </w:r>
          </w:p>
        </w:tc>
        <w:tc>
          <w:tcPr>
            <w:tcW w:w="567" w:type="dxa"/>
          </w:tcPr>
          <w:p w:rsidR="007E74F7" w:rsidRPr="000E14ED" w:rsidRDefault="007E74F7" w:rsidP="000E1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E14ED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0E14ED" w:rsidRPr="000E14ED" w:rsidRDefault="000E14ED" w:rsidP="000E14E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7E74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="001A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E7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E1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1A7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 «Функционирование Правительства РФ, высших исполнительных органов государственной  власти субъектов РФ, местных администраций»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1A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расчеты  по оказанию  информационных услуг АМУ   «Редакция газеты «Междуречье»</w:t>
      </w:r>
      <w:r w:rsidR="007E7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4ED" w:rsidRPr="000E14ED" w:rsidRDefault="000E14ED" w:rsidP="000E1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Финансовое обоснование (расчет) на увеличение расходов на </w:t>
      </w:r>
      <w:r w:rsidR="007E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3,8</w:t>
      </w:r>
      <w:r w:rsidRPr="000E1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в ревизионную комиссию  не представлено.</w:t>
      </w:r>
    </w:p>
    <w:p w:rsidR="000E14ED" w:rsidRPr="000E14ED" w:rsidRDefault="000E14ED" w:rsidP="000E1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F7" w:rsidRDefault="007E74F7" w:rsidP="007E74F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9646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Pr="009731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04 12 </w:t>
      </w:r>
      <w:r w:rsidRPr="00B569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лимиты бюджетных обязательств уменьшаются на 3,8 тыс. рублей, или на 2,5%  по целевой статье 77 4 00 81250  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 в связи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снижением объема финансирования субсидии с областного бюджета. </w:t>
      </w:r>
    </w:p>
    <w:p w:rsidR="000E14ED" w:rsidRPr="000E14ED" w:rsidRDefault="000E14ED" w:rsidP="000E1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0E14ED" w:rsidRPr="000E14ED" w:rsidRDefault="000E14ED" w:rsidP="000E1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2017 год в сумме 1097,4 тыс. рублей, или 33,8% от общего объема доходов без учета объема безвозмездных поступлений и поступлений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налоговых доходов по дополнительным нормативам отчислений с учетом остатка средств бюджета поселения на 01.01.2017 года.</w:t>
      </w:r>
    </w:p>
    <w:p w:rsidR="000E14ED" w:rsidRPr="000E14ED" w:rsidRDefault="000E14ED" w:rsidP="000E14E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0E14ED" w:rsidRPr="000E14ED" w:rsidRDefault="000E14ED" w:rsidP="000E14E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0E14ED" w:rsidRPr="000E14ED" w:rsidTr="005A3A54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0E14ED" w:rsidRPr="000E14ED" w:rsidTr="005A3A54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ED" w:rsidRPr="000E14ED" w:rsidRDefault="000E14ED" w:rsidP="000E1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21.12.2016 №138</w:t>
            </w:r>
          </w:p>
          <w:p w:rsidR="000E14ED" w:rsidRPr="000E14ED" w:rsidRDefault="000E14ED" w:rsidP="000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 проектом решения в декабре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0E14ED" w:rsidRPr="000E14ED" w:rsidRDefault="000E14ED" w:rsidP="000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0E14ED" w:rsidRPr="000E14ED" w:rsidTr="005A3A54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-410,7</w:t>
            </w:r>
          </w:p>
        </w:tc>
      </w:tr>
      <w:tr w:rsidR="000E14ED" w:rsidRPr="000E14ED" w:rsidTr="005A3A54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-19,4</w:t>
            </w:r>
          </w:p>
        </w:tc>
      </w:tr>
      <w:tr w:rsidR="000E14ED" w:rsidRPr="000E14ED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-410,7</w:t>
            </w:r>
          </w:p>
        </w:tc>
      </w:tr>
      <w:tr w:rsidR="000E14ED" w:rsidRPr="000E14ED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+410,7</w:t>
            </w:r>
          </w:p>
        </w:tc>
      </w:tr>
      <w:tr w:rsidR="000E14ED" w:rsidRPr="000E14ED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-11580,7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D" w:rsidRPr="000E14ED" w:rsidRDefault="000E14ED" w:rsidP="000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E14ED" w:rsidRPr="000E14ED" w:rsidRDefault="000E14ED" w:rsidP="000E14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с учетом вносимых изменений и дополнений  принят с дефицитом в размере 1508,1 тыс. рублей, или 52,2%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утвержденного бюджета с показателями  предлагаемых  поправок, дефицит  бюджета поселения  снизился  на 410,7 тыс. рублей, или на 27,2 процентных пункта и составит 1097,4 тыс. рублей, или на 33,8 %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по состоянию на 01.01.2017 года. </w:t>
      </w:r>
      <w:proofErr w:type="gramEnd"/>
    </w:p>
    <w:p w:rsidR="000E14ED" w:rsidRPr="000E14ED" w:rsidRDefault="000E14ED" w:rsidP="000E14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составил  1641,7   тыс. рублей.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14ED" w:rsidRPr="000E14ED" w:rsidRDefault="000E14ED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2017 год  с учетом поправок </w:t>
      </w:r>
      <w:r w:rsidR="00E3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 и составит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10483,3 тыс. рублей, что выше бюджетных назначений первоначального бюджета 2017 года на 1284,3 тыс. рублей, или на 14</w:t>
      </w:r>
      <w:r w:rsidR="00E3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 </w:t>
      </w:r>
      <w:r w:rsidRPr="000E14ED">
        <w:rPr>
          <w:rFonts w:ascii="Times New Roman" w:hAnsi="Times New Roman" w:cs="Times New Roman"/>
          <w:sz w:val="28"/>
          <w:szCs w:val="28"/>
        </w:rPr>
        <w:t>процента.</w:t>
      </w:r>
    </w:p>
    <w:p w:rsidR="000E14ED" w:rsidRPr="000E14ED" w:rsidRDefault="000E14ED" w:rsidP="000E14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2. Объем собственных доходов бюджета поселения </w:t>
      </w:r>
      <w:r w:rsidR="00E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="00EB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</w:t>
      </w:r>
      <w:r w:rsidR="00E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205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3248,1 тыс. рублей, или 31,0% от объема доходов бюджета поселения.</w:t>
      </w:r>
    </w:p>
    <w:p w:rsidR="000E14ED" w:rsidRPr="000E14ED" w:rsidRDefault="000E14ED" w:rsidP="000E14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</w:t>
      </w:r>
      <w:r w:rsidR="00E34205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E34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7235,2 тыс. рублей, или 69,0 % от общего объема доходов бюджета поселения.</w:t>
      </w:r>
    </w:p>
    <w:p w:rsidR="000E14ED" w:rsidRPr="000E14ED" w:rsidRDefault="000E14ED" w:rsidP="000E14E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 w:rsidRPr="000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остается без изменений и составит 11580,7 тыс. рублей, что выше бюджетных назначений первоначального бюджета 2017 года на 2381,7 тыс. рублей, или 25,9   процента.</w:t>
      </w:r>
    </w:p>
    <w:p w:rsidR="000E14ED" w:rsidRPr="000E14ED" w:rsidRDefault="000E14ED" w:rsidP="000E14E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Планируется увеличить расходы по сравнению с утвержденными бюджетными назначениями по раздел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 на сумму 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3,8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0,1% и снижение  по разделу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14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2,5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</w:t>
      </w:r>
      <w:r w:rsidR="005117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остальным 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Проект </w:t>
      </w:r>
      <w:r w:rsidRPr="000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в сумме 1097,4 тыс. рублей, или 33,8 процента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6. Остаток денежных средств на счетах бюджета  поселения по состоянию на 01.01.2017 года составил    1641,7   тыс. рублей.</w:t>
      </w:r>
    </w:p>
    <w:p w:rsidR="000E14ED" w:rsidRPr="000E14ED" w:rsidRDefault="000E14ED" w:rsidP="000E1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ED" w:rsidRPr="000E14ED" w:rsidRDefault="000E14ED" w:rsidP="000E14E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E14ED" w:rsidRPr="000E14ED" w:rsidRDefault="000E14ED" w:rsidP="000E14ED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в ревизионную комиссию обоснования на увеличение расходов.</w:t>
      </w:r>
    </w:p>
    <w:p w:rsidR="000E14ED" w:rsidRPr="000E14ED" w:rsidRDefault="000E14ED" w:rsidP="000E14ED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Ревизионная комиссия района предлагает принять проект решения  «О внесении изменений и дополнений в решение от 21.12.2016 г. №138».</w:t>
      </w: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0E14E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0E14ED" w:rsidRPr="000E14ED" w:rsidRDefault="000E14ED" w:rsidP="000E14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E14ED" w:rsidRPr="000E14ED" w:rsidRDefault="000E14ED" w:rsidP="000E14ED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0E14ED" w:rsidRPr="000E14ED" w:rsidRDefault="000E14ED" w:rsidP="000E14ED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0E14ED" w:rsidRPr="000E14ED" w:rsidRDefault="000E14ED" w:rsidP="000E14ED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0E14ED" w:rsidRPr="000E14ED" w:rsidRDefault="000E14ED" w:rsidP="000E14ED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0E14ED" w:rsidRPr="000E14ED" w:rsidRDefault="000E14ED" w:rsidP="000E14ED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0E14ED" w:rsidRPr="000E14ED" w:rsidRDefault="000E14ED" w:rsidP="000E14ED">
      <w:pPr>
        <w:rPr>
          <w:rFonts w:eastAsiaTheme="minorEastAsia"/>
          <w:lang w:eastAsia="ru-RU"/>
        </w:rPr>
      </w:pPr>
    </w:p>
    <w:p w:rsidR="000E14ED" w:rsidRPr="000E14ED" w:rsidRDefault="000E14ED" w:rsidP="000E14ED">
      <w:pPr>
        <w:rPr>
          <w:rFonts w:eastAsiaTheme="minorEastAsia"/>
          <w:lang w:eastAsia="ru-RU"/>
        </w:rPr>
      </w:pPr>
    </w:p>
    <w:p w:rsidR="000E14ED" w:rsidRPr="000E14ED" w:rsidRDefault="000E14ED" w:rsidP="000E14ED"/>
    <w:p w:rsidR="0080621F" w:rsidRDefault="0080621F"/>
    <w:sectPr w:rsidR="0080621F" w:rsidSect="000171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91" w:rsidRDefault="00142191">
      <w:pPr>
        <w:spacing w:after="0" w:line="240" w:lineRule="auto"/>
      </w:pPr>
      <w:r>
        <w:separator/>
      </w:r>
    </w:p>
  </w:endnote>
  <w:endnote w:type="continuationSeparator" w:id="0">
    <w:p w:rsidR="00142191" w:rsidRDefault="0014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91" w:rsidRDefault="00142191">
      <w:pPr>
        <w:spacing w:after="0" w:line="240" w:lineRule="auto"/>
      </w:pPr>
      <w:r>
        <w:separator/>
      </w:r>
    </w:p>
  </w:footnote>
  <w:footnote w:type="continuationSeparator" w:id="0">
    <w:p w:rsidR="00142191" w:rsidRDefault="0014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017184" w:rsidRDefault="00CF1D7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184" w:rsidRDefault="001421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AC7"/>
    <w:multiLevelType w:val="hybridMultilevel"/>
    <w:tmpl w:val="DD5255FA"/>
    <w:lvl w:ilvl="0" w:tplc="363C0C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AA"/>
    <w:rsid w:val="000E14ED"/>
    <w:rsid w:val="00142191"/>
    <w:rsid w:val="001A73BE"/>
    <w:rsid w:val="00264404"/>
    <w:rsid w:val="00487D57"/>
    <w:rsid w:val="0051174D"/>
    <w:rsid w:val="00596AA0"/>
    <w:rsid w:val="006B4BAA"/>
    <w:rsid w:val="007E74F7"/>
    <w:rsid w:val="0080621F"/>
    <w:rsid w:val="00830B7C"/>
    <w:rsid w:val="00916BE6"/>
    <w:rsid w:val="00954E21"/>
    <w:rsid w:val="00A81350"/>
    <w:rsid w:val="00B1185F"/>
    <w:rsid w:val="00B14B0E"/>
    <w:rsid w:val="00B4438B"/>
    <w:rsid w:val="00C476F0"/>
    <w:rsid w:val="00CF1D76"/>
    <w:rsid w:val="00E34205"/>
    <w:rsid w:val="00E71D03"/>
    <w:rsid w:val="00EB022D"/>
    <w:rsid w:val="00EB73CB"/>
    <w:rsid w:val="00EC21DA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E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14E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E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14E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2017-12-22T12:41:00Z</cp:lastPrinted>
  <dcterms:created xsi:type="dcterms:W3CDTF">2017-12-28T07:14:00Z</dcterms:created>
  <dcterms:modified xsi:type="dcterms:W3CDTF">2017-12-28T07:14:00Z</dcterms:modified>
</cp:coreProperties>
</file>