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C192E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УТВЕРЖДАЮ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Председатель ревизионной комиссии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Представительного Собрания района</w:t>
      </w:r>
    </w:p>
    <w:p w:rsidR="006C192E" w:rsidRPr="006C192E" w:rsidRDefault="006C192E" w:rsidP="006C192E">
      <w:pPr>
        <w:spacing w:after="0" w:line="240" w:lineRule="auto"/>
        <w:ind w:left="513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6C192E">
        <w:rPr>
          <w:rFonts w:ascii="Times New Roman" w:hAnsi="Times New Roman" w:cs="Times New Roman"/>
          <w:sz w:val="26"/>
          <w:szCs w:val="26"/>
        </w:rPr>
        <w:t>____________________</w:t>
      </w:r>
      <w:proofErr w:type="spellStart"/>
      <w:r w:rsidRPr="006C192E">
        <w:rPr>
          <w:rFonts w:ascii="Times New Roman" w:hAnsi="Times New Roman" w:cs="Times New Roman"/>
          <w:sz w:val="26"/>
          <w:szCs w:val="26"/>
        </w:rPr>
        <w:t>О.А.Дудина</w:t>
      </w:r>
      <w:proofErr w:type="spellEnd"/>
      <w:r w:rsidRPr="006C19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192E">
        <w:rPr>
          <w:rFonts w:ascii="Times New Roman" w:hAnsi="Times New Roman" w:cs="Times New Roman"/>
          <w:b/>
          <w:sz w:val="32"/>
          <w:szCs w:val="32"/>
        </w:rPr>
        <w:t xml:space="preserve"> ЗАКЛЮЧЕНИЕ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на отчет об исполнении бюджета поселения </w:t>
      </w:r>
      <w:r w:rsidR="00755149">
        <w:rPr>
          <w:rFonts w:ascii="Times New Roman" w:hAnsi="Times New Roman" w:cs="Times New Roman"/>
          <w:sz w:val="28"/>
          <w:szCs w:val="28"/>
        </w:rPr>
        <w:t>Туро</w:t>
      </w:r>
      <w:r>
        <w:rPr>
          <w:rFonts w:ascii="Times New Roman" w:hAnsi="Times New Roman" w:cs="Times New Roman"/>
          <w:sz w:val="28"/>
          <w:szCs w:val="28"/>
        </w:rPr>
        <w:t>вецкое</w:t>
      </w: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за 1 </w:t>
      </w:r>
      <w:r w:rsidR="009E2D93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02061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C192E" w:rsidRPr="008662FC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C192E" w:rsidRPr="008662FC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662FC">
        <w:rPr>
          <w:rFonts w:ascii="Times New Roman" w:hAnsi="Times New Roman" w:cs="Times New Roman"/>
          <w:sz w:val="28"/>
          <w:szCs w:val="28"/>
        </w:rPr>
        <w:t>«</w:t>
      </w:r>
      <w:r w:rsidR="004D15B9" w:rsidRPr="008662FC">
        <w:rPr>
          <w:rFonts w:ascii="Times New Roman" w:hAnsi="Times New Roman" w:cs="Times New Roman"/>
          <w:sz w:val="28"/>
          <w:szCs w:val="28"/>
        </w:rPr>
        <w:t>28</w:t>
      </w:r>
      <w:r w:rsidRPr="008662FC">
        <w:rPr>
          <w:rFonts w:ascii="Times New Roman" w:hAnsi="Times New Roman" w:cs="Times New Roman"/>
          <w:sz w:val="28"/>
          <w:szCs w:val="28"/>
        </w:rPr>
        <w:t xml:space="preserve">» </w:t>
      </w:r>
      <w:r w:rsidR="009E2D93" w:rsidRPr="008662F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8662FC">
        <w:rPr>
          <w:rFonts w:ascii="Times New Roman" w:hAnsi="Times New Roman" w:cs="Times New Roman"/>
          <w:sz w:val="28"/>
          <w:szCs w:val="28"/>
        </w:rPr>
        <w:t>201</w:t>
      </w:r>
      <w:r w:rsidR="0002061F" w:rsidRPr="008662FC">
        <w:rPr>
          <w:rFonts w:ascii="Times New Roman" w:hAnsi="Times New Roman" w:cs="Times New Roman"/>
          <w:sz w:val="28"/>
          <w:szCs w:val="28"/>
        </w:rPr>
        <w:t>7</w:t>
      </w:r>
      <w:r w:rsidRPr="008662FC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BF028F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C192E" w:rsidRPr="006C192E">
        <w:rPr>
          <w:rFonts w:ascii="Times New Roman" w:hAnsi="Times New Roman" w:cs="Times New Roman"/>
          <w:sz w:val="28"/>
          <w:szCs w:val="28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соответствии с</w:t>
      </w:r>
      <w:r w:rsidR="0075514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857C8B">
        <w:rPr>
          <w:rFonts w:ascii="Times New Roman" w:hAnsi="Times New Roman" w:cs="Times New Roman"/>
          <w:sz w:val="28"/>
          <w:szCs w:val="28"/>
        </w:rPr>
        <w:t>18 раздела «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Экспертно-аналитические мероприятия»  Плана работы  ревизионной комиссии </w:t>
      </w:r>
      <w:r w:rsidR="006C192E" w:rsidRPr="006C192E">
        <w:rPr>
          <w:rFonts w:ascii="Times New Roman" w:hAnsi="Times New Roman" w:cs="Times New Roman"/>
          <w:sz w:val="28"/>
          <w:szCs w:val="28"/>
        </w:rPr>
        <w:tab/>
        <w:t>Представительного Собрания района на 201</w:t>
      </w:r>
      <w:r w:rsidR="0002061F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год, ревизионной комиссией проведен анализ исполнения бюджета поселения  за 1 </w:t>
      </w:r>
      <w:r w:rsidR="009E2D93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02061F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6C192E" w:rsidRPr="0059406C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Отчет об исполнении бюджета поселения за 1 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полугодие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02061F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утвержден постановлением администрации  поселения Туровецко</w:t>
      </w:r>
      <w:r w:rsidR="00390C79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59406C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10 августа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</w:t>
      </w:r>
      <w:r w:rsidR="0059406C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59406C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9E2D93" w:rsidRPr="00594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6C192E" w:rsidRPr="006C192E" w:rsidRDefault="0002061F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сопоставление исполненных показателей бюджета поселения 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с годовыми назначениями, а также  с показателями за аналогичный период предыдущего года;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02061F">
        <w:rPr>
          <w:rFonts w:ascii="Times New Roman" w:hAnsi="Times New Roman" w:cs="Times New Roman"/>
          <w:sz w:val="28"/>
          <w:szCs w:val="28"/>
        </w:rPr>
        <w:t xml:space="preserve">          - в</w:t>
      </w:r>
      <w:r w:rsidRPr="006C192E">
        <w:rPr>
          <w:rFonts w:ascii="Times New Roman" w:hAnsi="Times New Roman" w:cs="Times New Roman"/>
          <w:sz w:val="28"/>
          <w:szCs w:val="28"/>
        </w:rPr>
        <w:t>ыявление возможных несоответствий (нарушений) и подготовка предложений, направленных на их устранение.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Заключение ревизионной комиссии на отчет об исполнении бюджета поселения за 1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="00256F0F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02061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(далее - Заключение)</w:t>
      </w:r>
      <w:r w:rsidR="00256F0F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</w:t>
      </w:r>
      <w:r w:rsidRPr="006C192E">
        <w:rPr>
          <w:rFonts w:ascii="Times New Roman" w:hAnsi="Times New Roman" w:cs="Times New Roman"/>
          <w:sz w:val="28"/>
          <w:szCs w:val="28"/>
        </w:rPr>
        <w:lastRenderedPageBreak/>
        <w:t>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Общая характеристика бюджета поселения.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Отчет об исполнении бюджета поселения за 1 </w:t>
      </w:r>
      <w:r w:rsidR="00256F0F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02061F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утвержден постановлением администрации поселения </w:t>
      </w:r>
      <w:r w:rsidR="002B2016">
        <w:rPr>
          <w:rFonts w:ascii="Times New Roman" w:hAnsi="Times New Roman" w:cs="Times New Roman"/>
          <w:sz w:val="28"/>
          <w:szCs w:val="28"/>
        </w:rPr>
        <w:t>Туровецкое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81280C" w:rsidRPr="00E26C3A" w:rsidRDefault="006808A9" w:rsidP="0081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808A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81280C" w:rsidRPr="00E26C3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 xml:space="preserve">В  приложении 1 к постановлению администрации поселения </w:t>
      </w:r>
      <w:r w:rsidR="0081280C">
        <w:rPr>
          <w:rFonts w:ascii="Times New Roman" w:eastAsia="Times New Roman" w:hAnsi="Times New Roman" w:cs="Times New Roman"/>
          <w:i/>
          <w:sz w:val="28"/>
          <w:szCs w:val="28"/>
        </w:rPr>
        <w:t xml:space="preserve">Туровецкое 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 xml:space="preserve"> от </w:t>
      </w:r>
      <w:r w:rsidR="0081280C">
        <w:rPr>
          <w:rFonts w:ascii="Times New Roman" w:eastAsia="Times New Roman" w:hAnsi="Times New Roman" w:cs="Times New Roman"/>
          <w:i/>
          <w:sz w:val="28"/>
          <w:szCs w:val="28"/>
        </w:rPr>
        <w:t>10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>.0</w:t>
      </w:r>
      <w:r w:rsidR="0081280C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>.201</w:t>
      </w:r>
      <w:r w:rsidR="0081280C">
        <w:rPr>
          <w:rFonts w:ascii="Times New Roman" w:eastAsia="Times New Roman" w:hAnsi="Times New Roman" w:cs="Times New Roman"/>
          <w:i/>
          <w:sz w:val="28"/>
          <w:szCs w:val="28"/>
        </w:rPr>
        <w:t>7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года №</w:t>
      </w:r>
      <w:r w:rsidR="0081280C">
        <w:rPr>
          <w:rFonts w:ascii="Times New Roman" w:eastAsia="Times New Roman" w:hAnsi="Times New Roman" w:cs="Times New Roman"/>
          <w:i/>
          <w:sz w:val="28"/>
          <w:szCs w:val="28"/>
        </w:rPr>
        <w:t xml:space="preserve">22 </w:t>
      </w:r>
      <w:r w:rsidR="0081280C" w:rsidRPr="00E26C3A">
        <w:rPr>
          <w:rFonts w:ascii="Times New Roman" w:eastAsia="Times New Roman" w:hAnsi="Times New Roman" w:cs="Times New Roman"/>
          <w:i/>
          <w:sz w:val="28"/>
          <w:szCs w:val="28"/>
        </w:rPr>
        <w:t>неверно указаны  цифры:</w:t>
      </w:r>
    </w:p>
    <w:p w:rsidR="0081280C" w:rsidRPr="00E26C3A" w:rsidRDefault="0081280C" w:rsidP="0081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в столбце «% исполнения», по строке «000 1 06 06033 10 0000 110 Земельный налог с организаций»   и по строке «000 2 02 35118 10 0000 151 Субвенции бюджетам поселений на осуществления первичного воинского учета на территориях, где отсутствуют военные комиссариаты» цифры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43,5»   и «50,0»     заменить цифрами  «43,7» и «50,1» соответственно. </w:t>
      </w:r>
    </w:p>
    <w:p w:rsidR="0081280C" w:rsidRDefault="006808A9" w:rsidP="008128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12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В приложении </w:t>
      </w:r>
      <w:r w:rsidR="00812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2 </w:t>
      </w:r>
      <w:r w:rsidR="0081280C" w:rsidRPr="008128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также н верно указаны цифры:</w:t>
      </w:r>
    </w:p>
    <w:p w:rsidR="0081280C" w:rsidRPr="00E26C3A" w:rsidRDefault="0081280C" w:rsidP="0081280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1280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столбце «% исполнения», по строке «Национальная  оборона 02 00» и «Культура, кинематография 08 00» цифры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50,0»   и «33,0»     заменить цифрами  «50,1» и «33,4» соответственно. </w:t>
      </w:r>
    </w:p>
    <w:p w:rsidR="0081280C" w:rsidRPr="0081280C" w:rsidRDefault="0081280C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Изменения в решение «О бюджете поселения на 201</w:t>
      </w:r>
      <w:r w:rsidR="00AE7513">
        <w:rPr>
          <w:rFonts w:ascii="Times New Roman" w:hAnsi="Times New Roman" w:cs="Times New Roman"/>
          <w:sz w:val="28"/>
          <w:szCs w:val="28"/>
        </w:rPr>
        <w:t>7</w:t>
      </w:r>
      <w:r w:rsidR="0081280C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год</w:t>
      </w:r>
      <w:r w:rsidR="00AE7513">
        <w:rPr>
          <w:rFonts w:ascii="Times New Roman" w:hAnsi="Times New Roman" w:cs="Times New Roman"/>
          <w:sz w:val="28"/>
          <w:szCs w:val="28"/>
        </w:rPr>
        <w:t xml:space="preserve"> и плановый период на 2018 и 2019 годы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1 </w:t>
      </w:r>
      <w:r w:rsidR="008859FD">
        <w:rPr>
          <w:rFonts w:ascii="Times New Roman" w:hAnsi="Times New Roman" w:cs="Times New Roman"/>
          <w:sz w:val="28"/>
          <w:szCs w:val="28"/>
        </w:rPr>
        <w:t xml:space="preserve">полугодии </w:t>
      </w:r>
      <w:r w:rsidRPr="006C192E">
        <w:rPr>
          <w:rFonts w:ascii="Times New Roman" w:hAnsi="Times New Roman" w:cs="Times New Roman"/>
          <w:sz w:val="28"/>
          <w:szCs w:val="28"/>
        </w:rPr>
        <w:t>201</w:t>
      </w:r>
      <w:r w:rsidR="00AE7513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вносились</w:t>
      </w:r>
      <w:r w:rsidR="008859FD">
        <w:rPr>
          <w:rFonts w:ascii="Times New Roman" w:hAnsi="Times New Roman" w:cs="Times New Roman"/>
          <w:sz w:val="28"/>
          <w:szCs w:val="28"/>
        </w:rPr>
        <w:t xml:space="preserve"> </w:t>
      </w:r>
      <w:r w:rsidR="00AE7513">
        <w:rPr>
          <w:rFonts w:ascii="Times New Roman" w:hAnsi="Times New Roman" w:cs="Times New Roman"/>
          <w:sz w:val="28"/>
          <w:szCs w:val="28"/>
        </w:rPr>
        <w:t>2</w:t>
      </w:r>
      <w:r w:rsidR="008859FD">
        <w:rPr>
          <w:rFonts w:ascii="Times New Roman" w:hAnsi="Times New Roman" w:cs="Times New Roman"/>
          <w:sz w:val="28"/>
          <w:szCs w:val="28"/>
        </w:rPr>
        <w:t xml:space="preserve"> раз</w:t>
      </w:r>
      <w:r w:rsidR="00AE7513">
        <w:rPr>
          <w:rFonts w:ascii="Times New Roman" w:hAnsi="Times New Roman" w:cs="Times New Roman"/>
          <w:sz w:val="28"/>
          <w:szCs w:val="28"/>
        </w:rPr>
        <w:t>а</w:t>
      </w:r>
      <w:r w:rsidR="008859FD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BF028F">
        <w:rPr>
          <w:rFonts w:ascii="Times New Roman" w:hAnsi="Times New Roman" w:cs="Times New Roman"/>
          <w:sz w:val="28"/>
          <w:szCs w:val="28"/>
        </w:rPr>
        <w:t>ями</w:t>
      </w:r>
      <w:r w:rsidR="0027076E">
        <w:rPr>
          <w:rFonts w:ascii="Times New Roman" w:hAnsi="Times New Roman" w:cs="Times New Roman"/>
          <w:sz w:val="28"/>
          <w:szCs w:val="28"/>
        </w:rPr>
        <w:t xml:space="preserve"> от </w:t>
      </w:r>
      <w:r w:rsidR="00AE7513">
        <w:rPr>
          <w:rFonts w:ascii="Times New Roman" w:hAnsi="Times New Roman" w:cs="Times New Roman"/>
          <w:sz w:val="28"/>
          <w:szCs w:val="28"/>
        </w:rPr>
        <w:t>03</w:t>
      </w:r>
      <w:r w:rsidR="0027076E">
        <w:rPr>
          <w:rFonts w:ascii="Times New Roman" w:hAnsi="Times New Roman" w:cs="Times New Roman"/>
          <w:sz w:val="28"/>
          <w:szCs w:val="28"/>
        </w:rPr>
        <w:t>.0</w:t>
      </w:r>
      <w:r w:rsidR="00AE7513">
        <w:rPr>
          <w:rFonts w:ascii="Times New Roman" w:hAnsi="Times New Roman" w:cs="Times New Roman"/>
          <w:sz w:val="28"/>
          <w:szCs w:val="28"/>
        </w:rPr>
        <w:t>4</w:t>
      </w:r>
      <w:r w:rsidR="0027076E">
        <w:rPr>
          <w:rFonts w:ascii="Times New Roman" w:hAnsi="Times New Roman" w:cs="Times New Roman"/>
          <w:sz w:val="28"/>
          <w:szCs w:val="28"/>
        </w:rPr>
        <w:t>.201</w:t>
      </w:r>
      <w:r w:rsidR="00AE7513">
        <w:rPr>
          <w:rFonts w:ascii="Times New Roman" w:hAnsi="Times New Roman" w:cs="Times New Roman"/>
          <w:sz w:val="28"/>
          <w:szCs w:val="28"/>
        </w:rPr>
        <w:t>7</w:t>
      </w:r>
      <w:r w:rsidR="0027076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E7513">
        <w:rPr>
          <w:rFonts w:ascii="Times New Roman" w:hAnsi="Times New Roman" w:cs="Times New Roman"/>
          <w:sz w:val="28"/>
          <w:szCs w:val="28"/>
        </w:rPr>
        <w:t xml:space="preserve">85 и </w:t>
      </w:r>
      <w:r w:rsidR="00AE7513" w:rsidRPr="00381B2B">
        <w:rPr>
          <w:rFonts w:ascii="Times New Roman" w:hAnsi="Times New Roman" w:cs="Times New Roman"/>
          <w:sz w:val="28"/>
          <w:szCs w:val="28"/>
        </w:rPr>
        <w:t xml:space="preserve">от </w:t>
      </w:r>
      <w:r w:rsidR="00381B2B" w:rsidRPr="00381B2B">
        <w:rPr>
          <w:rFonts w:ascii="Times New Roman" w:hAnsi="Times New Roman" w:cs="Times New Roman"/>
          <w:sz w:val="28"/>
          <w:szCs w:val="28"/>
        </w:rPr>
        <w:t>16</w:t>
      </w:r>
      <w:r w:rsidR="00AE7513" w:rsidRPr="00381B2B">
        <w:rPr>
          <w:rFonts w:ascii="Times New Roman" w:hAnsi="Times New Roman" w:cs="Times New Roman"/>
          <w:sz w:val="28"/>
          <w:szCs w:val="28"/>
        </w:rPr>
        <w:t>.06.2017 года №</w:t>
      </w:r>
      <w:r w:rsidR="00381B2B" w:rsidRPr="00381B2B">
        <w:rPr>
          <w:rFonts w:ascii="Times New Roman" w:hAnsi="Times New Roman" w:cs="Times New Roman"/>
          <w:sz w:val="28"/>
          <w:szCs w:val="28"/>
        </w:rPr>
        <w:t>93</w:t>
      </w:r>
      <w:r w:rsidRPr="00381B2B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Первоначальный бюджет поселения на 201</w:t>
      </w:r>
      <w:r w:rsidR="000645E9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 утвержден  решением Совета поселения </w:t>
      </w:r>
      <w:r w:rsidR="002B2016">
        <w:rPr>
          <w:rFonts w:ascii="Times New Roman" w:hAnsi="Times New Roman" w:cs="Times New Roman"/>
          <w:sz w:val="28"/>
          <w:szCs w:val="28"/>
        </w:rPr>
        <w:t xml:space="preserve">Туровецкое </w:t>
      </w:r>
      <w:r w:rsidR="0000137F">
        <w:rPr>
          <w:rFonts w:ascii="Times New Roman" w:hAnsi="Times New Roman" w:cs="Times New Roman"/>
          <w:sz w:val="28"/>
          <w:szCs w:val="28"/>
        </w:rPr>
        <w:t>от 26 декабря 2016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0137F">
        <w:rPr>
          <w:rFonts w:ascii="Times New Roman" w:hAnsi="Times New Roman" w:cs="Times New Roman"/>
          <w:sz w:val="28"/>
          <w:szCs w:val="28"/>
        </w:rPr>
        <w:t>78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со  следующими параметрами: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объем доходов бюджета поселения –</w:t>
      </w:r>
      <w:r w:rsidR="00334F2D">
        <w:rPr>
          <w:rFonts w:ascii="Times New Roman" w:hAnsi="Times New Roman" w:cs="Times New Roman"/>
          <w:sz w:val="28"/>
          <w:szCs w:val="28"/>
        </w:rPr>
        <w:t xml:space="preserve"> 4025,7</w:t>
      </w:r>
      <w:r w:rsidR="002B201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>- расходы бюджета поселения</w:t>
      </w:r>
      <w:r w:rsidR="00334F2D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–</w:t>
      </w:r>
      <w:r w:rsidR="00334F2D">
        <w:rPr>
          <w:rFonts w:ascii="Times New Roman" w:hAnsi="Times New Roman" w:cs="Times New Roman"/>
          <w:sz w:val="28"/>
          <w:szCs w:val="28"/>
        </w:rPr>
        <w:t xml:space="preserve"> 4025,7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192E" w:rsidRDefault="006C192E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- дефицит бюджета поселения - принят без дефицита.</w:t>
      </w:r>
    </w:p>
    <w:p w:rsidR="009F42E1" w:rsidRPr="006C192E" w:rsidRDefault="009F42E1" w:rsidP="006C192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F42E1">
        <w:rPr>
          <w:rFonts w:ascii="Times New Roman" w:eastAsia="Times New Roman" w:hAnsi="Times New Roman" w:cs="Times New Roman"/>
          <w:sz w:val="28"/>
          <w:szCs w:val="28"/>
        </w:rPr>
        <w:t xml:space="preserve">С учетом поправок предусмотрены доходы и расходы в сумме  </w:t>
      </w:r>
      <w:r w:rsidR="00334F2D">
        <w:rPr>
          <w:rFonts w:ascii="Times New Roman" w:eastAsia="Times New Roman" w:hAnsi="Times New Roman" w:cs="Times New Roman"/>
          <w:sz w:val="28"/>
          <w:szCs w:val="28"/>
        </w:rPr>
        <w:t>4446,8</w:t>
      </w:r>
      <w:r w:rsidRPr="009F42E1">
        <w:rPr>
          <w:rFonts w:ascii="Times New Roman" w:eastAsia="Times New Roman" w:hAnsi="Times New Roman" w:cs="Times New Roman"/>
          <w:sz w:val="28"/>
          <w:szCs w:val="28"/>
        </w:rPr>
        <w:t xml:space="preserve">  тыс. рублей, бюджет принят без дефицита.</w:t>
      </w:r>
    </w:p>
    <w:p w:rsidR="006C192E" w:rsidRPr="00F33ADA" w:rsidRDefault="002B201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По данным отчета об исполнении бюджета доходы составили</w:t>
      </w: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2084,0</w:t>
      </w:r>
      <w:r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тыс. рублей, или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46,9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утвержденным годовым назначениям в сумме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4446,8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расходы –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2022,3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45,5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к годовым назначениям в сумме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4446,8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="00F33ADA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>профицит составил 61,7</w:t>
      </w:r>
      <w:r w:rsidR="006C192E" w:rsidRPr="00F33A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44AB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44AB" w:rsidRPr="00334F2D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за 1 </w:t>
      </w:r>
      <w:r w:rsidR="009F42E1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334F2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аналогичным периодом 201</w:t>
      </w:r>
      <w:r w:rsidR="00334F2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характеризуется следующими данными.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  <w:sz w:val="20"/>
          <w:szCs w:val="20"/>
        </w:rPr>
        <w:t>Таблица № 1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B3649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C192E">
        <w:rPr>
          <w:rFonts w:ascii="Times New Roman" w:hAnsi="Times New Roman" w:cs="Times New Roman"/>
        </w:rPr>
        <w:t>тыс. руб.</w:t>
      </w:r>
    </w:p>
    <w:p w:rsidR="002C44AB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C44AB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C44AB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2C44AB" w:rsidRPr="006C192E" w:rsidRDefault="002C44A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417"/>
        <w:gridCol w:w="1417"/>
      </w:tblGrid>
      <w:tr w:rsidR="002C44AB" w:rsidRPr="006C192E" w:rsidTr="00B36491">
        <w:trPr>
          <w:trHeight w:val="2158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334F2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за 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полугодие</w:t>
            </w:r>
          </w:p>
          <w:p w:rsidR="006C192E" w:rsidRPr="006C192E" w:rsidRDefault="00334F2D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  <w:r w:rsidR="006C192E"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полнее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гр.4/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гр.3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Абсолютное </w:t>
            </w: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  <w:proofErr w:type="spellEnd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6C192E" w:rsidRPr="006C192E" w:rsidRDefault="009F42E1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года 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F42E1"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Исполнение к уровню   1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полугодия 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 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(%)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4AB" w:rsidRPr="006C192E" w:rsidTr="00E54274">
        <w:trPr>
          <w:trHeight w:val="261"/>
        </w:trPr>
        <w:tc>
          <w:tcPr>
            <w:tcW w:w="18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C44AB" w:rsidRPr="006C192E" w:rsidTr="00B36491">
        <w:tc>
          <w:tcPr>
            <w:tcW w:w="1809" w:type="dxa"/>
          </w:tcPr>
          <w:p w:rsidR="00334F2D" w:rsidRPr="006C192E" w:rsidRDefault="00334F2D" w:rsidP="006C192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334F2D" w:rsidRPr="006C192E" w:rsidRDefault="00334F2D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2016,6</w:t>
            </w:r>
          </w:p>
        </w:tc>
        <w:tc>
          <w:tcPr>
            <w:tcW w:w="1276" w:type="dxa"/>
          </w:tcPr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4446,8</w:t>
            </w:r>
          </w:p>
        </w:tc>
        <w:tc>
          <w:tcPr>
            <w:tcW w:w="1276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2084,0</w:t>
            </w:r>
          </w:p>
        </w:tc>
        <w:tc>
          <w:tcPr>
            <w:tcW w:w="1276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67,4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103,3</w:t>
            </w:r>
          </w:p>
        </w:tc>
      </w:tr>
      <w:tr w:rsidR="002C44AB" w:rsidRPr="006C192E" w:rsidTr="00B36491">
        <w:tc>
          <w:tcPr>
            <w:tcW w:w="1809" w:type="dxa"/>
          </w:tcPr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334F2D" w:rsidRPr="006C192E" w:rsidRDefault="00334F2D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2047,1</w:t>
            </w:r>
          </w:p>
        </w:tc>
        <w:tc>
          <w:tcPr>
            <w:tcW w:w="1276" w:type="dxa"/>
          </w:tcPr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4446,8</w:t>
            </w:r>
          </w:p>
        </w:tc>
        <w:tc>
          <w:tcPr>
            <w:tcW w:w="1276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2022,3</w:t>
            </w:r>
          </w:p>
        </w:tc>
        <w:tc>
          <w:tcPr>
            <w:tcW w:w="1276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45,5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-24,8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98,8</w:t>
            </w:r>
          </w:p>
        </w:tc>
      </w:tr>
      <w:tr w:rsidR="002C44AB" w:rsidRPr="006C192E" w:rsidTr="00B36491">
        <w:tc>
          <w:tcPr>
            <w:tcW w:w="1809" w:type="dxa"/>
          </w:tcPr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Дефицит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(-),</w:t>
            </w:r>
            <w:proofErr w:type="gramEnd"/>
          </w:p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профицит</w:t>
            </w:r>
            <w:proofErr w:type="gramStart"/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334F2D" w:rsidRPr="006C192E" w:rsidRDefault="00334F2D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-30,5</w:t>
            </w:r>
          </w:p>
        </w:tc>
        <w:tc>
          <w:tcPr>
            <w:tcW w:w="1276" w:type="dxa"/>
          </w:tcPr>
          <w:p w:rsidR="00334F2D" w:rsidRPr="006C192E" w:rsidRDefault="00334F2D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34F2D" w:rsidRPr="006C192E" w:rsidRDefault="002C44AB" w:rsidP="00EA53D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1276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92,2</w:t>
            </w:r>
          </w:p>
        </w:tc>
        <w:tc>
          <w:tcPr>
            <w:tcW w:w="1417" w:type="dxa"/>
          </w:tcPr>
          <w:p w:rsidR="00334F2D" w:rsidRPr="006C192E" w:rsidRDefault="002C44AB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7670E2" w:rsidRDefault="006C192E" w:rsidP="006D581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сравнению с 1 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полугодием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C44A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доходы бюджета поселения увеличились </w:t>
      </w:r>
      <w:r w:rsidR="002C44A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67,4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</w:t>
      </w:r>
      <w:r w:rsidR="002C44A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3,3</w:t>
      </w:r>
      <w:r w:rsidR="00EA53D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%, расходы </w:t>
      </w:r>
      <w:r w:rsidR="00EA53DB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уменьшились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24,8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или на 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1,2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Бюджет поселения за 1 </w:t>
      </w:r>
      <w:r w:rsidR="00E54274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полугодие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исполнен с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профицитом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61,7 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за аналогичный период 201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бюджет исполнен также с дефицитом в сумме </w:t>
      </w:r>
      <w:r w:rsidR="007670E2"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>30,5</w:t>
      </w:r>
      <w:r w:rsidRPr="007670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  <w:proofErr w:type="gramEnd"/>
    </w:p>
    <w:p w:rsidR="00EA53DB" w:rsidRPr="007670E2" w:rsidRDefault="00EA53D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192E" w:rsidRPr="006C192E" w:rsidRDefault="006C192E" w:rsidP="00EA53D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b/>
          <w:i/>
          <w:sz w:val="28"/>
          <w:szCs w:val="28"/>
        </w:rPr>
        <w:t>Доходы бюджета поселения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  <w:t xml:space="preserve">Исполнение бюджета поселения по доходам за 1 </w:t>
      </w:r>
      <w:r w:rsidR="00E54274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8662FC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представлено в следующей таблице.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</w:rPr>
        <w:t>Таблица № 2</w:t>
      </w:r>
      <w:r w:rsidRPr="006C192E">
        <w:rPr>
          <w:rFonts w:ascii="Times New Roman" w:hAnsi="Times New Roman" w:cs="Times New Roman"/>
        </w:rPr>
        <w:tab/>
      </w:r>
      <w:r w:rsidR="00EA53D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6C192E" w:rsidRPr="006C192E" w:rsidTr="006D5813">
        <w:trPr>
          <w:gridAfter w:val="1"/>
          <w:wAfter w:w="236" w:type="dxa"/>
          <w:trHeight w:val="3152"/>
        </w:trPr>
        <w:tc>
          <w:tcPr>
            <w:tcW w:w="280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6C192E" w:rsidRPr="006C192E" w:rsidRDefault="006C192E" w:rsidP="00334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C192E" w:rsidRPr="006C192E" w:rsidRDefault="006C192E" w:rsidP="00334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C192E" w:rsidRPr="006C192E" w:rsidRDefault="006C192E" w:rsidP="00334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Утверждено в бюджете на 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исполнение </w:t>
            </w:r>
          </w:p>
          <w:p w:rsidR="006C192E" w:rsidRPr="006C192E" w:rsidRDefault="006C192E" w:rsidP="00334F2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за 1 </w:t>
            </w:r>
            <w:r w:rsidR="00E54274">
              <w:rPr>
                <w:rFonts w:ascii="Times New Roman" w:hAnsi="Times New Roman" w:cs="Times New Roman"/>
                <w:sz w:val="20"/>
                <w:szCs w:val="20"/>
              </w:rPr>
              <w:t xml:space="preserve">полугодие 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Абсолютное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отклонение 1</w:t>
            </w:r>
          </w:p>
          <w:p w:rsidR="006C192E" w:rsidRPr="006C192E" w:rsidRDefault="00E54274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полугодие 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 </w:t>
            </w:r>
            <w:proofErr w:type="gramStart"/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от</w:t>
            </w:r>
            <w:proofErr w:type="gramEnd"/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334F2D">
            <w:pPr>
              <w:spacing w:after="0" w:line="240" w:lineRule="auto"/>
              <w:ind w:left="-108" w:right="3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Исполнено</w:t>
            </w:r>
          </w:p>
          <w:p w:rsidR="006C192E" w:rsidRPr="006C192E" w:rsidRDefault="006C192E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уровню 1 </w:t>
            </w:r>
            <w:r w:rsidR="00E542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полугодия 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334F2D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6C192E"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192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248,0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34,0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</w:t>
            </w:r>
          </w:p>
        </w:tc>
        <w:tc>
          <w:tcPr>
            <w:tcW w:w="850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51" w:type="dxa"/>
          </w:tcPr>
          <w:p w:rsidR="008D1602" w:rsidRPr="006C192E" w:rsidRDefault="00BE05F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8D1602" w:rsidRPr="006C192E" w:rsidRDefault="00BE05F5" w:rsidP="006D5813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106,5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НДФЛ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55,2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58,4</w:t>
            </w:r>
          </w:p>
        </w:tc>
        <w:tc>
          <w:tcPr>
            <w:tcW w:w="850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74,9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ind w:left="-108" w:hanging="142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105,8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налог на имущество физ</w:t>
            </w:r>
            <w:r>
              <w:rPr>
                <w:rFonts w:ascii="Times New Roman" w:hAnsi="Times New Roman" w:cs="Times New Roman"/>
              </w:rPr>
              <w:t xml:space="preserve">ических </w:t>
            </w:r>
            <w:r w:rsidRPr="006C192E">
              <w:rPr>
                <w:rFonts w:ascii="Times New Roman" w:hAnsi="Times New Roman" w:cs="Times New Roman"/>
              </w:rPr>
              <w:t>лиц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 раза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земельный налог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tabs>
                <w:tab w:val="left" w:pos="55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102,4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государственная пошлина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28,2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tabs>
                <w:tab w:val="left" w:pos="58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51,7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992" w:type="dxa"/>
          </w:tcPr>
          <w:p w:rsidR="008D1602" w:rsidRPr="00D82570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992" w:type="dxa"/>
          </w:tcPr>
          <w:p w:rsidR="008D1602" w:rsidRPr="00D82570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709" w:type="dxa"/>
          </w:tcPr>
          <w:p w:rsidR="008D1602" w:rsidRPr="00D82570" w:rsidRDefault="008D1602" w:rsidP="0081280C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8D1602" w:rsidRPr="00D82570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8D1602" w:rsidRPr="00D82570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8D1602" w:rsidRPr="00D82570" w:rsidRDefault="008D1602" w:rsidP="00F33562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1" w:type="dxa"/>
          </w:tcPr>
          <w:p w:rsidR="008D1602" w:rsidRPr="00D82570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50" w:type="dxa"/>
          </w:tcPr>
          <w:p w:rsidR="008D1602" w:rsidRPr="00D82570" w:rsidRDefault="00BD34A5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3675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8D1602" w:rsidRPr="002B05D3" w:rsidRDefault="008D1602" w:rsidP="0081280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992" w:type="dxa"/>
          </w:tcPr>
          <w:p w:rsidR="008D1602" w:rsidRPr="00D82570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D1602" w:rsidRPr="00D82570" w:rsidRDefault="008D1602" w:rsidP="0081280C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0,0</w:t>
            </w:r>
          </w:p>
        </w:tc>
        <w:tc>
          <w:tcPr>
            <w:tcW w:w="850" w:type="dxa"/>
          </w:tcPr>
          <w:p w:rsidR="008D1602" w:rsidRPr="002B05D3" w:rsidRDefault="008D1602" w:rsidP="002B05D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D1602" w:rsidRPr="002B05D3" w:rsidRDefault="008D1602" w:rsidP="005D451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Pr="00D82570" w:rsidRDefault="008D1602" w:rsidP="00F3356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0,0</w:t>
            </w:r>
          </w:p>
        </w:tc>
        <w:tc>
          <w:tcPr>
            <w:tcW w:w="851" w:type="dxa"/>
          </w:tcPr>
          <w:p w:rsidR="008D1602" w:rsidRPr="00D82570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Pr="00D82570" w:rsidRDefault="00BD34A5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lastRenderedPageBreak/>
              <w:t>НАЛОГОВЫЕ И НЕНАЛОГОВЫЕ ДОХОДЫ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273,0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84,2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30,8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89,7</w:t>
            </w:r>
          </w:p>
        </w:tc>
        <w:tc>
          <w:tcPr>
            <w:tcW w:w="850" w:type="dxa"/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38,8</w:t>
            </w:r>
          </w:p>
        </w:tc>
        <w:tc>
          <w:tcPr>
            <w:tcW w:w="851" w:type="dxa"/>
          </w:tcPr>
          <w:p w:rsidR="008D1602" w:rsidRPr="006C192E" w:rsidRDefault="00BE05F5" w:rsidP="00BE05F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5,5</w:t>
            </w:r>
          </w:p>
        </w:tc>
        <w:tc>
          <w:tcPr>
            <w:tcW w:w="850" w:type="dxa"/>
          </w:tcPr>
          <w:p w:rsidR="008D1602" w:rsidRPr="006C192E" w:rsidRDefault="00BE05F5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106,5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3795,2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1932,4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50,9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4215,8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1994,3</w:t>
            </w:r>
          </w:p>
        </w:tc>
        <w:tc>
          <w:tcPr>
            <w:tcW w:w="850" w:type="dxa"/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61,9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103,2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дотации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3458,4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1863,6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53,9</w:t>
            </w:r>
          </w:p>
        </w:tc>
        <w:tc>
          <w:tcPr>
            <w:tcW w:w="850" w:type="dxa"/>
          </w:tcPr>
          <w:p w:rsidR="008D1602" w:rsidRPr="006C192E" w:rsidRDefault="008D1602" w:rsidP="002B05D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3470,0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1912,3</w:t>
            </w:r>
          </w:p>
        </w:tc>
        <w:tc>
          <w:tcPr>
            <w:tcW w:w="850" w:type="dxa"/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55,1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субвенции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80,3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50" w:type="dxa"/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-5,8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tabs>
                <w:tab w:val="left" w:pos="196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87,3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235,4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631,4</w:t>
            </w:r>
          </w:p>
        </w:tc>
        <w:tc>
          <w:tcPr>
            <w:tcW w:w="851" w:type="dxa"/>
          </w:tcPr>
          <w:p w:rsidR="008D1602" w:rsidRPr="006C192E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850" w:type="dxa"/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182,6</w:t>
            </w:r>
          </w:p>
        </w:tc>
      </w:tr>
      <w:tr w:rsidR="008D1602" w:rsidRPr="006C192E" w:rsidTr="00D82570">
        <w:trPr>
          <w:gridAfter w:val="1"/>
          <w:wAfter w:w="236" w:type="dxa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прочие субсидии бюджетам сельских поселений</w:t>
            </w:r>
          </w:p>
        </w:tc>
        <w:tc>
          <w:tcPr>
            <w:tcW w:w="992" w:type="dxa"/>
          </w:tcPr>
          <w:p w:rsidR="008D1602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</w:tcPr>
          <w:p w:rsidR="008D1602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</w:tcPr>
          <w:p w:rsidR="008D1602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34,1</w:t>
            </w:r>
          </w:p>
        </w:tc>
        <w:tc>
          <w:tcPr>
            <w:tcW w:w="851" w:type="dxa"/>
          </w:tcPr>
          <w:p w:rsidR="008D1602" w:rsidRDefault="008D1602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</w:tcPr>
          <w:p w:rsidR="008D1602" w:rsidRPr="006C192E" w:rsidRDefault="005D1FA2" w:rsidP="006D5813">
            <w:pPr>
              <w:tabs>
                <w:tab w:val="left" w:pos="480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D1602" w:rsidRPr="006C192E" w:rsidTr="00D82570">
        <w:trPr>
          <w:trHeight w:val="309"/>
        </w:trPr>
        <w:tc>
          <w:tcPr>
            <w:tcW w:w="2802" w:type="dxa"/>
          </w:tcPr>
          <w:p w:rsidR="008D1602" w:rsidRPr="006C192E" w:rsidRDefault="008D1602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4058,2</w:t>
            </w:r>
          </w:p>
        </w:tc>
        <w:tc>
          <w:tcPr>
            <w:tcW w:w="992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2016,6</w:t>
            </w:r>
          </w:p>
        </w:tc>
        <w:tc>
          <w:tcPr>
            <w:tcW w:w="709" w:type="dxa"/>
          </w:tcPr>
          <w:p w:rsidR="008D1602" w:rsidRPr="006C192E" w:rsidRDefault="008D1602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49,7</w:t>
            </w:r>
          </w:p>
        </w:tc>
        <w:tc>
          <w:tcPr>
            <w:tcW w:w="850" w:type="dxa"/>
          </w:tcPr>
          <w:p w:rsidR="008D1602" w:rsidRPr="006C192E" w:rsidRDefault="008D1602" w:rsidP="00D82570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D1602" w:rsidRPr="006C192E" w:rsidRDefault="008D1602" w:rsidP="005D451F">
            <w:pPr>
              <w:tabs>
                <w:tab w:val="left" w:pos="525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2084,0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D1602" w:rsidRPr="006C192E" w:rsidRDefault="00BD34A5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46,9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8D1602" w:rsidRPr="006C192E" w:rsidRDefault="005D1FA2" w:rsidP="00D8257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8D1602" w:rsidRPr="006C192E" w:rsidRDefault="005D1FA2" w:rsidP="006D581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8D1602" w:rsidRPr="006C192E" w:rsidRDefault="008D1602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D82570" w:rsidRPr="006C192E" w:rsidRDefault="00D82570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C192E" w:rsidRPr="00815D2F" w:rsidRDefault="006C192E" w:rsidP="00D8257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15D2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Налоговые и неналоговые доходы бюджета поселения</w:t>
      </w:r>
    </w:p>
    <w:p w:rsidR="006C192E" w:rsidRPr="00333D9A" w:rsidRDefault="006C192E" w:rsidP="006C192E">
      <w:pPr>
        <w:spacing w:after="0"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6C192E" w:rsidRPr="00333D9A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3D9A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сумме </w:t>
      </w:r>
      <w:r w:rsidR="00333D9A" w:rsidRPr="00333D9A">
        <w:rPr>
          <w:rFonts w:ascii="Times New Roman" w:hAnsi="Times New Roman" w:cs="Times New Roman"/>
          <w:sz w:val="28"/>
          <w:szCs w:val="28"/>
        </w:rPr>
        <w:t>89,7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01CEB" w:rsidRPr="00333D9A">
        <w:rPr>
          <w:rFonts w:ascii="Times New Roman" w:hAnsi="Times New Roman" w:cs="Times New Roman"/>
          <w:sz w:val="28"/>
          <w:szCs w:val="28"/>
        </w:rPr>
        <w:t>3</w:t>
      </w:r>
      <w:r w:rsidR="00333D9A" w:rsidRPr="00333D9A">
        <w:rPr>
          <w:rFonts w:ascii="Times New Roman" w:hAnsi="Times New Roman" w:cs="Times New Roman"/>
          <w:sz w:val="28"/>
          <w:szCs w:val="28"/>
        </w:rPr>
        <w:t>8</w:t>
      </w:r>
      <w:r w:rsidR="00B01CEB" w:rsidRPr="00333D9A">
        <w:rPr>
          <w:rFonts w:ascii="Times New Roman" w:hAnsi="Times New Roman" w:cs="Times New Roman"/>
          <w:sz w:val="28"/>
          <w:szCs w:val="28"/>
        </w:rPr>
        <w:t>,8</w:t>
      </w:r>
      <w:r w:rsidRPr="00333D9A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 w:rsidR="00333D9A" w:rsidRPr="00333D9A">
        <w:rPr>
          <w:rFonts w:ascii="Times New Roman" w:hAnsi="Times New Roman" w:cs="Times New Roman"/>
          <w:sz w:val="28"/>
          <w:szCs w:val="28"/>
        </w:rPr>
        <w:t>231,0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B01CEB" w:rsidRPr="00333D9A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333D9A">
        <w:rPr>
          <w:rFonts w:ascii="Times New Roman" w:hAnsi="Times New Roman" w:cs="Times New Roman"/>
          <w:sz w:val="28"/>
          <w:szCs w:val="28"/>
        </w:rPr>
        <w:t>201</w:t>
      </w:r>
      <w:r w:rsidR="00333D9A" w:rsidRPr="00333D9A">
        <w:rPr>
          <w:rFonts w:ascii="Times New Roman" w:hAnsi="Times New Roman" w:cs="Times New Roman"/>
          <w:sz w:val="28"/>
          <w:szCs w:val="28"/>
        </w:rPr>
        <w:t>6</w:t>
      </w:r>
      <w:r w:rsidRPr="00333D9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33D9A" w:rsidRPr="00333D9A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333D9A">
        <w:rPr>
          <w:rFonts w:ascii="Times New Roman" w:hAnsi="Times New Roman" w:cs="Times New Roman"/>
          <w:sz w:val="28"/>
          <w:szCs w:val="28"/>
        </w:rPr>
        <w:t xml:space="preserve"> </w:t>
      </w:r>
      <w:r w:rsidR="00333D9A" w:rsidRPr="00333D9A">
        <w:rPr>
          <w:rFonts w:ascii="Times New Roman" w:hAnsi="Times New Roman" w:cs="Times New Roman"/>
          <w:sz w:val="28"/>
          <w:szCs w:val="28"/>
        </w:rPr>
        <w:t xml:space="preserve">5,5 </w:t>
      </w:r>
      <w:r w:rsidRPr="00333D9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333D9A" w:rsidRPr="00333D9A">
        <w:rPr>
          <w:rFonts w:ascii="Times New Roman" w:hAnsi="Times New Roman" w:cs="Times New Roman"/>
          <w:sz w:val="28"/>
          <w:szCs w:val="28"/>
        </w:rPr>
        <w:t>6,5</w:t>
      </w:r>
      <w:r w:rsidRPr="00333D9A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333D9A" w:rsidRPr="00333D9A">
        <w:rPr>
          <w:rFonts w:ascii="Times New Roman" w:hAnsi="Times New Roman" w:cs="Times New Roman"/>
          <w:sz w:val="28"/>
          <w:szCs w:val="28"/>
        </w:rPr>
        <w:t>Увеличение по налогу на доходы физических лиц, налогу на имущество.</w:t>
      </w:r>
    </w:p>
    <w:p w:rsidR="006C192E" w:rsidRPr="00333D9A" w:rsidRDefault="005B73F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налоговых  и неналоговых доходов бюджета района в сравнении с 1</w:t>
      </w: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B01CEB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333D9A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6C192E" w:rsidRPr="00333D9A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333D9A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 </w:t>
      </w:r>
      <w:r w:rsidR="005B73FA"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</w:t>
      </w:r>
      <w:r w:rsidRPr="00333D9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тыс. руб.</w:t>
      </w:r>
    </w:p>
    <w:p w:rsidR="00B36491" w:rsidRPr="00334F2D" w:rsidRDefault="00333D9A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19025853" wp14:editId="708D83F2">
            <wp:extent cx="6118578" cy="3657600"/>
            <wp:effectExtent l="0" t="0" r="1587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36491" w:rsidRPr="00334F2D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6C192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C192E" w:rsidRPr="00380046" w:rsidRDefault="006C192E" w:rsidP="00B36491">
      <w:pPr>
        <w:spacing w:after="0" w:line="240" w:lineRule="auto"/>
        <w:ind w:firstLine="705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38004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Налоговые доходы.</w:t>
      </w:r>
    </w:p>
    <w:p w:rsidR="006C192E" w:rsidRPr="00380046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</w:p>
    <w:p w:rsidR="006C192E" w:rsidRPr="00380046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Налоговые доходы  исполнены в сумме </w:t>
      </w:r>
      <w:r w:rsidR="00380046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>89,7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</w:t>
      </w:r>
      <w:r w:rsidR="00B44020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380046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38,8 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показателям бюджета  в сумме </w:t>
      </w:r>
      <w:r w:rsidR="00380046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>231,0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</w:t>
      </w:r>
      <w:r w:rsidR="00B44020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Доля налоговых доходов в структуре доходов бюджета  поселения составила </w:t>
      </w:r>
      <w:r w:rsidR="00380046"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>4,3</w:t>
      </w:r>
      <w:r w:rsidRPr="003800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0046">
        <w:rPr>
          <w:rFonts w:ascii="Times New Roman" w:hAnsi="Times New Roman" w:cs="Times New Roman"/>
          <w:sz w:val="28"/>
          <w:szCs w:val="28"/>
        </w:rPr>
        <w:t xml:space="preserve">Анализ поступления налога на доходы  физических лиц в  1 </w:t>
      </w:r>
      <w:r w:rsidR="00B44020" w:rsidRPr="00380046">
        <w:rPr>
          <w:rFonts w:ascii="Times New Roman" w:hAnsi="Times New Roman" w:cs="Times New Roman"/>
          <w:sz w:val="28"/>
          <w:szCs w:val="28"/>
        </w:rPr>
        <w:t>полугодии</w:t>
      </w:r>
      <w:r w:rsidRPr="00380046">
        <w:rPr>
          <w:rFonts w:ascii="Times New Roman" w:hAnsi="Times New Roman" w:cs="Times New Roman"/>
          <w:sz w:val="28"/>
          <w:szCs w:val="28"/>
        </w:rPr>
        <w:t xml:space="preserve"> 201</w:t>
      </w:r>
      <w:r w:rsidR="00380046" w:rsidRPr="00380046">
        <w:rPr>
          <w:rFonts w:ascii="Times New Roman" w:hAnsi="Times New Roman" w:cs="Times New Roman"/>
          <w:sz w:val="28"/>
          <w:szCs w:val="28"/>
        </w:rPr>
        <w:t xml:space="preserve">7 </w:t>
      </w:r>
      <w:r w:rsidRPr="00380046">
        <w:rPr>
          <w:rFonts w:ascii="Times New Roman" w:hAnsi="Times New Roman" w:cs="Times New Roman"/>
          <w:sz w:val="28"/>
          <w:szCs w:val="28"/>
        </w:rPr>
        <w:t>года в сравнении с аналогичным периодом прошлого года представлен в следующей таблице.</w:t>
      </w:r>
    </w:p>
    <w:p w:rsidR="0087155E" w:rsidRPr="00380046" w:rsidRDefault="0087155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380046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80046">
        <w:rPr>
          <w:rFonts w:ascii="Times New Roman" w:hAnsi="Times New Roman" w:cs="Times New Roman"/>
        </w:rPr>
        <w:t>Таблица № 3</w:t>
      </w:r>
      <w:r w:rsidRPr="00380046">
        <w:rPr>
          <w:rFonts w:ascii="Times New Roman" w:hAnsi="Times New Roman" w:cs="Times New Roman"/>
        </w:rPr>
        <w:tab/>
        <w:t xml:space="preserve">                      </w:t>
      </w:r>
      <w:r w:rsidR="00B36491" w:rsidRPr="00380046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Pr="00380046">
        <w:rPr>
          <w:rFonts w:ascii="Times New Roman" w:hAnsi="Times New Roman" w:cs="Times New Roman"/>
        </w:rPr>
        <w:t xml:space="preserve">     тыс. руб.</w:t>
      </w:r>
    </w:p>
    <w:tbl>
      <w:tblPr>
        <w:tblStyle w:val="a3"/>
        <w:tblW w:w="9781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2126"/>
      </w:tblGrid>
      <w:tr w:rsidR="00977905" w:rsidRPr="00977905" w:rsidTr="00B36491">
        <w:tc>
          <w:tcPr>
            <w:tcW w:w="1862" w:type="dxa"/>
          </w:tcPr>
          <w:p w:rsidR="006C192E" w:rsidRPr="00977905" w:rsidRDefault="006C192E" w:rsidP="00977905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 xml:space="preserve">Фактическое исполнение за 1 </w:t>
            </w:r>
            <w:r w:rsidR="00B44020" w:rsidRPr="00977905">
              <w:rPr>
                <w:sz w:val="28"/>
                <w:szCs w:val="28"/>
              </w:rPr>
              <w:t>полугодие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977905" w:rsidRPr="00977905">
              <w:rPr>
                <w:sz w:val="28"/>
                <w:szCs w:val="28"/>
              </w:rPr>
              <w:t xml:space="preserve">6 </w:t>
            </w:r>
            <w:r w:rsidRPr="00977905">
              <w:rPr>
                <w:sz w:val="28"/>
                <w:szCs w:val="28"/>
              </w:rPr>
              <w:t>года</w:t>
            </w:r>
          </w:p>
        </w:tc>
        <w:tc>
          <w:tcPr>
            <w:tcW w:w="1970" w:type="dxa"/>
          </w:tcPr>
          <w:p w:rsidR="006C192E" w:rsidRPr="00977905" w:rsidRDefault="006C192E" w:rsidP="00977905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% исполнения от плановых назначений на 201</w:t>
            </w:r>
            <w:r w:rsidR="00977905" w:rsidRPr="00977905">
              <w:rPr>
                <w:sz w:val="28"/>
                <w:szCs w:val="28"/>
              </w:rPr>
              <w:t>6</w:t>
            </w:r>
            <w:r w:rsidRPr="0097790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971" w:type="dxa"/>
          </w:tcPr>
          <w:p w:rsidR="006C192E" w:rsidRPr="00977905" w:rsidRDefault="006C192E" w:rsidP="00977905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 xml:space="preserve">Фактическое исполнение за 1 </w:t>
            </w:r>
            <w:r w:rsidR="00B44020" w:rsidRPr="00977905">
              <w:rPr>
                <w:sz w:val="28"/>
                <w:szCs w:val="28"/>
              </w:rPr>
              <w:t>полугодие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977905" w:rsidRPr="00977905">
              <w:rPr>
                <w:sz w:val="28"/>
                <w:szCs w:val="28"/>
              </w:rPr>
              <w:t>7</w:t>
            </w:r>
            <w:r w:rsidRPr="0097790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52" w:type="dxa"/>
          </w:tcPr>
          <w:p w:rsidR="006C192E" w:rsidRPr="00977905" w:rsidRDefault="006C192E" w:rsidP="00977905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% исполнения от плановых назначений на 201</w:t>
            </w:r>
            <w:r w:rsidR="00977905" w:rsidRPr="00977905">
              <w:rPr>
                <w:sz w:val="28"/>
                <w:szCs w:val="28"/>
              </w:rPr>
              <w:t>7</w:t>
            </w:r>
            <w:r w:rsidRPr="00977905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</w:tcPr>
          <w:p w:rsidR="006C192E" w:rsidRPr="00977905" w:rsidRDefault="006C192E" w:rsidP="00977905">
            <w:pPr>
              <w:contextualSpacing/>
              <w:jc w:val="both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 xml:space="preserve">Отклонение 1 </w:t>
            </w:r>
            <w:r w:rsidR="00B44020" w:rsidRPr="00977905">
              <w:rPr>
                <w:sz w:val="28"/>
                <w:szCs w:val="28"/>
              </w:rPr>
              <w:t>полугодия</w:t>
            </w:r>
            <w:r w:rsidR="00977905" w:rsidRPr="00977905">
              <w:rPr>
                <w:sz w:val="28"/>
                <w:szCs w:val="28"/>
              </w:rPr>
              <w:t xml:space="preserve"> 2017 </w:t>
            </w:r>
            <w:r w:rsidRPr="00977905">
              <w:rPr>
                <w:sz w:val="28"/>
                <w:szCs w:val="28"/>
              </w:rPr>
              <w:t xml:space="preserve">года от 1 </w:t>
            </w:r>
            <w:r w:rsidR="00B44020" w:rsidRPr="00977905">
              <w:rPr>
                <w:sz w:val="28"/>
                <w:szCs w:val="28"/>
              </w:rPr>
              <w:t>полугодия</w:t>
            </w:r>
            <w:r w:rsidRPr="00977905">
              <w:rPr>
                <w:sz w:val="28"/>
                <w:szCs w:val="28"/>
              </w:rPr>
              <w:t xml:space="preserve"> 201</w:t>
            </w:r>
            <w:r w:rsidR="00977905" w:rsidRPr="00977905">
              <w:rPr>
                <w:sz w:val="28"/>
                <w:szCs w:val="28"/>
              </w:rPr>
              <w:t>6</w:t>
            </w:r>
            <w:r w:rsidRPr="00977905">
              <w:rPr>
                <w:sz w:val="28"/>
                <w:szCs w:val="28"/>
              </w:rPr>
              <w:t xml:space="preserve"> года</w:t>
            </w:r>
          </w:p>
        </w:tc>
      </w:tr>
      <w:tr w:rsidR="00977905" w:rsidRPr="00977905" w:rsidTr="00B36491">
        <w:tc>
          <w:tcPr>
            <w:tcW w:w="1862" w:type="dxa"/>
          </w:tcPr>
          <w:p w:rsidR="006C192E" w:rsidRPr="00977905" w:rsidRDefault="00977905" w:rsidP="006C192E">
            <w:pPr>
              <w:contextualSpacing/>
              <w:jc w:val="right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55,2</w:t>
            </w:r>
          </w:p>
        </w:tc>
        <w:tc>
          <w:tcPr>
            <w:tcW w:w="1970" w:type="dxa"/>
          </w:tcPr>
          <w:p w:rsidR="006C192E" w:rsidRPr="00977905" w:rsidRDefault="00977905" w:rsidP="006C192E">
            <w:pPr>
              <w:contextualSpacing/>
              <w:jc w:val="right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80,0</w:t>
            </w:r>
          </w:p>
        </w:tc>
        <w:tc>
          <w:tcPr>
            <w:tcW w:w="1971" w:type="dxa"/>
          </w:tcPr>
          <w:p w:rsidR="006C192E" w:rsidRPr="00977905" w:rsidRDefault="00977905" w:rsidP="006C192E">
            <w:pPr>
              <w:contextualSpacing/>
              <w:jc w:val="center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58,4</w:t>
            </w:r>
          </w:p>
        </w:tc>
        <w:tc>
          <w:tcPr>
            <w:tcW w:w="1852" w:type="dxa"/>
          </w:tcPr>
          <w:p w:rsidR="006C192E" w:rsidRPr="00977905" w:rsidRDefault="00977905" w:rsidP="006C192E">
            <w:pPr>
              <w:contextualSpacing/>
              <w:jc w:val="right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74,9</w:t>
            </w:r>
          </w:p>
        </w:tc>
        <w:tc>
          <w:tcPr>
            <w:tcW w:w="2126" w:type="dxa"/>
          </w:tcPr>
          <w:p w:rsidR="006C192E" w:rsidRPr="00977905" w:rsidRDefault="00977905" w:rsidP="006C192E">
            <w:pPr>
              <w:contextualSpacing/>
              <w:jc w:val="right"/>
              <w:rPr>
                <w:sz w:val="28"/>
                <w:szCs w:val="28"/>
              </w:rPr>
            </w:pPr>
            <w:r w:rsidRPr="00977905">
              <w:rPr>
                <w:sz w:val="28"/>
                <w:szCs w:val="28"/>
              </w:rPr>
              <w:t>3,2</w:t>
            </w:r>
          </w:p>
        </w:tc>
      </w:tr>
    </w:tbl>
    <w:p w:rsidR="006C192E" w:rsidRPr="00334F2D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6C192E" w:rsidRPr="00012520" w:rsidRDefault="00B36491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Т.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о.,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первое место по объему налоговых доходов занимает налог на доходы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58,4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74,9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% к плановым назначениям в размере</w:t>
      </w:r>
      <w:r w:rsidR="000A100F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78,0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что выше уровня 1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</w:t>
      </w:r>
      <w:r w:rsidR="008662F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я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на 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3,2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5,8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%. Доля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НДФЛ в налоговых доходах бюджета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на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0,5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и составила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65,1</w:t>
      </w:r>
      <w:r w:rsidR="000A100F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FE0009" w:rsidRPr="00012520" w:rsidRDefault="000A100F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Второе  место по величине поступлений в бюджет поселения</w:t>
      </w:r>
      <w:r w:rsidR="00B36491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занимает</w:t>
      </w:r>
      <w:r w:rsidR="00B36491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налоговый доходный источник – земельный налог. Поступление указанного налога составило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21,5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35,2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61,0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 По сравнению с 1 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земельного налога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практически осталось на прежнем уровне, рост составил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0,5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2,4</w:t>
      </w:r>
      <w:r w:rsidR="00B440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%. Доля земельного налога в налоговых доходах бюджета поселения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снизилась 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24,9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24,0</w:t>
      </w:r>
      <w:r w:rsidR="00FE0009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806A10" w:rsidRPr="00334F2D" w:rsidRDefault="00806A10" w:rsidP="00FE000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Третий  по  величине налоговый доходный источник – государственная пошлина</w:t>
      </w:r>
      <w:r w:rsidR="00E1207A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Поступление указанного налога составило 6,2 тыс. рублей, или </w:t>
      </w:r>
      <w:r w:rsidR="00FB1E34">
        <w:rPr>
          <w:rFonts w:ascii="Times New Roman" w:eastAsiaTheme="minorHAnsi" w:hAnsi="Times New Roman" w:cs="Times New Roman"/>
          <w:sz w:val="28"/>
          <w:szCs w:val="28"/>
          <w:lang w:eastAsia="en-US"/>
        </w:rPr>
        <w:t>51,7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плановым назначениям в размере 1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2,0 тыс. рублей. По сравнению с 1 полугодием 201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поступление данного налога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осталось без изменений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. Доля государственной пошлины в налоговых доходах</w:t>
      </w:r>
      <w:r w:rsidR="008662F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поселения снизился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7,4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012520"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>6,9</w:t>
      </w:r>
      <w:r w:rsidRPr="000125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Pr="00E01389" w:rsidRDefault="00806A10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Четвертый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последнее место 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 величине налоговый доходный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занимает 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налог на имущество физических лиц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Поступление указанного налога составило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3,6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или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4,5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плановым назначениям в размере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80,0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По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сравнению с 1 </w:t>
      </w:r>
      <w:r w:rsidR="00B44020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поступление 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данного налога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увеличилось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1,8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в 2,0 раза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Доля налога </w:t>
      </w:r>
      <w:r w:rsidR="00857C8B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имущество физических лиц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налоговых доходах бюджета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поселения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увеличилась</w:t>
      </w:r>
      <w:r w:rsidR="00FE000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2,1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 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4,0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процента.</w:t>
      </w:r>
    </w:p>
    <w:p w:rsidR="006C192E" w:rsidRPr="00E01389" w:rsidRDefault="00FE0009" w:rsidP="006C192E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proofErr w:type="gramStart"/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600788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E01389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года по налоговым доходам в основном обусловлен требованиями налогового законодательства в части сроков уплаты налоговых платежей, так как  сроки </w:t>
      </w:r>
      <w:r w:rsidR="006C192E" w:rsidRPr="00E0138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6C192E" w:rsidRPr="00334F2D" w:rsidRDefault="006C192E" w:rsidP="006C192E">
      <w:pPr>
        <w:pStyle w:val="ConsPlusNonformat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E01389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0138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Неналоговые доходы.</w:t>
      </w:r>
    </w:p>
    <w:p w:rsidR="006C192E" w:rsidRPr="00334F2D" w:rsidRDefault="006C192E" w:rsidP="00FE000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color w:val="FF0000"/>
          <w:sz w:val="28"/>
          <w:szCs w:val="28"/>
          <w:lang w:eastAsia="en-US"/>
        </w:rPr>
      </w:pPr>
    </w:p>
    <w:p w:rsidR="00E01389" w:rsidRDefault="00E01389" w:rsidP="00E013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C3462">
        <w:rPr>
          <w:rFonts w:ascii="Times New Roman" w:hAnsi="Times New Roman" w:cs="Times New Roman"/>
          <w:sz w:val="28"/>
          <w:szCs w:val="28"/>
        </w:rPr>
        <w:t xml:space="preserve">Неналоговые доходы бюджетом поселения </w:t>
      </w:r>
      <w:r>
        <w:rPr>
          <w:rFonts w:ascii="Times New Roman" w:hAnsi="Times New Roman" w:cs="Times New Roman"/>
          <w:sz w:val="28"/>
          <w:szCs w:val="28"/>
        </w:rPr>
        <w:t>Туровецкое</w:t>
      </w:r>
      <w:r w:rsidRPr="006C3462">
        <w:rPr>
          <w:rFonts w:ascii="Times New Roman" w:hAnsi="Times New Roman" w:cs="Times New Roman"/>
          <w:sz w:val="28"/>
          <w:szCs w:val="28"/>
        </w:rPr>
        <w:t xml:space="preserve"> не предусмотрены в связи с передачей муниципального имущества с уровня поселения на уровень района.</w:t>
      </w:r>
    </w:p>
    <w:p w:rsidR="00F01D1B" w:rsidRPr="00334F2D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F01D1B" w:rsidRPr="00334F2D" w:rsidRDefault="00F01D1B" w:rsidP="00163F2A">
      <w:pPr>
        <w:pStyle w:val="ConsPlusNonformat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C192E" w:rsidRPr="006975BC" w:rsidRDefault="006C192E" w:rsidP="00F01D1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Безвозмездные поступления.</w:t>
      </w:r>
    </w:p>
    <w:p w:rsidR="006C192E" w:rsidRPr="006975BC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</w:pPr>
    </w:p>
    <w:p w:rsidR="006C192E" w:rsidRPr="006975BC" w:rsidRDefault="00F01D1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Безвозмездные поступления в бюджет поселения</w:t>
      </w:r>
      <w:r w:rsidR="00583DDD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составили 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1994,3</w:t>
      </w:r>
      <w:r w:rsidR="00583DDD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тыс. рублей, или 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55,1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% к утвержденным назначениям в сумме 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4215,8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рублей. По сравнению с 1 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безвозмездные поступления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увеличились на 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61,9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их доля в общих доходах бюджета поселения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составила 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95,7</w:t>
      </w:r>
      <w:r w:rsidR="0036750B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процента.</w:t>
      </w:r>
    </w:p>
    <w:p w:rsidR="0036750B" w:rsidRPr="006975BC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Структура безвозмездных поступлений в сравнении с 1</w:t>
      </w:r>
      <w:r w:rsidR="00BD5D08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полугодием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6975BC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6975B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отражена на следующей диаграмме:</w:t>
      </w:r>
    </w:p>
    <w:p w:rsidR="0036750B" w:rsidRPr="006975BC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  <w:color w:val="C00000"/>
        </w:rPr>
        <w:t xml:space="preserve">                                                                                                                      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         </w:t>
      </w:r>
      <w:r>
        <w:rPr>
          <w:rFonts w:ascii="Times New Roman" w:hAnsi="Times New Roman" w:cs="Times New Roman"/>
          <w:noProof/>
          <w:color w:val="C00000"/>
        </w:rPr>
        <w:t xml:space="preserve">    </w:t>
      </w:r>
      <w:r w:rsidR="004D1A68">
        <w:rPr>
          <w:rFonts w:ascii="Times New Roman" w:hAnsi="Times New Roman" w:cs="Times New Roman"/>
          <w:noProof/>
          <w:color w:val="C00000"/>
        </w:rPr>
        <w:t xml:space="preserve">         </w:t>
      </w:r>
      <w:r>
        <w:rPr>
          <w:rFonts w:ascii="Times New Roman" w:hAnsi="Times New Roman" w:cs="Times New Roman"/>
          <w:noProof/>
          <w:color w:val="C00000"/>
        </w:rPr>
        <w:t xml:space="preserve"> </w:t>
      </w:r>
      <w:r w:rsidRPr="0036750B">
        <w:rPr>
          <w:rFonts w:ascii="Times New Roman" w:hAnsi="Times New Roman" w:cs="Times New Roman"/>
          <w:noProof/>
        </w:rPr>
        <w:t>тыс. руб.</w:t>
      </w:r>
    </w:p>
    <w:p w:rsidR="00262C69" w:rsidRDefault="00262C69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91DD7B0" wp14:editId="3ABCE341">
            <wp:extent cx="6118578" cy="4210756"/>
            <wp:effectExtent l="0" t="0" r="15875" b="184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2C69" w:rsidRDefault="00262C69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36750B" w:rsidRDefault="0036750B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4D1A68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</w:p>
    <w:p w:rsidR="006C192E" w:rsidRPr="006E2966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/>
        </w:rPr>
      </w:pPr>
    </w:p>
    <w:p w:rsidR="006C192E" w:rsidRPr="00FA4334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В отчетном периоде дотации из районного бюджета бюджетам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субъектов Российской Федерации 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муниципальным образованиям поступили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сумме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1912,3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55,1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 назначениям в сумме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3470,0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рублей.</w:t>
      </w:r>
    </w:p>
    <w:p w:rsidR="006C192E" w:rsidRPr="00FA4334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Доля дотаций в общем объеме безвозмездных поступлений составила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95,9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8809CE" w:rsidRPr="00FA4334" w:rsidRDefault="004D1A68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Субвенции бюджетам субъектов Российской Федерации и муниципальных образований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поступили в сумме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40,0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</w:t>
      </w:r>
      <w:r w:rsidR="00F31209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50,1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% к утвержденным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назначениям в сумме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80,3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рублей. Из 2 видов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субвенций в течение 1 </w:t>
      </w:r>
      <w:r w:rsidR="00CC349D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полугодия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текущего года поступила субвенция на осуществление первичного воинского учет</w:t>
      </w:r>
      <w:r w:rsidR="00CC349D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F31209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 на выполнение передаваемых полномочий субъектов РФ.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сравнению с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полугодием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субвенция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снизилась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5,8 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 на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12,7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2,0</w:t>
      </w:r>
      <w:r w:rsidR="006C192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FA4334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</w:t>
      </w:r>
      <w:r w:rsidR="004D1A68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Поступление иных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межбюджетные</w:t>
      </w:r>
      <w:proofErr w:type="gramEnd"/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трансферт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в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полугодии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составило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8809CE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42,0</w:t>
      </w:r>
      <w:r w:rsidR="00572AD0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45E77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845E77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сравнению с 1 </w:t>
      </w:r>
      <w:r w:rsidR="0023660A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иные межбюджетные трансферты </w:t>
      </w:r>
      <w:r w:rsidR="00FB1E34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увеличились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19,0</w:t>
      </w:r>
      <w:r w:rsidR="0097221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или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82,6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процентов. Доля иных межбюджетных трансфертов в общем объеме безвозмездных поступлений составила </w:t>
      </w:r>
      <w:r w:rsidR="00FA4334"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>2,1</w:t>
      </w:r>
      <w:r w:rsidRPr="00FA433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процента.</w:t>
      </w:r>
    </w:p>
    <w:p w:rsidR="006C192E" w:rsidRPr="006E2966" w:rsidRDefault="006C192E" w:rsidP="006C192E">
      <w:pPr>
        <w:spacing w:after="0" w:line="240" w:lineRule="auto"/>
        <w:ind w:firstLine="705"/>
        <w:contextualSpacing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6C192E" w:rsidRPr="006C192E" w:rsidRDefault="006C192E" w:rsidP="00AA4B3F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z w:val="28"/>
          <w:szCs w:val="28"/>
        </w:rPr>
        <w:t>В отношении налоговых доходов бюджета поселения проведен анализ объема задолженности плательщиков по налогам по состоянию на 01</w:t>
      </w:r>
      <w:r w:rsidR="00383A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января и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 xml:space="preserve">июля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4238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года, а также на   01 января и  01 </w:t>
      </w:r>
      <w:r w:rsidR="00972214">
        <w:rPr>
          <w:rFonts w:ascii="Times New Roman" w:hAnsi="Times New Roman" w:cs="Times New Roman"/>
          <w:color w:val="000000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64238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года. </w:t>
      </w:r>
    </w:p>
    <w:p w:rsidR="006C192E" w:rsidRDefault="006C192E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>Объем недоимки по налоговым доходам в разрезе источников  образования  представлен в следующей таблице.</w:t>
      </w:r>
    </w:p>
    <w:p w:rsidR="00FC7660" w:rsidRPr="006C192E" w:rsidRDefault="00FC7660" w:rsidP="00AA4B3F">
      <w:pPr>
        <w:pStyle w:val="a9"/>
        <w:spacing w:after="0"/>
        <w:ind w:firstLine="709"/>
        <w:contextualSpacing/>
        <w:jc w:val="both"/>
        <w:rPr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 xml:space="preserve">Таблица № 4               </w:t>
      </w:r>
      <w:r w:rsidR="00FC7660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C192E">
        <w:rPr>
          <w:rFonts w:ascii="Times New Roman" w:hAnsi="Times New Roman" w:cs="Times New Roman"/>
        </w:rPr>
        <w:t xml:space="preserve">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6C192E" w:rsidRPr="006C192E" w:rsidTr="00390C79">
        <w:trPr>
          <w:trHeight w:val="1985"/>
        </w:trPr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по состоянию на 01.01.201</w:t>
            </w:r>
            <w:r w:rsidR="00FC7660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6C192E" w:rsidRPr="006C192E" w:rsidRDefault="006C192E" w:rsidP="00FC7660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плательщиков по состоянию на 01.01.201</w:t>
            </w:r>
            <w:r w:rsidR="00FC7660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6C192E" w:rsidRPr="006C192E" w:rsidRDefault="006C192E" w:rsidP="00D11B39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D11B39">
              <w:rPr>
                <w:rFonts w:ascii="Times New Roman" w:hAnsi="Times New Roman" w:cs="Times New Roman"/>
                <w:color w:val="000000"/>
              </w:rPr>
              <w:t>6</w:t>
            </w:r>
            <w:r w:rsidR="00E5055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</w:t>
            </w:r>
          </w:p>
        </w:tc>
        <w:tc>
          <w:tcPr>
            <w:tcW w:w="1134" w:type="dxa"/>
          </w:tcPr>
          <w:p w:rsidR="006C192E" w:rsidRPr="006C192E" w:rsidRDefault="006C192E" w:rsidP="00FB1E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Объем задолженности пл</w:t>
            </w:r>
            <w:r w:rsidR="00972214">
              <w:rPr>
                <w:rFonts w:ascii="Times New Roman" w:hAnsi="Times New Roman" w:cs="Times New Roman"/>
                <w:color w:val="000000"/>
              </w:rPr>
              <w:t>ательщиков по состоянию на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FB1E34">
              <w:rPr>
                <w:rFonts w:ascii="Times New Roman" w:hAnsi="Times New Roman" w:cs="Times New Roman"/>
                <w:color w:val="000000"/>
              </w:rPr>
              <w:t>7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134" w:type="dxa"/>
          </w:tcPr>
          <w:p w:rsidR="006C192E" w:rsidRPr="006C192E" w:rsidRDefault="006C192E" w:rsidP="00FB1E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  на 01.01.201</w:t>
            </w:r>
            <w:r w:rsidR="00FB1E34">
              <w:rPr>
                <w:rFonts w:ascii="Times New Roman" w:hAnsi="Times New Roman" w:cs="Times New Roman"/>
                <w:color w:val="000000"/>
              </w:rPr>
              <w:t xml:space="preserve">7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от 01.01.201</w:t>
            </w:r>
            <w:r w:rsidR="00FB1E34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Pr="006C192E">
              <w:rPr>
                <w:rFonts w:ascii="Times New Roman" w:hAnsi="Times New Roman" w:cs="Times New Roman"/>
                <w:color w:val="000000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6C192E" w:rsidRPr="006C192E" w:rsidRDefault="006C192E" w:rsidP="00FB1E34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Отклонение недоимки на 01.0</w:t>
            </w:r>
            <w:r w:rsidR="00972214">
              <w:rPr>
                <w:rFonts w:ascii="Times New Roman" w:hAnsi="Times New Roman" w:cs="Times New Roman"/>
                <w:color w:val="000000"/>
              </w:rPr>
              <w:t>7.201</w:t>
            </w:r>
            <w:r w:rsidR="00FB1E34">
              <w:rPr>
                <w:rFonts w:ascii="Times New Roman" w:hAnsi="Times New Roman" w:cs="Times New Roman"/>
                <w:color w:val="000000"/>
              </w:rPr>
              <w:t>7</w:t>
            </w:r>
            <w:r w:rsidR="00972214">
              <w:rPr>
                <w:rFonts w:ascii="Times New Roman" w:hAnsi="Times New Roman" w:cs="Times New Roman"/>
                <w:color w:val="000000"/>
              </w:rPr>
              <w:t xml:space="preserve"> года от 01.07</w:t>
            </w:r>
            <w:r w:rsidRPr="006C192E">
              <w:rPr>
                <w:rFonts w:ascii="Times New Roman" w:hAnsi="Times New Roman" w:cs="Times New Roman"/>
                <w:color w:val="000000"/>
              </w:rPr>
              <w:t>.201</w:t>
            </w:r>
            <w:r w:rsidR="00FB1E34">
              <w:rPr>
                <w:rFonts w:ascii="Times New Roman" w:hAnsi="Times New Roman" w:cs="Times New Roman"/>
                <w:color w:val="000000"/>
              </w:rPr>
              <w:t>6</w:t>
            </w:r>
            <w:r w:rsidRPr="006C192E">
              <w:rPr>
                <w:rFonts w:ascii="Times New Roman" w:hAnsi="Times New Roman" w:cs="Times New Roman"/>
                <w:color w:val="000000"/>
              </w:rPr>
              <w:t xml:space="preserve"> года (+-увеличение;- уменьшение)</w:t>
            </w:r>
          </w:p>
        </w:tc>
      </w:tr>
      <w:tr w:rsidR="006C192E" w:rsidRPr="006C192E" w:rsidTr="00390C79">
        <w:tc>
          <w:tcPr>
            <w:tcW w:w="3227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192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93" w:type="dxa"/>
          </w:tcPr>
          <w:p w:rsidR="006C192E" w:rsidRPr="006C192E" w:rsidRDefault="006C192E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D11B39" w:rsidRPr="006C192E" w:rsidTr="00390C79">
        <w:tc>
          <w:tcPr>
            <w:tcW w:w="3227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</w:t>
            </w:r>
          </w:p>
        </w:tc>
        <w:tc>
          <w:tcPr>
            <w:tcW w:w="1134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993" w:type="dxa"/>
          </w:tcPr>
          <w:p w:rsidR="00D11B39" w:rsidRPr="006C192E" w:rsidRDefault="00D11B39" w:rsidP="0019173A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-0,8</w:t>
            </w:r>
          </w:p>
        </w:tc>
      </w:tr>
      <w:tr w:rsidR="00D11B39" w:rsidRPr="006C192E" w:rsidTr="00390C79">
        <w:tc>
          <w:tcPr>
            <w:tcW w:w="3227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31,0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55,8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28,1</w:t>
            </w:r>
          </w:p>
        </w:tc>
        <w:tc>
          <w:tcPr>
            <w:tcW w:w="1134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52,4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  <w:tc>
          <w:tcPr>
            <w:tcW w:w="993" w:type="dxa"/>
          </w:tcPr>
          <w:p w:rsidR="00D11B39" w:rsidRPr="006C192E" w:rsidRDefault="00D11B39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24,3</w:t>
            </w:r>
          </w:p>
        </w:tc>
      </w:tr>
      <w:tr w:rsidR="00D11B39" w:rsidRPr="006C192E" w:rsidTr="00390C79">
        <w:tc>
          <w:tcPr>
            <w:tcW w:w="3227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8,2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8,9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6,2</w:t>
            </w:r>
          </w:p>
        </w:tc>
        <w:tc>
          <w:tcPr>
            <w:tcW w:w="1134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993" w:type="dxa"/>
          </w:tcPr>
          <w:p w:rsidR="00D11B39" w:rsidRPr="006C192E" w:rsidRDefault="00D11B39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1,3</w:t>
            </w:r>
          </w:p>
        </w:tc>
      </w:tr>
      <w:tr w:rsidR="00D11B39" w:rsidRPr="006C192E" w:rsidTr="00390C79">
        <w:tc>
          <w:tcPr>
            <w:tcW w:w="3227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1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39,2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65,1</w:t>
            </w:r>
          </w:p>
        </w:tc>
        <w:tc>
          <w:tcPr>
            <w:tcW w:w="992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35,5</w:t>
            </w:r>
          </w:p>
        </w:tc>
        <w:tc>
          <w:tcPr>
            <w:tcW w:w="1134" w:type="dxa"/>
          </w:tcPr>
          <w:p w:rsidR="00D11B39" w:rsidRPr="006C192E" w:rsidRDefault="00D11B39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60,3</w:t>
            </w:r>
          </w:p>
        </w:tc>
        <w:tc>
          <w:tcPr>
            <w:tcW w:w="1134" w:type="dxa"/>
          </w:tcPr>
          <w:p w:rsidR="00D11B39" w:rsidRPr="006C192E" w:rsidRDefault="00D11B39" w:rsidP="0081280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25,9</w:t>
            </w:r>
          </w:p>
        </w:tc>
        <w:tc>
          <w:tcPr>
            <w:tcW w:w="993" w:type="dxa"/>
          </w:tcPr>
          <w:p w:rsidR="00D11B39" w:rsidRPr="006C192E" w:rsidRDefault="00D11B39" w:rsidP="0019173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24,8</w:t>
            </w:r>
          </w:p>
        </w:tc>
      </w:tr>
    </w:tbl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41C0" w:rsidRPr="0046107B" w:rsidRDefault="0046107B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с аналогичным периодом прошлого года   на </w:t>
      </w:r>
      <w:r>
        <w:rPr>
          <w:rFonts w:ascii="Times New Roman" w:hAnsi="Times New Roman" w:cs="Times New Roman"/>
          <w:color w:val="000000"/>
          <w:sz w:val="28"/>
          <w:szCs w:val="28"/>
        </w:rPr>
        <w:t>25,9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в </w:t>
      </w:r>
      <w:r>
        <w:rPr>
          <w:rFonts w:ascii="Times New Roman" w:hAnsi="Times New Roman" w:cs="Times New Roman"/>
          <w:color w:val="000000"/>
          <w:sz w:val="28"/>
          <w:szCs w:val="28"/>
        </w:rPr>
        <w:t>1,7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раза, на 01.0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>
        <w:rPr>
          <w:rFonts w:ascii="Times New Roman" w:hAnsi="Times New Roman" w:cs="Times New Roman"/>
          <w:color w:val="000000"/>
          <w:sz w:val="28"/>
          <w:szCs w:val="28"/>
        </w:rPr>
        <w:t>24,8</w:t>
      </w:r>
      <w:r w:rsidR="00E211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70,0%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6C192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том числе в разрезе налоговых источников:</w:t>
      </w:r>
    </w:p>
    <w:p w:rsidR="006C192E" w:rsidRPr="006C192E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>24,3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 w:rsidR="0046107B">
        <w:rPr>
          <w:rFonts w:ascii="Times New Roman" w:hAnsi="Times New Roman" w:cs="Times New Roman"/>
          <w:color w:val="000000"/>
          <w:sz w:val="28"/>
          <w:szCs w:val="28"/>
        </w:rPr>
        <w:t>на 86,5 процента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C192E" w:rsidRPr="0046107B" w:rsidRDefault="006C192E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hAnsi="Times New Roman" w:cs="Times New Roman"/>
          <w:sz w:val="28"/>
          <w:szCs w:val="28"/>
        </w:rPr>
        <w:t xml:space="preserve">- по земельному налогу </w:t>
      </w:r>
      <w:r w:rsidR="00AA4B3F" w:rsidRPr="0046107B">
        <w:rPr>
          <w:rFonts w:ascii="Times New Roman" w:hAnsi="Times New Roman" w:cs="Times New Roman"/>
          <w:sz w:val="28"/>
          <w:szCs w:val="28"/>
        </w:rPr>
        <w:t>на</w:t>
      </w:r>
      <w:r w:rsidR="003D1EF9" w:rsidRPr="0046107B">
        <w:rPr>
          <w:rFonts w:ascii="Times New Roman" w:hAnsi="Times New Roman" w:cs="Times New Roman"/>
          <w:sz w:val="28"/>
          <w:szCs w:val="28"/>
        </w:rPr>
        <w:t xml:space="preserve"> </w:t>
      </w:r>
      <w:r w:rsidRPr="0046107B">
        <w:rPr>
          <w:rFonts w:ascii="Times New Roman" w:hAnsi="Times New Roman" w:cs="Times New Roman"/>
          <w:sz w:val="28"/>
          <w:szCs w:val="28"/>
        </w:rPr>
        <w:t xml:space="preserve"> </w:t>
      </w:r>
      <w:r w:rsidR="0046107B" w:rsidRPr="0046107B">
        <w:rPr>
          <w:rFonts w:ascii="Times New Roman" w:hAnsi="Times New Roman" w:cs="Times New Roman"/>
          <w:sz w:val="28"/>
          <w:szCs w:val="28"/>
        </w:rPr>
        <w:t>1,3</w:t>
      </w:r>
      <w:r w:rsidRPr="0046107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6107B" w:rsidRPr="0046107B">
        <w:rPr>
          <w:rFonts w:ascii="Times New Roman" w:hAnsi="Times New Roman" w:cs="Times New Roman"/>
          <w:sz w:val="28"/>
          <w:szCs w:val="28"/>
        </w:rPr>
        <w:t>21,0 процента;</w:t>
      </w:r>
    </w:p>
    <w:p w:rsidR="0046107B" w:rsidRPr="0046107B" w:rsidRDefault="007A2C0E" w:rsidP="004610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6107B" w:rsidRPr="0046107B">
        <w:rPr>
          <w:rFonts w:ascii="Times New Roman" w:hAnsi="Times New Roman" w:cs="Times New Roman"/>
          <w:sz w:val="28"/>
          <w:szCs w:val="28"/>
        </w:rPr>
        <w:t xml:space="preserve">   - по НДФЛ  снижение на 0,8 тыс. рублей, или на 67,0 процентов.</w:t>
      </w:r>
    </w:p>
    <w:p w:rsidR="007A2C0E" w:rsidRDefault="007A2C0E" w:rsidP="007A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116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>Из имеющихся данных на 01.07.201</w:t>
      </w:r>
      <w:r w:rsidR="0046107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года следует, что наибольший удельный вес в структуре недоимки по платежам  составляет налог на имущество  физических лиц – </w:t>
      </w:r>
      <w:r w:rsidR="0046107B">
        <w:rPr>
          <w:rFonts w:ascii="Times New Roman" w:eastAsia="Times New Roman" w:hAnsi="Times New Roman" w:cs="Times New Roman"/>
          <w:sz w:val="28"/>
          <w:szCs w:val="28"/>
        </w:rPr>
        <w:t>87,0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 % от общей суммы недоимки, на втором месте  задолженность</w:t>
      </w:r>
      <w:r w:rsidRPr="007A2C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земельному налогу –</w:t>
      </w:r>
      <w:r w:rsidRPr="007A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07B">
        <w:rPr>
          <w:rFonts w:ascii="Times New Roman" w:eastAsia="Times New Roman" w:hAnsi="Times New Roman" w:cs="Times New Roman"/>
          <w:sz w:val="28"/>
          <w:szCs w:val="28"/>
        </w:rPr>
        <w:t>12,4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процента, на третьем месте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адолженность по НДФЛ -</w:t>
      </w:r>
      <w:r w:rsidR="0046107B">
        <w:rPr>
          <w:rFonts w:ascii="Times New Roman" w:eastAsia="Times New Roman" w:hAnsi="Times New Roman" w:cs="Times New Roman"/>
          <w:sz w:val="28"/>
          <w:szCs w:val="28"/>
        </w:rPr>
        <w:t xml:space="preserve">0,6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процента.</w:t>
      </w:r>
    </w:p>
    <w:p w:rsidR="007A2C0E" w:rsidRPr="007A2C0E" w:rsidRDefault="007A2C0E" w:rsidP="007A2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192E" w:rsidRPr="008213EE" w:rsidRDefault="006C192E" w:rsidP="006C192E">
      <w:pPr>
        <w:pStyle w:val="a9"/>
        <w:spacing w:after="0"/>
        <w:ind w:firstLine="709"/>
        <w:contextualSpacing/>
        <w:jc w:val="both"/>
        <w:rPr>
          <w:color w:val="C00000"/>
          <w:sz w:val="28"/>
          <w:szCs w:val="28"/>
        </w:rPr>
      </w:pPr>
    </w:p>
    <w:p w:rsidR="006C192E" w:rsidRPr="000414CE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14CE">
        <w:rPr>
          <w:rFonts w:ascii="Times New Roman" w:hAnsi="Times New Roman" w:cs="Times New Roman"/>
          <w:b/>
          <w:i/>
          <w:sz w:val="28"/>
          <w:szCs w:val="28"/>
        </w:rPr>
        <w:t>Расходы бюджета поселения</w:t>
      </w:r>
    </w:p>
    <w:p w:rsidR="00E80CEA" w:rsidRPr="000414CE" w:rsidRDefault="00E80CEA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0414CE" w:rsidRDefault="006C192E" w:rsidP="006C192E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Pr="000414C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14CE">
        <w:rPr>
          <w:rFonts w:ascii="Times New Roman" w:hAnsi="Times New Roman" w:cs="Times New Roman"/>
          <w:sz w:val="28"/>
          <w:szCs w:val="28"/>
        </w:rPr>
        <w:tab/>
        <w:t xml:space="preserve"> Расходы бюджета поселения за 1 </w:t>
      </w:r>
      <w:r w:rsidR="007A2C0E" w:rsidRPr="000414CE">
        <w:rPr>
          <w:rFonts w:ascii="Times New Roman" w:hAnsi="Times New Roman" w:cs="Times New Roman"/>
          <w:sz w:val="28"/>
          <w:szCs w:val="28"/>
        </w:rPr>
        <w:t>полугодие</w:t>
      </w:r>
      <w:r w:rsidRPr="000414CE">
        <w:rPr>
          <w:rFonts w:ascii="Times New Roman" w:hAnsi="Times New Roman" w:cs="Times New Roman"/>
          <w:sz w:val="28"/>
          <w:szCs w:val="28"/>
        </w:rPr>
        <w:t xml:space="preserve"> 201</w:t>
      </w:r>
      <w:r w:rsidR="000414CE" w:rsidRPr="000414CE">
        <w:rPr>
          <w:rFonts w:ascii="Times New Roman" w:hAnsi="Times New Roman" w:cs="Times New Roman"/>
          <w:sz w:val="28"/>
          <w:szCs w:val="28"/>
        </w:rPr>
        <w:t>7</w:t>
      </w:r>
      <w:r w:rsidRPr="000414CE">
        <w:rPr>
          <w:rFonts w:ascii="Times New Roman" w:hAnsi="Times New Roman" w:cs="Times New Roman"/>
          <w:sz w:val="28"/>
          <w:szCs w:val="28"/>
        </w:rPr>
        <w:t xml:space="preserve"> года исполнены в сумме</w:t>
      </w:r>
      <w:r w:rsidR="00BF7F3C" w:rsidRPr="000414CE">
        <w:rPr>
          <w:rFonts w:ascii="Times New Roman" w:hAnsi="Times New Roman" w:cs="Times New Roman"/>
          <w:sz w:val="28"/>
          <w:szCs w:val="28"/>
        </w:rPr>
        <w:t xml:space="preserve"> </w:t>
      </w:r>
      <w:r w:rsidR="000414CE" w:rsidRPr="000414CE">
        <w:rPr>
          <w:rFonts w:ascii="Times New Roman" w:hAnsi="Times New Roman" w:cs="Times New Roman"/>
          <w:sz w:val="28"/>
          <w:szCs w:val="28"/>
        </w:rPr>
        <w:t>2022,3</w:t>
      </w:r>
      <w:r w:rsidR="007A2C0E" w:rsidRPr="000414CE">
        <w:rPr>
          <w:rFonts w:ascii="Times New Roman" w:hAnsi="Times New Roman" w:cs="Times New Roman"/>
          <w:sz w:val="28"/>
          <w:szCs w:val="28"/>
        </w:rPr>
        <w:t xml:space="preserve"> ты</w:t>
      </w:r>
      <w:r w:rsidRPr="000414CE">
        <w:rPr>
          <w:rFonts w:ascii="Times New Roman" w:hAnsi="Times New Roman" w:cs="Times New Roman"/>
          <w:sz w:val="28"/>
          <w:szCs w:val="28"/>
        </w:rPr>
        <w:t xml:space="preserve">с. рублей, или </w:t>
      </w:r>
      <w:r w:rsidR="000414CE" w:rsidRPr="000414CE">
        <w:rPr>
          <w:rFonts w:ascii="Times New Roman" w:hAnsi="Times New Roman" w:cs="Times New Roman"/>
          <w:sz w:val="28"/>
          <w:szCs w:val="28"/>
        </w:rPr>
        <w:t>45,5</w:t>
      </w:r>
      <w:r w:rsidRPr="000414C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</w:t>
      </w:r>
      <w:r w:rsidR="007A2C0E" w:rsidRPr="000414CE">
        <w:rPr>
          <w:rFonts w:ascii="Times New Roman" w:hAnsi="Times New Roman" w:cs="Times New Roman"/>
          <w:sz w:val="28"/>
          <w:szCs w:val="28"/>
        </w:rPr>
        <w:t xml:space="preserve"> </w:t>
      </w:r>
      <w:r w:rsidRPr="000414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414CE" w:rsidRPr="000414CE">
        <w:rPr>
          <w:rFonts w:ascii="Times New Roman" w:hAnsi="Times New Roman" w:cs="Times New Roman"/>
          <w:sz w:val="28"/>
          <w:szCs w:val="28"/>
        </w:rPr>
        <w:t>4446,8</w:t>
      </w:r>
      <w:r w:rsidRPr="000414CE">
        <w:rPr>
          <w:rFonts w:ascii="Times New Roman" w:hAnsi="Times New Roman" w:cs="Times New Roman"/>
          <w:sz w:val="28"/>
          <w:szCs w:val="28"/>
        </w:rPr>
        <w:t xml:space="preserve"> тыс. рублей. По сравнению с 1 </w:t>
      </w:r>
      <w:r w:rsidR="007A2C0E" w:rsidRPr="000414CE">
        <w:rPr>
          <w:rFonts w:ascii="Times New Roman" w:hAnsi="Times New Roman" w:cs="Times New Roman"/>
          <w:sz w:val="28"/>
          <w:szCs w:val="28"/>
        </w:rPr>
        <w:t>полугодием</w:t>
      </w:r>
      <w:r w:rsidRPr="000414CE">
        <w:rPr>
          <w:rFonts w:ascii="Times New Roman" w:hAnsi="Times New Roman" w:cs="Times New Roman"/>
          <w:sz w:val="28"/>
          <w:szCs w:val="28"/>
        </w:rPr>
        <w:t xml:space="preserve"> 201</w:t>
      </w:r>
      <w:r w:rsidR="000414CE" w:rsidRPr="000414CE">
        <w:rPr>
          <w:rFonts w:ascii="Times New Roman" w:hAnsi="Times New Roman" w:cs="Times New Roman"/>
          <w:sz w:val="28"/>
          <w:szCs w:val="28"/>
        </w:rPr>
        <w:t>6</w:t>
      </w:r>
      <w:r w:rsidRPr="000414CE">
        <w:rPr>
          <w:rFonts w:ascii="Times New Roman" w:hAnsi="Times New Roman" w:cs="Times New Roman"/>
          <w:sz w:val="28"/>
          <w:szCs w:val="28"/>
        </w:rPr>
        <w:t xml:space="preserve"> года  расходы у</w:t>
      </w:r>
      <w:r w:rsidR="00F37EB6" w:rsidRPr="000414CE">
        <w:rPr>
          <w:rFonts w:ascii="Times New Roman" w:hAnsi="Times New Roman" w:cs="Times New Roman"/>
          <w:sz w:val="28"/>
          <w:szCs w:val="28"/>
        </w:rPr>
        <w:t>меньшились</w:t>
      </w:r>
      <w:r w:rsidRPr="000414CE">
        <w:rPr>
          <w:rFonts w:ascii="Times New Roman" w:hAnsi="Times New Roman" w:cs="Times New Roman"/>
          <w:sz w:val="28"/>
          <w:szCs w:val="28"/>
        </w:rPr>
        <w:t xml:space="preserve"> на </w:t>
      </w:r>
      <w:r w:rsidR="000414CE" w:rsidRPr="000414CE">
        <w:rPr>
          <w:rFonts w:ascii="Times New Roman" w:hAnsi="Times New Roman" w:cs="Times New Roman"/>
          <w:sz w:val="28"/>
          <w:szCs w:val="28"/>
        </w:rPr>
        <w:t>24,8</w:t>
      </w:r>
      <w:r w:rsidRPr="000414CE">
        <w:rPr>
          <w:rFonts w:ascii="Times New Roman" w:hAnsi="Times New Roman" w:cs="Times New Roman"/>
          <w:sz w:val="28"/>
          <w:szCs w:val="28"/>
        </w:rPr>
        <w:t xml:space="preserve"> рублей (</w:t>
      </w:r>
      <w:r w:rsidR="000414CE" w:rsidRPr="000414CE">
        <w:rPr>
          <w:rFonts w:ascii="Times New Roman" w:hAnsi="Times New Roman" w:cs="Times New Roman"/>
          <w:sz w:val="28"/>
          <w:szCs w:val="28"/>
        </w:rPr>
        <w:t>1,2</w:t>
      </w:r>
      <w:r w:rsidRPr="000414CE">
        <w:rPr>
          <w:rFonts w:ascii="Times New Roman" w:hAnsi="Times New Roman" w:cs="Times New Roman"/>
          <w:sz w:val="28"/>
          <w:szCs w:val="28"/>
        </w:rPr>
        <w:t>%).</w:t>
      </w:r>
    </w:p>
    <w:p w:rsidR="00E80CEA" w:rsidRPr="00D90876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F37EB6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Структура  исполнения бюджета поселения по расходам в сравнении с 1 </w:t>
      </w:r>
      <w:r w:rsidR="00BF080F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полугодием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>201</w:t>
      </w:r>
      <w:r w:rsidR="000414CE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A2C0E"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414CE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отражена на следующей диаграмме:</w:t>
      </w:r>
    </w:p>
    <w:p w:rsidR="000414C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0414CE"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       </w:t>
      </w:r>
      <w:r w:rsidR="00F37EB6" w:rsidRPr="000414CE">
        <w:rPr>
          <w:rFonts w:ascii="Times New Roman" w:hAnsi="Times New Roman" w:cs="Times New Roman"/>
          <w:noProof/>
        </w:rPr>
        <w:t xml:space="preserve">                                </w:t>
      </w:r>
      <w:r w:rsidRPr="000414CE">
        <w:rPr>
          <w:rFonts w:ascii="Times New Roman" w:hAnsi="Times New Roman" w:cs="Times New Roman"/>
          <w:noProof/>
        </w:rPr>
        <w:t xml:space="preserve">     тыс. руб</w:t>
      </w:r>
    </w:p>
    <w:p w:rsidR="006C192E" w:rsidRPr="000414CE" w:rsidRDefault="006C192E" w:rsidP="006C192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</w:rPr>
      </w:pPr>
      <w:r w:rsidRPr="000414CE">
        <w:rPr>
          <w:rFonts w:ascii="Times New Roman" w:hAnsi="Times New Roman" w:cs="Times New Roman"/>
          <w:noProof/>
        </w:rPr>
        <w:t>.</w:t>
      </w:r>
    </w:p>
    <w:p w:rsidR="006C192E" w:rsidRPr="00D90876" w:rsidRDefault="000414CE" w:rsidP="00D9087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C00000"/>
        </w:rPr>
      </w:pPr>
      <w:r>
        <w:rPr>
          <w:noProof/>
        </w:rPr>
        <w:drawing>
          <wp:inline distT="0" distB="0" distL="0" distR="0" wp14:anchorId="2B8D22AA" wp14:editId="6077AAE6">
            <wp:extent cx="6118578" cy="4018845"/>
            <wp:effectExtent l="0" t="0" r="15875" b="2032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80CEA" w:rsidRPr="008213E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7C6236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116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 xml:space="preserve"> б</w:t>
      </w:r>
      <w:r w:rsidR="006C192E" w:rsidRPr="006C192E">
        <w:rPr>
          <w:rFonts w:ascii="Times New Roman" w:hAnsi="Times New Roman" w:cs="Times New Roman"/>
          <w:sz w:val="28"/>
          <w:szCs w:val="28"/>
        </w:rPr>
        <w:t>юджет</w:t>
      </w:r>
      <w:r w:rsidR="00E80CEA">
        <w:rPr>
          <w:rFonts w:ascii="Times New Roman" w:hAnsi="Times New Roman" w:cs="Times New Roman"/>
          <w:sz w:val="28"/>
          <w:szCs w:val="28"/>
        </w:rPr>
        <w:t>а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E80CEA">
        <w:rPr>
          <w:rFonts w:ascii="Times New Roman" w:hAnsi="Times New Roman" w:cs="Times New Roman"/>
          <w:sz w:val="28"/>
          <w:szCs w:val="28"/>
        </w:rPr>
        <w:t xml:space="preserve"> на социальную сферу за последн</w:t>
      </w:r>
      <w:r w:rsidR="00D90876">
        <w:rPr>
          <w:rFonts w:ascii="Times New Roman" w:hAnsi="Times New Roman" w:cs="Times New Roman"/>
          <w:sz w:val="28"/>
          <w:szCs w:val="28"/>
        </w:rPr>
        <w:t>ий год</w:t>
      </w:r>
      <w:r w:rsidR="00E80CEA">
        <w:rPr>
          <w:rFonts w:ascii="Times New Roman" w:hAnsi="Times New Roman" w:cs="Times New Roman"/>
          <w:sz w:val="28"/>
          <w:szCs w:val="28"/>
        </w:rPr>
        <w:t xml:space="preserve"> имеют тенденцию к </w:t>
      </w:r>
      <w:r w:rsidR="00D90876">
        <w:rPr>
          <w:rFonts w:ascii="Times New Roman" w:hAnsi="Times New Roman" w:cs="Times New Roman"/>
          <w:sz w:val="28"/>
          <w:szCs w:val="28"/>
        </w:rPr>
        <w:t>увеличению</w:t>
      </w:r>
      <w:r w:rsidR="00E80CEA">
        <w:rPr>
          <w:rFonts w:ascii="Times New Roman" w:hAnsi="Times New Roman" w:cs="Times New Roman"/>
          <w:sz w:val="28"/>
          <w:szCs w:val="28"/>
        </w:rPr>
        <w:t>.</w:t>
      </w:r>
      <w:r w:rsidR="00E2116C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>Н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 w:rsidR="00E80CEA">
        <w:rPr>
          <w:rFonts w:ascii="Times New Roman" w:hAnsi="Times New Roman" w:cs="Times New Roman"/>
          <w:sz w:val="28"/>
          <w:szCs w:val="28"/>
        </w:rPr>
        <w:t>направлено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D90876">
        <w:rPr>
          <w:rFonts w:ascii="Times New Roman" w:hAnsi="Times New Roman" w:cs="Times New Roman"/>
          <w:sz w:val="28"/>
          <w:szCs w:val="28"/>
        </w:rPr>
        <w:t>864,2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90876">
        <w:rPr>
          <w:rFonts w:ascii="Times New Roman" w:hAnsi="Times New Roman" w:cs="Times New Roman"/>
          <w:sz w:val="28"/>
          <w:szCs w:val="28"/>
        </w:rPr>
        <w:t>43,3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с 1 </w:t>
      </w:r>
      <w:r w:rsidR="00E80CEA">
        <w:rPr>
          <w:rFonts w:ascii="Times New Roman" w:hAnsi="Times New Roman" w:cs="Times New Roman"/>
          <w:sz w:val="28"/>
          <w:szCs w:val="28"/>
        </w:rPr>
        <w:t>полугодием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D90876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D90876">
        <w:rPr>
          <w:rFonts w:ascii="Times New Roman" w:hAnsi="Times New Roman" w:cs="Times New Roman"/>
          <w:sz w:val="28"/>
          <w:szCs w:val="28"/>
        </w:rPr>
        <w:t>увеличились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D90876">
        <w:rPr>
          <w:rFonts w:ascii="Times New Roman" w:hAnsi="Times New Roman" w:cs="Times New Roman"/>
          <w:sz w:val="28"/>
          <w:szCs w:val="28"/>
        </w:rPr>
        <w:t>85,8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90876">
        <w:rPr>
          <w:rFonts w:ascii="Times New Roman" w:hAnsi="Times New Roman" w:cs="Times New Roman"/>
          <w:sz w:val="28"/>
          <w:szCs w:val="28"/>
        </w:rPr>
        <w:t>11,0</w:t>
      </w:r>
      <w:r w:rsidR="006C192E" w:rsidRPr="006C192E">
        <w:rPr>
          <w:rFonts w:ascii="Times New Roman" w:hAnsi="Times New Roman" w:cs="Times New Roman"/>
          <w:sz w:val="28"/>
          <w:szCs w:val="28"/>
        </w:rPr>
        <w:t>%),   их доля  в расходах бюджета поселения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D90876">
        <w:rPr>
          <w:rFonts w:ascii="Times New Roman" w:hAnsi="Times New Roman" w:cs="Times New Roman"/>
          <w:sz w:val="28"/>
          <w:szCs w:val="28"/>
        </w:rPr>
        <w:t>увеличилас</w:t>
      </w:r>
      <w:r w:rsidR="006C192E" w:rsidRPr="006C192E">
        <w:rPr>
          <w:rFonts w:ascii="Times New Roman" w:hAnsi="Times New Roman" w:cs="Times New Roman"/>
          <w:sz w:val="28"/>
          <w:szCs w:val="28"/>
        </w:rPr>
        <w:t>ь с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D90876">
        <w:rPr>
          <w:rFonts w:ascii="Times New Roman" w:hAnsi="Times New Roman" w:cs="Times New Roman"/>
          <w:sz w:val="28"/>
          <w:szCs w:val="28"/>
        </w:rPr>
        <w:t>38,0</w:t>
      </w:r>
      <w:r w:rsidR="007A238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до </w:t>
      </w:r>
      <w:r w:rsidR="00D90876">
        <w:rPr>
          <w:rFonts w:ascii="Times New Roman" w:hAnsi="Times New Roman" w:cs="Times New Roman"/>
          <w:sz w:val="28"/>
          <w:szCs w:val="28"/>
        </w:rPr>
        <w:t>42,7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6C192E" w:rsidRDefault="007A238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991CB1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-</w:t>
      </w:r>
      <w:r w:rsidR="00D90876">
        <w:rPr>
          <w:rFonts w:ascii="Times New Roman" w:hAnsi="Times New Roman" w:cs="Times New Roman"/>
          <w:sz w:val="28"/>
          <w:szCs w:val="28"/>
        </w:rPr>
        <w:t>48,1</w:t>
      </w:r>
      <w:r w:rsidR="00991CB1">
        <w:rPr>
          <w:rFonts w:ascii="Times New Roman" w:hAnsi="Times New Roman" w:cs="Times New Roman"/>
          <w:sz w:val="28"/>
          <w:szCs w:val="28"/>
        </w:rPr>
        <w:t xml:space="preserve"> %,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по разделу «Физическая культура и спорт» -</w:t>
      </w:r>
      <w:r w:rsidR="00D90876">
        <w:rPr>
          <w:rFonts w:ascii="Times New Roman" w:hAnsi="Times New Roman" w:cs="Times New Roman"/>
          <w:sz w:val="28"/>
          <w:szCs w:val="28"/>
        </w:rPr>
        <w:t>21,6</w:t>
      </w:r>
      <w:r w:rsidR="00337168">
        <w:rPr>
          <w:rFonts w:ascii="Times New Roman" w:hAnsi="Times New Roman" w:cs="Times New Roman"/>
          <w:sz w:val="28"/>
          <w:szCs w:val="28"/>
        </w:rPr>
        <w:t>%</w:t>
      </w:r>
      <w:r w:rsidR="00991CB1">
        <w:rPr>
          <w:rFonts w:ascii="Times New Roman" w:hAnsi="Times New Roman" w:cs="Times New Roman"/>
          <w:sz w:val="28"/>
          <w:szCs w:val="28"/>
        </w:rPr>
        <w:t>,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по  разделу «Культура и кинематография» -</w:t>
      </w:r>
      <w:r w:rsidR="00D90876">
        <w:rPr>
          <w:rFonts w:ascii="Times New Roman" w:hAnsi="Times New Roman" w:cs="Times New Roman"/>
          <w:sz w:val="28"/>
          <w:szCs w:val="28"/>
        </w:rPr>
        <w:t>21,1</w:t>
      </w:r>
      <w:r w:rsidR="00991CB1">
        <w:rPr>
          <w:rFonts w:ascii="Times New Roman" w:hAnsi="Times New Roman" w:cs="Times New Roman"/>
          <w:sz w:val="28"/>
          <w:szCs w:val="28"/>
        </w:rPr>
        <w:t xml:space="preserve"> %,</w:t>
      </w:r>
      <w:r w:rsidR="00E80CEA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п</w:t>
      </w:r>
      <w:r w:rsidR="00E80CEA">
        <w:rPr>
          <w:rFonts w:ascii="Times New Roman" w:hAnsi="Times New Roman" w:cs="Times New Roman"/>
          <w:sz w:val="28"/>
          <w:szCs w:val="28"/>
        </w:rPr>
        <w:t>о разделу «Ж</w:t>
      </w:r>
      <w:r w:rsidR="00337168">
        <w:rPr>
          <w:rFonts w:ascii="Times New Roman" w:hAnsi="Times New Roman" w:cs="Times New Roman"/>
          <w:sz w:val="28"/>
          <w:szCs w:val="28"/>
        </w:rPr>
        <w:t>илищно-коммунальное хозяйство</w:t>
      </w:r>
      <w:r w:rsidR="00E80CEA">
        <w:rPr>
          <w:rFonts w:ascii="Times New Roman" w:hAnsi="Times New Roman" w:cs="Times New Roman"/>
          <w:sz w:val="28"/>
          <w:szCs w:val="28"/>
        </w:rPr>
        <w:t xml:space="preserve">» 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E80CEA">
        <w:rPr>
          <w:rFonts w:ascii="Times New Roman" w:hAnsi="Times New Roman" w:cs="Times New Roman"/>
          <w:sz w:val="28"/>
          <w:szCs w:val="28"/>
        </w:rPr>
        <w:t>-</w:t>
      </w:r>
      <w:r w:rsidR="00D90876">
        <w:rPr>
          <w:rFonts w:ascii="Times New Roman" w:hAnsi="Times New Roman" w:cs="Times New Roman"/>
          <w:sz w:val="28"/>
          <w:szCs w:val="28"/>
        </w:rPr>
        <w:t>6,7</w:t>
      </w:r>
      <w:r w:rsidR="00991CB1">
        <w:rPr>
          <w:rFonts w:ascii="Times New Roman" w:hAnsi="Times New Roman" w:cs="Times New Roman"/>
          <w:sz w:val="28"/>
          <w:szCs w:val="28"/>
        </w:rPr>
        <w:t xml:space="preserve">%. По остальным разделам: 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337168">
        <w:rPr>
          <w:rFonts w:ascii="Times New Roman" w:hAnsi="Times New Roman" w:cs="Times New Roman"/>
          <w:sz w:val="28"/>
          <w:szCs w:val="28"/>
        </w:rPr>
        <w:t>ая</w:t>
      </w:r>
      <w:r w:rsidR="00E80CEA">
        <w:rPr>
          <w:rFonts w:ascii="Times New Roman" w:hAnsi="Times New Roman" w:cs="Times New Roman"/>
          <w:sz w:val="28"/>
          <w:szCs w:val="28"/>
        </w:rPr>
        <w:t xml:space="preserve"> оборон</w:t>
      </w:r>
      <w:r w:rsidR="00337168">
        <w:rPr>
          <w:rFonts w:ascii="Times New Roman" w:hAnsi="Times New Roman" w:cs="Times New Roman"/>
          <w:sz w:val="28"/>
          <w:szCs w:val="28"/>
        </w:rPr>
        <w:t>а</w:t>
      </w:r>
      <w:r w:rsidR="00E80CEA">
        <w:rPr>
          <w:rFonts w:ascii="Times New Roman" w:hAnsi="Times New Roman" w:cs="Times New Roman"/>
          <w:sz w:val="28"/>
          <w:szCs w:val="28"/>
        </w:rPr>
        <w:t>»</w:t>
      </w:r>
      <w:r w:rsidR="00991CB1">
        <w:rPr>
          <w:rFonts w:ascii="Times New Roman" w:hAnsi="Times New Roman" w:cs="Times New Roman"/>
          <w:sz w:val="28"/>
          <w:szCs w:val="28"/>
        </w:rPr>
        <w:t xml:space="preserve"> и </w:t>
      </w:r>
      <w:r w:rsidR="00E80CEA">
        <w:rPr>
          <w:rFonts w:ascii="Times New Roman" w:hAnsi="Times New Roman" w:cs="Times New Roman"/>
          <w:sz w:val="28"/>
          <w:szCs w:val="28"/>
        </w:rPr>
        <w:t xml:space="preserve"> «Национальн</w:t>
      </w:r>
      <w:r w:rsidR="00337168">
        <w:rPr>
          <w:rFonts w:ascii="Times New Roman" w:hAnsi="Times New Roman" w:cs="Times New Roman"/>
          <w:sz w:val="28"/>
          <w:szCs w:val="28"/>
        </w:rPr>
        <w:t>ая</w:t>
      </w:r>
      <w:r w:rsidR="00E80CEA">
        <w:rPr>
          <w:rFonts w:ascii="Times New Roman" w:hAnsi="Times New Roman" w:cs="Times New Roman"/>
          <w:sz w:val="28"/>
          <w:szCs w:val="28"/>
        </w:rPr>
        <w:t xml:space="preserve"> экономик</w:t>
      </w:r>
      <w:r w:rsidR="00337168">
        <w:rPr>
          <w:rFonts w:ascii="Times New Roman" w:hAnsi="Times New Roman" w:cs="Times New Roman"/>
          <w:sz w:val="28"/>
          <w:szCs w:val="28"/>
        </w:rPr>
        <w:t>а</w:t>
      </w:r>
      <w:r w:rsidR="00E80CEA">
        <w:rPr>
          <w:rFonts w:ascii="Times New Roman" w:hAnsi="Times New Roman" w:cs="Times New Roman"/>
          <w:sz w:val="28"/>
          <w:szCs w:val="28"/>
        </w:rPr>
        <w:t xml:space="preserve">» </w:t>
      </w:r>
      <w:r w:rsidR="00991CB1">
        <w:rPr>
          <w:rFonts w:ascii="Times New Roman" w:hAnsi="Times New Roman" w:cs="Times New Roman"/>
          <w:sz w:val="28"/>
          <w:szCs w:val="28"/>
        </w:rPr>
        <w:t>-</w:t>
      </w:r>
      <w:r w:rsid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991CB1">
        <w:rPr>
          <w:rFonts w:ascii="Times New Roman" w:hAnsi="Times New Roman" w:cs="Times New Roman"/>
          <w:sz w:val="28"/>
          <w:szCs w:val="28"/>
        </w:rPr>
        <w:t>всего 2,</w:t>
      </w:r>
      <w:r w:rsidR="00D90876">
        <w:rPr>
          <w:rFonts w:ascii="Times New Roman" w:hAnsi="Times New Roman" w:cs="Times New Roman"/>
          <w:sz w:val="28"/>
          <w:szCs w:val="28"/>
        </w:rPr>
        <w:t>5 процента</w:t>
      </w:r>
      <w:r w:rsidR="00991CB1">
        <w:rPr>
          <w:rFonts w:ascii="Times New Roman" w:hAnsi="Times New Roman" w:cs="Times New Roman"/>
          <w:sz w:val="28"/>
          <w:szCs w:val="28"/>
        </w:rPr>
        <w:t>.</w:t>
      </w:r>
    </w:p>
    <w:p w:rsidR="00E80CEA" w:rsidRPr="006C192E" w:rsidRDefault="00E80CE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1CB1" w:rsidRPr="006C192E" w:rsidRDefault="006C192E" w:rsidP="00991CB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Структура  расходов бюджета поселения за 1 </w:t>
      </w:r>
      <w:r w:rsidR="00E80CEA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D90876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отражена на диаграмме</w:t>
      </w:r>
    </w:p>
    <w:p w:rsidR="006F48BA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48BA" w:rsidRDefault="00565C5F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F3848B8" wp14:editId="409DCA63">
            <wp:extent cx="6287911" cy="5915377"/>
            <wp:effectExtent l="38100" t="0" r="5588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6C192E" w:rsidRDefault="006F48BA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В течение отчетного периода не производились расходы, предусмотренные решением о бюдж</w:t>
      </w:r>
      <w:r>
        <w:rPr>
          <w:rFonts w:ascii="Times New Roman" w:hAnsi="Times New Roman" w:cs="Times New Roman"/>
          <w:sz w:val="28"/>
          <w:szCs w:val="28"/>
        </w:rPr>
        <w:t>ете, по разделам «Образование»,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По данным разделам предусмотрены бюджетные ассигнования на проведение мероприятий по молодежной </w:t>
      </w:r>
      <w:r w:rsidR="00AA4B3F">
        <w:rPr>
          <w:rFonts w:ascii="Times New Roman" w:hAnsi="Times New Roman" w:cs="Times New Roman"/>
          <w:sz w:val="28"/>
          <w:szCs w:val="28"/>
        </w:rPr>
        <w:t>политике и оздоровлению детей,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проведение мероприятий пожарной безопасности</w:t>
      </w:r>
      <w:r w:rsidR="006C4D36">
        <w:rPr>
          <w:rFonts w:ascii="Times New Roman" w:hAnsi="Times New Roman" w:cs="Times New Roman"/>
          <w:sz w:val="28"/>
          <w:szCs w:val="28"/>
        </w:rPr>
        <w:t xml:space="preserve">, на выплаты муниципальных пенсий и </w:t>
      </w:r>
      <w:r w:rsidR="00046315">
        <w:rPr>
          <w:rFonts w:ascii="Times New Roman" w:hAnsi="Times New Roman" w:cs="Times New Roman"/>
          <w:sz w:val="28"/>
          <w:szCs w:val="28"/>
        </w:rPr>
        <w:t>ЕДК</w:t>
      </w: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 w:rsidR="00A030F1">
        <w:rPr>
          <w:rFonts w:ascii="Times New Roman" w:hAnsi="Times New Roman" w:cs="Times New Roman"/>
          <w:sz w:val="28"/>
          <w:szCs w:val="28"/>
        </w:rPr>
        <w:t>ам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 w:rsidR="006C4D36">
        <w:rPr>
          <w:rFonts w:ascii="Times New Roman" w:hAnsi="Times New Roman" w:cs="Times New Roman"/>
          <w:sz w:val="28"/>
          <w:szCs w:val="28"/>
        </w:rPr>
        <w:t xml:space="preserve"> </w:t>
      </w:r>
      <w:r w:rsidR="00C71CCC">
        <w:rPr>
          <w:rFonts w:ascii="Times New Roman" w:hAnsi="Times New Roman" w:cs="Times New Roman"/>
          <w:sz w:val="28"/>
          <w:szCs w:val="28"/>
        </w:rPr>
        <w:t>«</w:t>
      </w:r>
      <w:r w:rsidR="00565C5F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C71CCC">
        <w:rPr>
          <w:rFonts w:ascii="Times New Roman" w:hAnsi="Times New Roman" w:cs="Times New Roman"/>
          <w:sz w:val="28"/>
          <w:szCs w:val="28"/>
        </w:rPr>
        <w:t>»</w:t>
      </w:r>
      <w:r w:rsidR="00565C5F">
        <w:rPr>
          <w:rFonts w:ascii="Times New Roman" w:hAnsi="Times New Roman" w:cs="Times New Roman"/>
          <w:sz w:val="28"/>
          <w:szCs w:val="28"/>
        </w:rPr>
        <w:t xml:space="preserve"> и «</w:t>
      </w:r>
      <w:proofErr w:type="gramStart"/>
      <w:r w:rsidR="00565C5F"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 w:rsidR="00565C5F">
        <w:rPr>
          <w:rFonts w:ascii="Times New Roman" w:hAnsi="Times New Roman" w:cs="Times New Roman"/>
          <w:sz w:val="28"/>
          <w:szCs w:val="28"/>
        </w:rPr>
        <w:t xml:space="preserve"> и кинематография»</w:t>
      </w:r>
      <w:r w:rsidR="00C71CCC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</w:t>
      </w:r>
      <w:r w:rsidR="00565C5F">
        <w:rPr>
          <w:rFonts w:ascii="Times New Roman" w:hAnsi="Times New Roman" w:cs="Times New Roman"/>
          <w:sz w:val="28"/>
          <w:szCs w:val="28"/>
        </w:rPr>
        <w:t>ниже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C71CCC">
        <w:rPr>
          <w:rFonts w:ascii="Times New Roman" w:hAnsi="Times New Roman" w:cs="Times New Roman"/>
          <w:sz w:val="28"/>
          <w:szCs w:val="28"/>
        </w:rPr>
        <w:t xml:space="preserve">50,0 </w:t>
      </w:r>
      <w:r w:rsidR="00565C5F">
        <w:rPr>
          <w:rFonts w:ascii="Times New Roman" w:hAnsi="Times New Roman" w:cs="Times New Roman"/>
          <w:sz w:val="28"/>
          <w:szCs w:val="28"/>
        </w:rPr>
        <w:t>процентов.</w:t>
      </w:r>
    </w:p>
    <w:p w:rsidR="00C71CCC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037D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F037D" w:rsidRDefault="004F037D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6C192E">
        <w:rPr>
          <w:rFonts w:ascii="Times New Roman" w:hAnsi="Times New Roman" w:cs="Times New Roman"/>
        </w:rPr>
        <w:t>Таблица 5</w:t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Pr="006C192E">
        <w:rPr>
          <w:rFonts w:ascii="Times New Roman" w:hAnsi="Times New Roman" w:cs="Times New Roman"/>
        </w:rPr>
        <w:tab/>
      </w:r>
      <w:r w:rsidR="00CF3210">
        <w:rPr>
          <w:rFonts w:ascii="Times New Roman" w:hAnsi="Times New Roman" w:cs="Times New Roman"/>
        </w:rPr>
        <w:t xml:space="preserve">                           </w:t>
      </w:r>
      <w:r w:rsidRPr="006C192E">
        <w:rPr>
          <w:rFonts w:ascii="Times New Roman" w:hAnsi="Times New Roman" w:cs="Times New Roman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068"/>
        <w:gridCol w:w="1123"/>
        <w:gridCol w:w="1249"/>
        <w:gridCol w:w="1068"/>
        <w:gridCol w:w="1123"/>
        <w:gridCol w:w="1180"/>
        <w:gridCol w:w="1068"/>
      </w:tblGrid>
      <w:tr w:rsidR="00D27FFC" w:rsidRPr="006C192E" w:rsidTr="00D27FFC">
        <w:trPr>
          <w:trHeight w:val="970"/>
        </w:trPr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Наименование раздела</w:t>
            </w:r>
          </w:p>
        </w:tc>
        <w:tc>
          <w:tcPr>
            <w:tcW w:w="1212" w:type="dxa"/>
          </w:tcPr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 xml:space="preserve">Исполнено в   1 </w:t>
            </w:r>
            <w:r>
              <w:rPr>
                <w:rFonts w:ascii="Times New Roman" w:eastAsia="Calibri" w:hAnsi="Times New Roman" w:cs="Times New Roman"/>
              </w:rPr>
              <w:t>полугодии</w:t>
            </w:r>
          </w:p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2016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</w:t>
            </w:r>
          </w:p>
        </w:tc>
        <w:tc>
          <w:tcPr>
            <w:tcW w:w="836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D27FFC" w:rsidRPr="006C192E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487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 в бюджете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12" w:type="dxa"/>
          </w:tcPr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 в 1</w:t>
            </w:r>
          </w:p>
          <w:p w:rsidR="00D27FFC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полугодии</w:t>
            </w:r>
            <w:proofErr w:type="gramEnd"/>
          </w:p>
          <w:p w:rsidR="00D27FFC" w:rsidRPr="006C192E" w:rsidRDefault="00D27FFC" w:rsidP="00D27F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 xml:space="preserve">7 </w:t>
            </w: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</w:tc>
        <w:tc>
          <w:tcPr>
            <w:tcW w:w="1277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 xml:space="preserve">Процент </w:t>
            </w:r>
          </w:p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исполнения</w:t>
            </w:r>
          </w:p>
        </w:tc>
        <w:tc>
          <w:tcPr>
            <w:tcW w:w="1344" w:type="dxa"/>
          </w:tcPr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Абсолютное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отклонение 1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полугодия </w:t>
            </w:r>
            <w:r w:rsidRPr="006C192E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 от 1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  <w:r w:rsidRPr="006C192E">
              <w:rPr>
                <w:rFonts w:ascii="Times New Roman" w:eastAsia="Calibri" w:hAnsi="Times New Roman" w:cs="Times New Roman"/>
              </w:rPr>
              <w:t xml:space="preserve"> 201</w:t>
            </w:r>
            <w:r>
              <w:rPr>
                <w:rFonts w:ascii="Times New Roman" w:eastAsia="Calibri" w:hAnsi="Times New Roman" w:cs="Times New Roman"/>
              </w:rPr>
              <w:t>7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года</w:t>
            </w:r>
          </w:p>
          <w:p w:rsidR="00D27FFC" w:rsidRPr="006C192E" w:rsidRDefault="00D27FFC" w:rsidP="006C19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Исполнено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к уровню 1</w:t>
            </w:r>
          </w:p>
          <w:p w:rsidR="00D27FFC" w:rsidRPr="006C192E" w:rsidRDefault="00D27FFC" w:rsidP="006C19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полугодия</w:t>
            </w:r>
          </w:p>
          <w:p w:rsidR="00D27FFC" w:rsidRPr="006C192E" w:rsidRDefault="00D27FFC" w:rsidP="00D27F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eastAsia="Calibri" w:hAnsi="Times New Roman" w:cs="Times New Roman"/>
              </w:rPr>
              <w:t>201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6C192E">
              <w:rPr>
                <w:rFonts w:ascii="Times New Roman" w:eastAsia="Calibri" w:hAnsi="Times New Roman" w:cs="Times New Roman"/>
              </w:rPr>
              <w:t xml:space="preserve"> года,%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1119,2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487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1823,1</w:t>
            </w:r>
          </w:p>
        </w:tc>
        <w:tc>
          <w:tcPr>
            <w:tcW w:w="1212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972,8</w:t>
            </w:r>
          </w:p>
        </w:tc>
        <w:tc>
          <w:tcPr>
            <w:tcW w:w="1277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53,4</w:t>
            </w:r>
          </w:p>
        </w:tc>
        <w:tc>
          <w:tcPr>
            <w:tcW w:w="1344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-146,4</w:t>
            </w:r>
          </w:p>
        </w:tc>
        <w:tc>
          <w:tcPr>
            <w:tcW w:w="1212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86,9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49,9</w:t>
            </w:r>
          </w:p>
        </w:tc>
        <w:tc>
          <w:tcPr>
            <w:tcW w:w="487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79,9</w:t>
            </w:r>
          </w:p>
        </w:tc>
        <w:tc>
          <w:tcPr>
            <w:tcW w:w="1212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277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1344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-5,4</w:t>
            </w:r>
          </w:p>
        </w:tc>
        <w:tc>
          <w:tcPr>
            <w:tcW w:w="1212" w:type="dxa"/>
          </w:tcPr>
          <w:p w:rsidR="00D27FFC" w:rsidRPr="006C192E" w:rsidRDefault="00D27FFC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6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29,1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36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252,0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135,3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143,8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6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Культура и кинематография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349,6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1275,0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426,0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33,0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76,4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36" w:type="dxa"/>
          </w:tcPr>
          <w:p w:rsidR="00D27FFC" w:rsidRPr="006C192E" w:rsidRDefault="00D27FFC" w:rsidP="00D27FFC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2" w:type="dxa"/>
          </w:tcPr>
          <w:p w:rsidR="00D27FFC" w:rsidRPr="006C192E" w:rsidRDefault="00721F35" w:rsidP="007A5B8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D27FFC" w:rsidRPr="006C192E" w:rsidTr="00D27FFC">
        <w:trPr>
          <w:trHeight w:val="540"/>
        </w:trPr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192E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428,8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62,9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438,2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</w:tr>
      <w:tr w:rsidR="00D27FFC" w:rsidRPr="006C192E" w:rsidTr="00D27FFC">
        <w:tc>
          <w:tcPr>
            <w:tcW w:w="2273" w:type="dxa"/>
          </w:tcPr>
          <w:p w:rsidR="00D27FFC" w:rsidRPr="006C192E" w:rsidRDefault="00D27FFC" w:rsidP="006C192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6C192E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212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2047,1</w:t>
            </w:r>
          </w:p>
        </w:tc>
        <w:tc>
          <w:tcPr>
            <w:tcW w:w="836" w:type="dxa"/>
          </w:tcPr>
          <w:p w:rsidR="00D27FFC" w:rsidRPr="006C192E" w:rsidRDefault="00D27FFC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50,4</w:t>
            </w:r>
          </w:p>
        </w:tc>
        <w:tc>
          <w:tcPr>
            <w:tcW w:w="487" w:type="dxa"/>
          </w:tcPr>
          <w:p w:rsidR="00D27FFC" w:rsidRPr="006C192E" w:rsidRDefault="00721F35" w:rsidP="005D45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4446,8</w:t>
            </w:r>
          </w:p>
        </w:tc>
        <w:tc>
          <w:tcPr>
            <w:tcW w:w="1212" w:type="dxa"/>
          </w:tcPr>
          <w:p w:rsidR="00D27FFC" w:rsidRPr="006C192E" w:rsidRDefault="00721F35" w:rsidP="006C192E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2022,3</w:t>
            </w:r>
          </w:p>
        </w:tc>
        <w:tc>
          <w:tcPr>
            <w:tcW w:w="1277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45,5</w:t>
            </w:r>
          </w:p>
        </w:tc>
        <w:tc>
          <w:tcPr>
            <w:tcW w:w="1344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-24,8</w:t>
            </w:r>
          </w:p>
        </w:tc>
        <w:tc>
          <w:tcPr>
            <w:tcW w:w="1212" w:type="dxa"/>
          </w:tcPr>
          <w:p w:rsidR="00D27FFC" w:rsidRPr="006C192E" w:rsidRDefault="00721F35" w:rsidP="006C34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98,8</w:t>
            </w:r>
          </w:p>
        </w:tc>
      </w:tr>
    </w:tbl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7168" w:rsidRPr="006C192E" w:rsidRDefault="00337168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046315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«Общегосударственные вопросы»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-  исполнены 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51F">
        <w:rPr>
          <w:rFonts w:ascii="Times New Roman" w:hAnsi="Times New Roman" w:cs="Times New Roman"/>
          <w:sz w:val="28"/>
          <w:szCs w:val="28"/>
        </w:rPr>
        <w:t>972,8</w:t>
      </w:r>
      <w:r w:rsidR="007A5B80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7C3810">
        <w:rPr>
          <w:rFonts w:ascii="Times New Roman" w:hAnsi="Times New Roman" w:cs="Times New Roman"/>
          <w:sz w:val="28"/>
          <w:szCs w:val="28"/>
        </w:rPr>
        <w:t>53,4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 </w:t>
      </w:r>
      <w:r w:rsidR="007A5B80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>201</w:t>
      </w:r>
      <w:r w:rsidR="007C3810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7C3810">
        <w:rPr>
          <w:rFonts w:ascii="Times New Roman" w:hAnsi="Times New Roman" w:cs="Times New Roman"/>
          <w:sz w:val="28"/>
          <w:szCs w:val="28"/>
        </w:rPr>
        <w:t xml:space="preserve">снизились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7C3810">
        <w:rPr>
          <w:rFonts w:ascii="Times New Roman" w:hAnsi="Times New Roman" w:cs="Times New Roman"/>
          <w:sz w:val="28"/>
          <w:szCs w:val="28"/>
        </w:rPr>
        <w:t>146,4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C3810">
        <w:rPr>
          <w:rFonts w:ascii="Times New Roman" w:hAnsi="Times New Roman" w:cs="Times New Roman"/>
          <w:sz w:val="28"/>
          <w:szCs w:val="28"/>
        </w:rPr>
        <w:t>13,1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%). Средства направлены:</w:t>
      </w:r>
    </w:p>
    <w:p w:rsidR="006C192E" w:rsidRPr="004A42D1" w:rsidRDefault="006C192E" w:rsidP="007A5B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- на </w:t>
      </w:r>
      <w:r w:rsidR="007A5B80">
        <w:rPr>
          <w:rFonts w:ascii="Times New Roman" w:hAnsi="Times New Roman" w:cs="Times New Roman"/>
          <w:sz w:val="28"/>
          <w:szCs w:val="28"/>
        </w:rPr>
        <w:t xml:space="preserve">выплату заработной платы с начислениями  Главе поселения, муниципальным служащим и МОП в сумме </w:t>
      </w:r>
      <w:r w:rsidR="004A42D1">
        <w:rPr>
          <w:rFonts w:ascii="Times New Roman" w:hAnsi="Times New Roman" w:cs="Times New Roman"/>
          <w:sz w:val="28"/>
          <w:szCs w:val="28"/>
        </w:rPr>
        <w:t>742,7</w:t>
      </w:r>
      <w:r w:rsidR="007A5B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A42D1" w:rsidRPr="004A4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42D1">
        <w:rPr>
          <w:rFonts w:ascii="Times New Roman" w:eastAsia="Times New Roman" w:hAnsi="Times New Roman" w:cs="Times New Roman"/>
          <w:sz w:val="28"/>
          <w:szCs w:val="28"/>
        </w:rPr>
        <w:t xml:space="preserve">из них, </w:t>
      </w:r>
      <w:r w:rsidR="004A42D1" w:rsidRPr="00CA6810">
        <w:rPr>
          <w:rFonts w:ascii="Times New Roman" w:hAnsi="Times New Roman" w:cs="Times New Roman"/>
          <w:sz w:val="28"/>
          <w:szCs w:val="28"/>
        </w:rPr>
        <w:t>на межбюджетные трансферты по осуществлению  полномочий по внешнему муниципальному финансовому контролю -</w:t>
      </w:r>
      <w:r w:rsidR="004A42D1">
        <w:rPr>
          <w:rFonts w:ascii="Times New Roman" w:hAnsi="Times New Roman" w:cs="Times New Roman"/>
          <w:sz w:val="28"/>
          <w:szCs w:val="28"/>
        </w:rPr>
        <w:t>7,8 тыс. рублей</w:t>
      </w:r>
      <w:r w:rsidR="007A5B80">
        <w:rPr>
          <w:rFonts w:ascii="Times New Roman" w:hAnsi="Times New Roman" w:cs="Times New Roman"/>
          <w:sz w:val="28"/>
          <w:szCs w:val="28"/>
        </w:rPr>
        <w:t>, коммунальные услуги -</w:t>
      </w:r>
      <w:r w:rsidR="007C3810">
        <w:rPr>
          <w:rFonts w:ascii="Times New Roman" w:hAnsi="Times New Roman" w:cs="Times New Roman"/>
          <w:sz w:val="28"/>
          <w:szCs w:val="28"/>
        </w:rPr>
        <w:t>114,1</w:t>
      </w:r>
      <w:r w:rsidR="007A5B80">
        <w:rPr>
          <w:rFonts w:ascii="Times New Roman" w:hAnsi="Times New Roman" w:cs="Times New Roman"/>
          <w:sz w:val="28"/>
          <w:szCs w:val="28"/>
        </w:rPr>
        <w:t xml:space="preserve"> тыс. рублей, услуги связи -</w:t>
      </w:r>
      <w:r w:rsidR="007C3810">
        <w:rPr>
          <w:rFonts w:ascii="Times New Roman" w:hAnsi="Times New Roman" w:cs="Times New Roman"/>
          <w:sz w:val="28"/>
          <w:szCs w:val="28"/>
        </w:rPr>
        <w:t>21,8</w:t>
      </w:r>
      <w:r w:rsidR="007A5B80">
        <w:rPr>
          <w:rFonts w:ascii="Times New Roman" w:hAnsi="Times New Roman" w:cs="Times New Roman"/>
          <w:sz w:val="28"/>
          <w:szCs w:val="28"/>
        </w:rPr>
        <w:t xml:space="preserve"> тыс. рублей, услуги по содержанию имущества -</w:t>
      </w:r>
      <w:r w:rsidR="007C3810">
        <w:rPr>
          <w:rFonts w:ascii="Times New Roman" w:hAnsi="Times New Roman" w:cs="Times New Roman"/>
          <w:sz w:val="28"/>
          <w:szCs w:val="28"/>
        </w:rPr>
        <w:t>8,3</w:t>
      </w:r>
      <w:r w:rsidR="007A5B80">
        <w:rPr>
          <w:rFonts w:ascii="Times New Roman" w:hAnsi="Times New Roman" w:cs="Times New Roman"/>
          <w:sz w:val="28"/>
          <w:szCs w:val="28"/>
        </w:rPr>
        <w:t xml:space="preserve"> тыс. рублей, увеличение стоимости материальных запасов -</w:t>
      </w:r>
      <w:r w:rsidR="007C3810">
        <w:rPr>
          <w:rFonts w:ascii="Times New Roman" w:hAnsi="Times New Roman" w:cs="Times New Roman"/>
          <w:sz w:val="28"/>
          <w:szCs w:val="28"/>
        </w:rPr>
        <w:t xml:space="preserve">68,8 тыс. рублей и </w:t>
      </w:r>
      <w:r w:rsidR="007A5B80">
        <w:rPr>
          <w:rFonts w:ascii="Times New Roman" w:hAnsi="Times New Roman" w:cs="Times New Roman"/>
          <w:sz w:val="28"/>
          <w:szCs w:val="28"/>
        </w:rPr>
        <w:t xml:space="preserve"> прочие услуги</w:t>
      </w:r>
      <w:proofErr w:type="gramEnd"/>
      <w:r w:rsidR="007A5B80">
        <w:rPr>
          <w:rFonts w:ascii="Times New Roman" w:hAnsi="Times New Roman" w:cs="Times New Roman"/>
          <w:sz w:val="28"/>
          <w:szCs w:val="28"/>
        </w:rPr>
        <w:t xml:space="preserve"> и расходы -</w:t>
      </w:r>
      <w:r w:rsidR="004A42D1">
        <w:rPr>
          <w:rFonts w:ascii="Times New Roman" w:hAnsi="Times New Roman" w:cs="Times New Roman"/>
          <w:sz w:val="28"/>
          <w:szCs w:val="28"/>
        </w:rPr>
        <w:t>17,1</w:t>
      </w:r>
      <w:r w:rsidR="00171D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51475" w:rsidRPr="00A66BDD" w:rsidRDefault="00C51475" w:rsidP="00C5147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66BDD">
        <w:rPr>
          <w:rFonts w:ascii="Times New Roman" w:hAnsi="Times New Roman" w:cs="Times New Roman"/>
          <w:sz w:val="28"/>
          <w:szCs w:val="28"/>
        </w:rPr>
        <w:t xml:space="preserve">  </w:t>
      </w:r>
      <w:r w:rsidR="00305F91" w:rsidRPr="00A66BDD">
        <w:rPr>
          <w:rFonts w:ascii="Times New Roman" w:hAnsi="Times New Roman" w:cs="Times New Roman"/>
          <w:sz w:val="28"/>
          <w:szCs w:val="28"/>
        </w:rPr>
        <w:t xml:space="preserve">   </w:t>
      </w:r>
      <w:r w:rsidRPr="00A66BDD">
        <w:rPr>
          <w:rFonts w:ascii="Times New Roman" w:hAnsi="Times New Roman" w:cs="Times New Roman"/>
          <w:sz w:val="28"/>
          <w:szCs w:val="28"/>
        </w:rPr>
        <w:t xml:space="preserve"> </w:t>
      </w:r>
      <w:r w:rsidR="00A84D66" w:rsidRPr="00A66BDD">
        <w:rPr>
          <w:rFonts w:ascii="Times New Roman" w:hAnsi="Times New Roman" w:cs="Times New Roman"/>
          <w:sz w:val="28"/>
          <w:szCs w:val="28"/>
        </w:rPr>
        <w:t xml:space="preserve"> 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В нарушение принятых соглашений поселением не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полном объеме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перечислялись денежные средства по передаваемым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полномочия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в части,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внешне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6A7D49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муниципально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финансового контроля (перечислены за январь и февраль 201</w:t>
      </w:r>
      <w:r w:rsidR="00A66BDD" w:rsidRPr="00A66BDD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года</w:t>
      </w:r>
      <w:r w:rsidR="00171D9B" w:rsidRPr="00337168">
        <w:rPr>
          <w:rFonts w:ascii="Times New Roman" w:hAnsi="Times New Roman" w:cs="Times New Roman"/>
          <w:i/>
          <w:sz w:val="28"/>
          <w:szCs w:val="28"/>
          <w:u w:val="single"/>
        </w:rPr>
        <w:t>).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Таким образом, администрация поселения не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исполняет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свои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обязательств</w:t>
      </w:r>
      <w:r w:rsidR="00B87606" w:rsidRPr="00A66BDD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соответствии с заключенным соглашения</w:t>
      </w:r>
      <w:r w:rsidR="00B87606" w:rsidRPr="00A66BDD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между Представительным Собранием района и администрацией  поселения Туровецкое</w:t>
      </w:r>
      <w:r w:rsidR="002677E6" w:rsidRPr="00A66BD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ссылаясь на отсутствие денежных сред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ств.  О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днако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поступление дотации из бюджета района в 1 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полугодии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т</w:t>
      </w:r>
      <w:proofErr w:type="gramStart"/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proofErr w:type="gramEnd"/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г.  составило </w:t>
      </w:r>
      <w:r w:rsidR="00A66BDD" w:rsidRPr="00A66BDD">
        <w:rPr>
          <w:rFonts w:ascii="Times New Roman" w:hAnsi="Times New Roman" w:cs="Times New Roman"/>
          <w:i/>
          <w:sz w:val="28"/>
          <w:szCs w:val="28"/>
          <w:u w:val="single"/>
        </w:rPr>
        <w:t>55,1</w:t>
      </w:r>
      <w:r w:rsidR="00171D9B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%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утвержденных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годовых бюджетных назначений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кроме того,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 расходы 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на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>содержани</w:t>
      </w:r>
      <w:r w:rsidR="009C4395" w:rsidRPr="00A66BDD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администрации составили </w:t>
      </w:r>
      <w:r w:rsidR="00A66BDD" w:rsidRPr="00A66BDD">
        <w:rPr>
          <w:rFonts w:ascii="Times New Roman" w:hAnsi="Times New Roman" w:cs="Times New Roman"/>
          <w:i/>
          <w:sz w:val="28"/>
          <w:szCs w:val="28"/>
          <w:u w:val="single"/>
        </w:rPr>
        <w:t>53,4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процента от утвержденных расходов на 201</w:t>
      </w:r>
      <w:r w:rsidR="00A66BDD" w:rsidRPr="00A66BDD">
        <w:rPr>
          <w:rFonts w:ascii="Times New Roman" w:hAnsi="Times New Roman" w:cs="Times New Roman"/>
          <w:i/>
          <w:sz w:val="28"/>
          <w:szCs w:val="28"/>
          <w:u w:val="single"/>
        </w:rPr>
        <w:t xml:space="preserve">7 </w:t>
      </w:r>
      <w:r w:rsidR="00A84D66" w:rsidRPr="00A66BDD">
        <w:rPr>
          <w:rFonts w:ascii="Times New Roman" w:hAnsi="Times New Roman" w:cs="Times New Roman"/>
          <w:i/>
          <w:sz w:val="28"/>
          <w:szCs w:val="28"/>
          <w:u w:val="single"/>
        </w:rPr>
        <w:t>год.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«</w:t>
      </w:r>
      <w:r w:rsidRPr="006C192E">
        <w:rPr>
          <w:rFonts w:ascii="Times New Roman" w:hAnsi="Times New Roman" w:cs="Times New Roman"/>
          <w:i/>
          <w:sz w:val="28"/>
          <w:szCs w:val="28"/>
        </w:rPr>
        <w:t>Национальная оборона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7C3810">
        <w:rPr>
          <w:rFonts w:ascii="Times New Roman" w:hAnsi="Times New Roman" w:cs="Times New Roman"/>
          <w:sz w:val="28"/>
          <w:szCs w:val="28"/>
        </w:rPr>
        <w:t>40,0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C3810">
        <w:rPr>
          <w:rFonts w:ascii="Times New Roman" w:hAnsi="Times New Roman" w:cs="Times New Roman"/>
          <w:sz w:val="28"/>
          <w:szCs w:val="28"/>
        </w:rPr>
        <w:t>50,1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бюджетным назначениям. По сравнению с 1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Pr="006C192E">
        <w:rPr>
          <w:rFonts w:ascii="Times New Roman" w:hAnsi="Times New Roman" w:cs="Times New Roman"/>
          <w:sz w:val="28"/>
          <w:szCs w:val="28"/>
        </w:rPr>
        <w:t>201</w:t>
      </w:r>
      <w:r w:rsidR="007C3810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у</w:t>
      </w:r>
      <w:r w:rsidR="007C3810">
        <w:rPr>
          <w:rFonts w:ascii="Times New Roman" w:hAnsi="Times New Roman" w:cs="Times New Roman"/>
          <w:sz w:val="28"/>
          <w:szCs w:val="28"/>
        </w:rPr>
        <w:t>меньшились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</w:t>
      </w:r>
      <w:r w:rsidR="007C3810">
        <w:rPr>
          <w:rFonts w:ascii="Times New Roman" w:hAnsi="Times New Roman" w:cs="Times New Roman"/>
          <w:sz w:val="28"/>
          <w:szCs w:val="28"/>
        </w:rPr>
        <w:t>5,4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7C3810">
        <w:rPr>
          <w:rFonts w:ascii="Times New Roman" w:hAnsi="Times New Roman" w:cs="Times New Roman"/>
          <w:sz w:val="28"/>
          <w:szCs w:val="28"/>
        </w:rPr>
        <w:t>11,9</w:t>
      </w:r>
      <w:r w:rsidRPr="006C192E">
        <w:rPr>
          <w:rFonts w:ascii="Times New Roman" w:hAnsi="Times New Roman" w:cs="Times New Roman"/>
          <w:sz w:val="28"/>
          <w:szCs w:val="28"/>
        </w:rPr>
        <w:t>%). Средства направлены на осуществление первичного воинского учета в поселении.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«Национальная безопасность и правоохранительная деятельность»</w:t>
      </w:r>
      <w:r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171D9B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7C3810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8916A7" w:rsidRPr="00A66BDD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BDD">
        <w:rPr>
          <w:rFonts w:ascii="Times New Roman" w:hAnsi="Times New Roman" w:cs="Times New Roman"/>
          <w:i/>
          <w:sz w:val="28"/>
          <w:szCs w:val="28"/>
        </w:rPr>
        <w:t>«Национальная экономика» -</w:t>
      </w:r>
      <w:r w:rsidR="008916A7" w:rsidRPr="00A66BDD">
        <w:rPr>
          <w:rFonts w:ascii="Times New Roman" w:hAnsi="Times New Roman" w:cs="Times New Roman"/>
          <w:sz w:val="28"/>
          <w:szCs w:val="28"/>
        </w:rPr>
        <w:t xml:space="preserve"> расходы в 1 </w:t>
      </w:r>
      <w:r w:rsidR="00171D9B" w:rsidRPr="00A66BDD">
        <w:rPr>
          <w:rFonts w:ascii="Times New Roman" w:hAnsi="Times New Roman" w:cs="Times New Roman"/>
          <w:sz w:val="28"/>
          <w:szCs w:val="28"/>
        </w:rPr>
        <w:t>полугодии составили 10,0 тыс. рублей</w:t>
      </w:r>
      <w:r w:rsidR="00337168">
        <w:rPr>
          <w:rFonts w:ascii="Times New Roman" w:hAnsi="Times New Roman" w:cs="Times New Roman"/>
          <w:sz w:val="28"/>
          <w:szCs w:val="28"/>
        </w:rPr>
        <w:t>, или на 4,3% к годовым назначениям</w:t>
      </w:r>
      <w:r w:rsidR="00171D9B" w:rsidRPr="00A66BDD">
        <w:rPr>
          <w:rFonts w:ascii="Times New Roman" w:hAnsi="Times New Roman" w:cs="Times New Roman"/>
          <w:sz w:val="28"/>
          <w:szCs w:val="28"/>
        </w:rPr>
        <w:t>.</w:t>
      </w:r>
      <w:r w:rsidR="00337168" w:rsidRPr="00337168">
        <w:rPr>
          <w:rFonts w:ascii="Times New Roman" w:hAnsi="Times New Roman" w:cs="Times New Roman"/>
          <w:sz w:val="28"/>
          <w:szCs w:val="28"/>
        </w:rPr>
        <w:t xml:space="preserve"> </w:t>
      </w:r>
      <w:r w:rsidR="00337168" w:rsidRPr="006C192E">
        <w:rPr>
          <w:rFonts w:ascii="Times New Roman" w:hAnsi="Times New Roman" w:cs="Times New Roman"/>
          <w:sz w:val="28"/>
          <w:szCs w:val="28"/>
        </w:rPr>
        <w:t xml:space="preserve">По сравнению с 1 </w:t>
      </w:r>
      <w:r w:rsidR="00337168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337168" w:rsidRPr="006C192E">
        <w:rPr>
          <w:rFonts w:ascii="Times New Roman" w:hAnsi="Times New Roman" w:cs="Times New Roman"/>
          <w:sz w:val="28"/>
          <w:szCs w:val="28"/>
        </w:rPr>
        <w:t>201</w:t>
      </w:r>
      <w:r w:rsidR="00337168">
        <w:rPr>
          <w:rFonts w:ascii="Times New Roman" w:hAnsi="Times New Roman" w:cs="Times New Roman"/>
          <w:sz w:val="28"/>
          <w:szCs w:val="28"/>
        </w:rPr>
        <w:t>6</w:t>
      </w:r>
      <w:r w:rsidR="00337168"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337168">
        <w:rPr>
          <w:rFonts w:ascii="Times New Roman" w:hAnsi="Times New Roman" w:cs="Times New Roman"/>
          <w:sz w:val="28"/>
          <w:szCs w:val="28"/>
        </w:rPr>
        <w:t>остались без изменений</w:t>
      </w:r>
      <w:r w:rsidR="00337168" w:rsidRPr="006C192E">
        <w:rPr>
          <w:rFonts w:ascii="Times New Roman" w:hAnsi="Times New Roman" w:cs="Times New Roman"/>
          <w:sz w:val="28"/>
          <w:szCs w:val="28"/>
        </w:rPr>
        <w:t xml:space="preserve">. </w:t>
      </w:r>
      <w:r w:rsidR="00171D9B" w:rsidRPr="00A66BDD">
        <w:rPr>
          <w:rFonts w:ascii="Times New Roman" w:hAnsi="Times New Roman" w:cs="Times New Roman"/>
          <w:sz w:val="28"/>
          <w:szCs w:val="28"/>
        </w:rPr>
        <w:t xml:space="preserve"> Средства потрачены на расчистку дорог автогрейдером.</w:t>
      </w:r>
    </w:p>
    <w:p w:rsidR="006C192E" w:rsidRPr="006C192E" w:rsidRDefault="008916A7" w:rsidP="006C192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i/>
          <w:sz w:val="28"/>
          <w:szCs w:val="28"/>
        </w:rPr>
        <w:t>«Жилищно-коммунальное хозяйство»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- расходы составили </w:t>
      </w:r>
      <w:r w:rsidR="009E5B98">
        <w:rPr>
          <w:rFonts w:ascii="Times New Roman" w:hAnsi="Times New Roman" w:cs="Times New Roman"/>
          <w:sz w:val="28"/>
          <w:szCs w:val="28"/>
        </w:rPr>
        <w:t xml:space="preserve">135,3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9E5B98">
        <w:rPr>
          <w:rFonts w:ascii="Times New Roman" w:hAnsi="Times New Roman" w:cs="Times New Roman"/>
          <w:sz w:val="28"/>
          <w:szCs w:val="28"/>
        </w:rPr>
        <w:t>53,7</w:t>
      </w:r>
      <w:r w:rsidR="00171D9B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% к годовым назначениям, в том числе  по подразделу «</w:t>
      </w:r>
      <w:r w:rsidR="00712A69">
        <w:rPr>
          <w:rFonts w:ascii="Times New Roman" w:hAnsi="Times New Roman" w:cs="Times New Roman"/>
          <w:sz w:val="28"/>
          <w:szCs w:val="28"/>
        </w:rPr>
        <w:t>Благоустройству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» - </w:t>
      </w:r>
      <w:r w:rsidR="00B773D0">
        <w:rPr>
          <w:rFonts w:ascii="Times New Roman" w:hAnsi="Times New Roman" w:cs="Times New Roman"/>
          <w:sz w:val="28"/>
          <w:szCs w:val="28"/>
        </w:rPr>
        <w:t>135,3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 на оплату уличного освещения на территории поселения.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По сравнению с 1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171D9B">
        <w:rPr>
          <w:rFonts w:ascii="Times New Roman" w:hAnsi="Times New Roman" w:cs="Times New Roman"/>
          <w:sz w:val="28"/>
          <w:szCs w:val="28"/>
        </w:rPr>
        <w:t xml:space="preserve">полугодием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712A69">
        <w:rPr>
          <w:rFonts w:ascii="Times New Roman" w:hAnsi="Times New Roman" w:cs="Times New Roman"/>
          <w:sz w:val="28"/>
          <w:szCs w:val="28"/>
        </w:rPr>
        <w:t xml:space="preserve">года расходы </w:t>
      </w:r>
      <w:r w:rsidR="00B773D0">
        <w:rPr>
          <w:rFonts w:ascii="Times New Roman" w:hAnsi="Times New Roman" w:cs="Times New Roman"/>
          <w:sz w:val="28"/>
          <w:szCs w:val="28"/>
        </w:rPr>
        <w:t>выросли</w:t>
      </w:r>
      <w:r w:rsidR="00712A69">
        <w:rPr>
          <w:rFonts w:ascii="Times New Roman" w:hAnsi="Times New Roman" w:cs="Times New Roman"/>
          <w:sz w:val="28"/>
          <w:szCs w:val="28"/>
        </w:rPr>
        <w:t xml:space="preserve"> на  </w:t>
      </w:r>
      <w:r w:rsidR="00B773D0">
        <w:rPr>
          <w:rFonts w:ascii="Times New Roman" w:hAnsi="Times New Roman" w:cs="Times New Roman"/>
          <w:sz w:val="28"/>
          <w:szCs w:val="28"/>
        </w:rPr>
        <w:t xml:space="preserve">41,2 </w:t>
      </w:r>
      <w:r w:rsidR="00712A69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тыс. рублей (</w:t>
      </w:r>
      <w:r w:rsidR="00B773D0">
        <w:rPr>
          <w:rFonts w:ascii="Times New Roman" w:hAnsi="Times New Roman" w:cs="Times New Roman"/>
          <w:sz w:val="28"/>
          <w:szCs w:val="28"/>
        </w:rPr>
        <w:t>43,8</w:t>
      </w:r>
      <w:r w:rsidR="006C192E" w:rsidRPr="006C192E">
        <w:rPr>
          <w:rFonts w:ascii="Times New Roman" w:hAnsi="Times New Roman" w:cs="Times New Roman"/>
          <w:sz w:val="28"/>
          <w:szCs w:val="28"/>
        </w:rPr>
        <w:t>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«Образование»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>«Культура и  кинематография»</w:t>
      </w:r>
      <w:r w:rsidRPr="006C192E">
        <w:rPr>
          <w:rFonts w:ascii="Times New Roman" w:hAnsi="Times New Roman" w:cs="Times New Roman"/>
          <w:sz w:val="28"/>
          <w:szCs w:val="28"/>
        </w:rPr>
        <w:t>-</w:t>
      </w:r>
      <w:r w:rsidR="00B773D0">
        <w:rPr>
          <w:rFonts w:ascii="Times New Roman" w:hAnsi="Times New Roman" w:cs="Times New Roman"/>
          <w:sz w:val="28"/>
          <w:szCs w:val="28"/>
        </w:rPr>
        <w:t xml:space="preserve"> 426,0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B773D0">
        <w:rPr>
          <w:rFonts w:ascii="Times New Roman" w:hAnsi="Times New Roman" w:cs="Times New Roman"/>
          <w:sz w:val="28"/>
          <w:szCs w:val="28"/>
        </w:rPr>
        <w:t>33,3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назначениям. По сравнению с 1</w:t>
      </w:r>
      <w:r w:rsidR="00AF2B46">
        <w:rPr>
          <w:rFonts w:ascii="Times New Roman" w:hAnsi="Times New Roman" w:cs="Times New Roman"/>
          <w:sz w:val="28"/>
          <w:szCs w:val="28"/>
        </w:rPr>
        <w:t xml:space="preserve"> 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B773D0">
        <w:rPr>
          <w:rFonts w:ascii="Times New Roman" w:hAnsi="Times New Roman" w:cs="Times New Roman"/>
          <w:sz w:val="28"/>
          <w:szCs w:val="28"/>
        </w:rPr>
        <w:t>увеличились</w:t>
      </w:r>
      <w:r w:rsidRPr="006C192E">
        <w:rPr>
          <w:rFonts w:ascii="Times New Roman" w:hAnsi="Times New Roman" w:cs="Times New Roman"/>
          <w:sz w:val="28"/>
          <w:szCs w:val="28"/>
        </w:rPr>
        <w:t xml:space="preserve"> на  </w:t>
      </w:r>
      <w:r w:rsidR="00B773D0">
        <w:rPr>
          <w:rFonts w:ascii="Times New Roman" w:hAnsi="Times New Roman" w:cs="Times New Roman"/>
          <w:sz w:val="28"/>
          <w:szCs w:val="28"/>
        </w:rPr>
        <w:t>76,4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773D0">
        <w:rPr>
          <w:rFonts w:ascii="Times New Roman" w:hAnsi="Times New Roman" w:cs="Times New Roman"/>
          <w:sz w:val="28"/>
          <w:szCs w:val="28"/>
        </w:rPr>
        <w:t>21,8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Расходы по подразделу «Культура» составили </w:t>
      </w:r>
      <w:r w:rsidR="00B773D0">
        <w:rPr>
          <w:rFonts w:ascii="Times New Roman" w:hAnsi="Times New Roman" w:cs="Times New Roman"/>
          <w:sz w:val="28"/>
          <w:szCs w:val="28"/>
        </w:rPr>
        <w:t>426,0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773D0">
        <w:rPr>
          <w:rFonts w:ascii="Times New Roman" w:hAnsi="Times New Roman" w:cs="Times New Roman"/>
          <w:sz w:val="28"/>
          <w:szCs w:val="28"/>
        </w:rPr>
        <w:t>33,3</w:t>
      </w:r>
      <w:r w:rsidRPr="006C192E">
        <w:rPr>
          <w:rFonts w:ascii="Times New Roman" w:hAnsi="Times New Roman" w:cs="Times New Roman"/>
          <w:sz w:val="28"/>
          <w:szCs w:val="28"/>
        </w:rPr>
        <w:t>%), или  100 % от общих расходов раздела «Культура и кинематография». Расходы производились на финансовое обеспечение муниципального задания МБУК «</w:t>
      </w:r>
      <w:r w:rsidR="009B0A3B">
        <w:rPr>
          <w:rFonts w:ascii="Times New Roman" w:hAnsi="Times New Roman" w:cs="Times New Roman"/>
          <w:sz w:val="28"/>
          <w:szCs w:val="28"/>
        </w:rPr>
        <w:t>Туровецк</w:t>
      </w:r>
      <w:r w:rsidR="002677E6">
        <w:rPr>
          <w:rFonts w:ascii="Times New Roman" w:hAnsi="Times New Roman" w:cs="Times New Roman"/>
          <w:sz w:val="28"/>
          <w:szCs w:val="28"/>
        </w:rPr>
        <w:t>ий</w:t>
      </w:r>
      <w:r w:rsidRPr="006C192E">
        <w:rPr>
          <w:rFonts w:ascii="Times New Roman" w:hAnsi="Times New Roman" w:cs="Times New Roman"/>
          <w:sz w:val="28"/>
          <w:szCs w:val="28"/>
        </w:rPr>
        <w:t xml:space="preserve"> Дом культуры» в сумме </w:t>
      </w:r>
      <w:r w:rsidR="00B773D0">
        <w:rPr>
          <w:rFonts w:ascii="Times New Roman" w:hAnsi="Times New Roman" w:cs="Times New Roman"/>
          <w:sz w:val="28"/>
          <w:szCs w:val="28"/>
        </w:rPr>
        <w:t xml:space="preserve">426,0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lastRenderedPageBreak/>
        <w:t>«Социальная политика»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- расходы в 1 </w:t>
      </w:r>
      <w:r w:rsidR="00AF2B46">
        <w:rPr>
          <w:rFonts w:ascii="Times New Roman" w:hAnsi="Times New Roman" w:cs="Times New Roman"/>
          <w:sz w:val="28"/>
          <w:szCs w:val="28"/>
        </w:rPr>
        <w:t>полугодии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7</w:t>
      </w:r>
      <w:r w:rsidR="009B0A3B" w:rsidRPr="006C192E">
        <w:rPr>
          <w:rFonts w:ascii="Times New Roman" w:hAnsi="Times New Roman" w:cs="Times New Roman"/>
          <w:sz w:val="28"/>
          <w:szCs w:val="28"/>
        </w:rPr>
        <w:t xml:space="preserve"> года не осуществлялись.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i/>
          <w:sz w:val="28"/>
          <w:szCs w:val="28"/>
        </w:rPr>
        <w:t xml:space="preserve">         «Физическая культура и спорт»</w:t>
      </w:r>
      <w:r w:rsidRPr="006C192E">
        <w:rPr>
          <w:rFonts w:ascii="Times New Roman" w:hAnsi="Times New Roman" w:cs="Times New Roman"/>
          <w:sz w:val="28"/>
          <w:szCs w:val="28"/>
        </w:rPr>
        <w:t xml:space="preserve"> - </w:t>
      </w:r>
      <w:r w:rsidR="00B773D0">
        <w:rPr>
          <w:rFonts w:ascii="Times New Roman" w:hAnsi="Times New Roman" w:cs="Times New Roman"/>
          <w:sz w:val="28"/>
          <w:szCs w:val="28"/>
        </w:rPr>
        <w:t>438,2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</w:t>
      </w:r>
      <w:r w:rsidR="00AF2B4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рублей, или  </w:t>
      </w:r>
      <w:r w:rsidR="00B773D0">
        <w:rPr>
          <w:rFonts w:ascii="Times New Roman" w:hAnsi="Times New Roman" w:cs="Times New Roman"/>
          <w:sz w:val="28"/>
          <w:szCs w:val="28"/>
        </w:rPr>
        <w:t>60,9</w:t>
      </w:r>
      <w:r w:rsidRPr="006C192E">
        <w:rPr>
          <w:rFonts w:ascii="Times New Roman" w:hAnsi="Times New Roman" w:cs="Times New Roman"/>
          <w:sz w:val="28"/>
          <w:szCs w:val="28"/>
        </w:rPr>
        <w:t xml:space="preserve">% к годовым назначениям.  По сравнению с 1 </w:t>
      </w:r>
      <w:r w:rsidR="00AF2B46">
        <w:rPr>
          <w:rFonts w:ascii="Times New Roman" w:hAnsi="Times New Roman" w:cs="Times New Roman"/>
          <w:sz w:val="28"/>
          <w:szCs w:val="28"/>
        </w:rPr>
        <w:t>полугодием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 года расходы </w:t>
      </w:r>
      <w:r w:rsidR="00AF2B46">
        <w:rPr>
          <w:rFonts w:ascii="Times New Roman" w:hAnsi="Times New Roman" w:cs="Times New Roman"/>
          <w:sz w:val="28"/>
          <w:szCs w:val="28"/>
        </w:rPr>
        <w:t xml:space="preserve">увеличились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 </w:t>
      </w:r>
      <w:r w:rsidR="00B773D0">
        <w:rPr>
          <w:rFonts w:ascii="Times New Roman" w:hAnsi="Times New Roman" w:cs="Times New Roman"/>
          <w:sz w:val="28"/>
          <w:szCs w:val="28"/>
        </w:rPr>
        <w:t>9,4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773D0">
        <w:rPr>
          <w:rFonts w:ascii="Times New Roman" w:hAnsi="Times New Roman" w:cs="Times New Roman"/>
          <w:sz w:val="28"/>
          <w:szCs w:val="28"/>
        </w:rPr>
        <w:t>2,2</w:t>
      </w:r>
      <w:r w:rsidRPr="006C192E">
        <w:rPr>
          <w:rFonts w:ascii="Times New Roman" w:hAnsi="Times New Roman" w:cs="Times New Roman"/>
          <w:sz w:val="28"/>
          <w:szCs w:val="28"/>
        </w:rPr>
        <w:t>%).  Расходы производились на  финансовое обеспечение выполнения муниципального задания МБУ ФОК «</w:t>
      </w:r>
      <w:r w:rsidR="009B0A3B">
        <w:rPr>
          <w:rFonts w:ascii="Times New Roman" w:hAnsi="Times New Roman" w:cs="Times New Roman"/>
          <w:sz w:val="28"/>
          <w:szCs w:val="28"/>
        </w:rPr>
        <w:t>Олимп</w:t>
      </w:r>
      <w:r w:rsidRPr="006C192E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B773D0">
        <w:rPr>
          <w:rFonts w:ascii="Times New Roman" w:hAnsi="Times New Roman" w:cs="Times New Roman"/>
          <w:sz w:val="28"/>
          <w:szCs w:val="28"/>
        </w:rPr>
        <w:t>438,2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773D0">
        <w:rPr>
          <w:rFonts w:ascii="Times New Roman" w:hAnsi="Times New Roman" w:cs="Times New Roman"/>
          <w:sz w:val="28"/>
          <w:szCs w:val="28"/>
        </w:rPr>
        <w:t>.</w:t>
      </w:r>
      <w:r w:rsidR="009B0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92E">
        <w:rPr>
          <w:rFonts w:ascii="Times New Roman" w:hAnsi="Times New Roman" w:cs="Times New Roman"/>
          <w:sz w:val="28"/>
          <w:szCs w:val="28"/>
        </w:rPr>
        <w:t xml:space="preserve">В рамках проведения анализа исполнения бюджета поселения  за 1 </w:t>
      </w:r>
      <w:r w:rsidR="00AF2B46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органов местного самоуправления предоставлена следующими данными: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B773D0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единиц, на 01 </w:t>
      </w:r>
      <w:r w:rsidR="00AF2B46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38600E">
        <w:rPr>
          <w:rFonts w:ascii="Times New Roman" w:hAnsi="Times New Roman" w:cs="Times New Roman"/>
          <w:sz w:val="28"/>
          <w:szCs w:val="28"/>
        </w:rPr>
        <w:t>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="00B773D0">
        <w:rPr>
          <w:rFonts w:ascii="Times New Roman" w:hAnsi="Times New Roman" w:cs="Times New Roman"/>
          <w:sz w:val="28"/>
          <w:szCs w:val="28"/>
        </w:rPr>
        <w:t>Ш</w:t>
      </w:r>
      <w:r w:rsidR="005937E5">
        <w:rPr>
          <w:rFonts w:ascii="Times New Roman" w:hAnsi="Times New Roman" w:cs="Times New Roman"/>
          <w:sz w:val="28"/>
          <w:szCs w:val="28"/>
        </w:rPr>
        <w:t>татн</w:t>
      </w:r>
      <w:r w:rsidR="00B773D0">
        <w:rPr>
          <w:rFonts w:ascii="Times New Roman" w:hAnsi="Times New Roman" w:cs="Times New Roman"/>
          <w:sz w:val="28"/>
          <w:szCs w:val="28"/>
        </w:rPr>
        <w:t>ая</w:t>
      </w:r>
      <w:r w:rsidR="005937E5">
        <w:rPr>
          <w:rFonts w:ascii="Times New Roman" w:hAnsi="Times New Roman" w:cs="Times New Roman"/>
          <w:sz w:val="28"/>
          <w:szCs w:val="28"/>
        </w:rPr>
        <w:t xml:space="preserve"> численност</w:t>
      </w:r>
      <w:r w:rsidR="00B773D0">
        <w:rPr>
          <w:rFonts w:ascii="Times New Roman" w:hAnsi="Times New Roman" w:cs="Times New Roman"/>
          <w:sz w:val="28"/>
          <w:szCs w:val="28"/>
        </w:rPr>
        <w:t>ь</w:t>
      </w:r>
      <w:r w:rsidR="005937E5">
        <w:rPr>
          <w:rFonts w:ascii="Times New Roman" w:hAnsi="Times New Roman" w:cs="Times New Roman"/>
          <w:sz w:val="28"/>
          <w:szCs w:val="28"/>
        </w:rPr>
        <w:t xml:space="preserve"> служащих аппарата управления </w:t>
      </w:r>
      <w:r w:rsidR="00B773D0">
        <w:rPr>
          <w:rFonts w:ascii="Times New Roman" w:hAnsi="Times New Roman" w:cs="Times New Roman"/>
          <w:sz w:val="28"/>
          <w:szCs w:val="28"/>
        </w:rPr>
        <w:t>остается без изменений</w:t>
      </w:r>
      <w:r w:rsidR="005937E5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773D0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</w:t>
      </w:r>
      <w:r w:rsidR="005937E5">
        <w:rPr>
          <w:rFonts w:ascii="Times New Roman" w:hAnsi="Times New Roman" w:cs="Times New Roman"/>
          <w:sz w:val="28"/>
          <w:szCs w:val="28"/>
        </w:rPr>
        <w:t>а</w:t>
      </w:r>
      <w:r w:rsidRPr="006C192E">
        <w:rPr>
          <w:rFonts w:ascii="Times New Roman" w:hAnsi="Times New Roman" w:cs="Times New Roman"/>
          <w:sz w:val="28"/>
          <w:szCs w:val="28"/>
        </w:rPr>
        <w:t xml:space="preserve"> –</w:t>
      </w:r>
      <w:r w:rsidR="00BF648D">
        <w:rPr>
          <w:rFonts w:ascii="Times New Roman" w:hAnsi="Times New Roman" w:cs="Times New Roman"/>
          <w:sz w:val="28"/>
          <w:szCs w:val="28"/>
        </w:rPr>
        <w:t xml:space="preserve">  </w:t>
      </w:r>
      <w:r w:rsidR="00B773D0">
        <w:rPr>
          <w:rFonts w:ascii="Times New Roman" w:hAnsi="Times New Roman" w:cs="Times New Roman"/>
          <w:sz w:val="28"/>
          <w:szCs w:val="28"/>
        </w:rPr>
        <w:t>461,8</w:t>
      </w:r>
      <w:r w:rsidR="00BF648D">
        <w:rPr>
          <w:rFonts w:ascii="Times New Roman" w:hAnsi="Times New Roman" w:cs="Times New Roman"/>
          <w:sz w:val="28"/>
          <w:szCs w:val="28"/>
        </w:rPr>
        <w:t xml:space="preserve">  тыс.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BF648D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B773D0">
        <w:rPr>
          <w:rFonts w:ascii="Times New Roman" w:hAnsi="Times New Roman" w:cs="Times New Roman"/>
          <w:sz w:val="28"/>
          <w:szCs w:val="28"/>
        </w:rPr>
        <w:t>448,1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поселения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BF648D">
        <w:rPr>
          <w:rFonts w:ascii="Times New Roman" w:hAnsi="Times New Roman" w:cs="Times New Roman"/>
          <w:sz w:val="28"/>
          <w:szCs w:val="28"/>
        </w:rPr>
        <w:t>22,2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 от общего объема расходов.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="0038600E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расходов на оплату труда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работников органа местного самоуправления 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по сравнению с аналогичным периодом прошлого года на </w:t>
      </w:r>
      <w:r w:rsidR="00BF648D">
        <w:rPr>
          <w:rFonts w:ascii="Times New Roman" w:hAnsi="Times New Roman" w:cs="Times New Roman"/>
          <w:sz w:val="28"/>
          <w:szCs w:val="28"/>
        </w:rPr>
        <w:t>13,7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F648D">
        <w:rPr>
          <w:rFonts w:ascii="Times New Roman" w:hAnsi="Times New Roman" w:cs="Times New Roman"/>
          <w:sz w:val="28"/>
          <w:szCs w:val="28"/>
        </w:rPr>
        <w:t>3,0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648D">
        <w:rPr>
          <w:rFonts w:ascii="Times New Roman" w:hAnsi="Times New Roman" w:cs="Times New Roman"/>
          <w:sz w:val="28"/>
          <w:szCs w:val="28"/>
        </w:rPr>
        <w:t>.</w:t>
      </w:r>
      <w:r w:rsidR="0038600E" w:rsidRPr="006C19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Информация в отношении муниципальных учреждений представлена в следующей форме.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Число бюджетных организаций по состоянию на 01</w:t>
      </w:r>
      <w:r w:rsidR="005937E5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  2 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ч. финансируемых за счет собственных доходов  – 2),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BF648D">
        <w:rPr>
          <w:rFonts w:ascii="Times New Roman" w:hAnsi="Times New Roman" w:cs="Times New Roman"/>
          <w:sz w:val="28"/>
          <w:szCs w:val="28"/>
        </w:rPr>
        <w:t xml:space="preserve">7 </w:t>
      </w:r>
      <w:r w:rsidRPr="006C192E">
        <w:rPr>
          <w:rFonts w:ascii="Times New Roman" w:hAnsi="Times New Roman" w:cs="Times New Roman"/>
          <w:sz w:val="28"/>
          <w:szCs w:val="28"/>
        </w:rPr>
        <w:t>года – 2 (в т.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ч. финансируемых за счет собственных доходов – 2).</w:t>
      </w:r>
    </w:p>
    <w:p w:rsidR="0038600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1. Количество работников муниципальных учреждений по состоянию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составило</w:t>
      </w:r>
      <w:r w:rsidR="0038600E">
        <w:rPr>
          <w:rFonts w:ascii="Times New Roman" w:hAnsi="Times New Roman" w:cs="Times New Roman"/>
          <w:sz w:val="28"/>
          <w:szCs w:val="28"/>
        </w:rPr>
        <w:t xml:space="preserve"> 11 </w:t>
      </w:r>
      <w:r w:rsidRPr="006C192E">
        <w:rPr>
          <w:rFonts w:ascii="Times New Roman" w:hAnsi="Times New Roman" w:cs="Times New Roman"/>
          <w:sz w:val="28"/>
          <w:szCs w:val="28"/>
        </w:rPr>
        <w:t xml:space="preserve">шт. единиц, на 01 </w:t>
      </w:r>
      <w:r w:rsidR="005937E5">
        <w:rPr>
          <w:rFonts w:ascii="Times New Roman" w:hAnsi="Times New Roman" w:cs="Times New Roman"/>
          <w:sz w:val="28"/>
          <w:szCs w:val="28"/>
        </w:rPr>
        <w:t>июля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года –</w:t>
      </w:r>
      <w:r w:rsidR="00BF648D">
        <w:rPr>
          <w:rFonts w:ascii="Times New Roman" w:hAnsi="Times New Roman" w:cs="Times New Roman"/>
          <w:sz w:val="28"/>
          <w:szCs w:val="28"/>
        </w:rPr>
        <w:t>10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шт. единиц. Штатная численность работников муниципальных учреждений поселения на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>.201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в сравнении с 01.0</w:t>
      </w:r>
      <w:r w:rsidR="005937E5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>.201</w:t>
      </w:r>
      <w:r w:rsidR="00BF648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648D">
        <w:rPr>
          <w:rFonts w:ascii="Times New Roman" w:hAnsi="Times New Roman" w:cs="Times New Roman"/>
          <w:sz w:val="28"/>
          <w:szCs w:val="28"/>
        </w:rPr>
        <w:t>снизилась на 1 штатную единицу.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2. Фактический объем расходов на оплату труда муниципальных учреждений составил: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6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BF648D">
        <w:rPr>
          <w:rFonts w:ascii="Times New Roman" w:hAnsi="Times New Roman" w:cs="Times New Roman"/>
          <w:sz w:val="28"/>
          <w:szCs w:val="28"/>
        </w:rPr>
        <w:t>532,8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тыс. рублей;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- за 1 </w:t>
      </w:r>
      <w:r w:rsidR="005937E5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5937E5">
        <w:rPr>
          <w:rFonts w:ascii="Times New Roman" w:hAnsi="Times New Roman" w:cs="Times New Roman"/>
          <w:sz w:val="28"/>
          <w:szCs w:val="28"/>
        </w:rPr>
        <w:t xml:space="preserve"> </w:t>
      </w:r>
      <w:r w:rsidR="00BF648D">
        <w:rPr>
          <w:rFonts w:ascii="Times New Roman" w:hAnsi="Times New Roman" w:cs="Times New Roman"/>
          <w:sz w:val="28"/>
          <w:szCs w:val="28"/>
        </w:rPr>
        <w:t>539,9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662FC" w:rsidRDefault="008662FC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62FC" w:rsidRDefault="008662FC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Доля расходов на оплату труда работников муниципальных учреждений  в общей сумме расходов бюджета поселения  за 1 </w:t>
      </w:r>
      <w:r w:rsidR="005937E5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201</w:t>
      </w:r>
      <w:r w:rsidR="00BF648D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составила  </w:t>
      </w:r>
      <w:r w:rsidR="00BF648D">
        <w:rPr>
          <w:rFonts w:ascii="Times New Roman" w:hAnsi="Times New Roman" w:cs="Times New Roman"/>
          <w:sz w:val="28"/>
          <w:szCs w:val="28"/>
        </w:rPr>
        <w:t>26,7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5438B" w:rsidRDefault="006C192E" w:rsidP="008543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       Наблюдается </w:t>
      </w:r>
      <w:r w:rsidR="00BF648D">
        <w:rPr>
          <w:rFonts w:ascii="Times New Roman" w:hAnsi="Times New Roman" w:cs="Times New Roman"/>
          <w:sz w:val="28"/>
          <w:szCs w:val="28"/>
        </w:rPr>
        <w:t>увеличение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   расходов на оплату труда работников муниципальных учреждений  на </w:t>
      </w:r>
      <w:r w:rsidR="0085438B">
        <w:rPr>
          <w:rFonts w:ascii="Times New Roman" w:hAnsi="Times New Roman" w:cs="Times New Roman"/>
          <w:sz w:val="28"/>
          <w:szCs w:val="28"/>
        </w:rPr>
        <w:t>7,1</w:t>
      </w:r>
      <w:r w:rsidRPr="006C192E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85438B">
        <w:rPr>
          <w:rFonts w:ascii="Times New Roman" w:hAnsi="Times New Roman" w:cs="Times New Roman"/>
          <w:sz w:val="28"/>
          <w:szCs w:val="28"/>
        </w:rPr>
        <w:t>1,3</w:t>
      </w:r>
      <w:r w:rsidR="0038600E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5438B">
        <w:rPr>
          <w:rFonts w:ascii="Times New Roman" w:hAnsi="Times New Roman" w:cs="Times New Roman"/>
          <w:sz w:val="28"/>
          <w:szCs w:val="28"/>
        </w:rPr>
        <w:t>,</w:t>
      </w:r>
      <w:r w:rsidR="0085438B" w:rsidRPr="00854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438B">
        <w:rPr>
          <w:rFonts w:ascii="Times New Roman" w:eastAsia="Times New Roman" w:hAnsi="Times New Roman" w:cs="Times New Roman"/>
          <w:sz w:val="28"/>
          <w:szCs w:val="28"/>
        </w:rPr>
        <w:t>что связано с исполнением майских указов.</w:t>
      </w:r>
    </w:p>
    <w:p w:rsidR="0085438B" w:rsidRPr="00337168" w:rsidRDefault="006C192E" w:rsidP="0033716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.</w:t>
      </w:r>
    </w:p>
    <w:p w:rsidR="0085438B" w:rsidRPr="006C192E" w:rsidRDefault="0085438B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7797">
        <w:rPr>
          <w:rFonts w:ascii="Times New Roman" w:hAnsi="Times New Roman" w:cs="Times New Roman"/>
          <w:b/>
          <w:i/>
          <w:sz w:val="28"/>
          <w:szCs w:val="28"/>
        </w:rPr>
        <w:t>Дефицит бюджета поселения.</w:t>
      </w:r>
    </w:p>
    <w:p w:rsidR="00F8094F" w:rsidRPr="00447797" w:rsidRDefault="00F8094F" w:rsidP="006C192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662FC" w:rsidRPr="00447797" w:rsidRDefault="008662FC" w:rsidP="008662F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 принят без дефицита. В течение 1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полугодии</w:t>
      </w:r>
      <w:proofErr w:type="gramEnd"/>
      <w:r w:rsidRPr="0044779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47797">
        <w:rPr>
          <w:rFonts w:ascii="Times New Roman" w:hAnsi="Times New Roman" w:cs="Times New Roman"/>
          <w:sz w:val="28"/>
          <w:szCs w:val="28"/>
        </w:rPr>
        <w:t xml:space="preserve"> года изменения в бюджет поселения </w:t>
      </w:r>
      <w:r>
        <w:rPr>
          <w:rFonts w:ascii="Times New Roman" w:hAnsi="Times New Roman" w:cs="Times New Roman"/>
          <w:sz w:val="28"/>
          <w:szCs w:val="28"/>
        </w:rPr>
        <w:t>вносились два раза, бюджет принят без дефицита.</w:t>
      </w:r>
    </w:p>
    <w:p w:rsidR="008662FC" w:rsidRPr="009E58D8" w:rsidRDefault="008662FC" w:rsidP="008662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7797">
        <w:rPr>
          <w:rFonts w:ascii="Times New Roman" w:hAnsi="Times New Roman" w:cs="Times New Roman"/>
          <w:sz w:val="28"/>
          <w:szCs w:val="28"/>
        </w:rPr>
        <w:t xml:space="preserve">Бюджет поселения за 1 </w:t>
      </w:r>
      <w:r>
        <w:rPr>
          <w:rFonts w:ascii="Times New Roman" w:hAnsi="Times New Roman" w:cs="Times New Roman"/>
          <w:sz w:val="28"/>
          <w:szCs w:val="28"/>
        </w:rPr>
        <w:t>полугодие</w:t>
      </w:r>
      <w:r w:rsidRPr="00447797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 xml:space="preserve">7  года исполнен с профицитом </w:t>
      </w:r>
      <w:r w:rsidRPr="00447797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61,7 </w:t>
      </w:r>
      <w:r w:rsidRPr="00447797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662FC" w:rsidRDefault="008662FC" w:rsidP="008662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662FC" w:rsidRDefault="008662FC" w:rsidP="008662F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094F" w:rsidRDefault="00F8094F" w:rsidP="00F8094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192E">
        <w:rPr>
          <w:rFonts w:ascii="Times New Roman" w:hAnsi="Times New Roman" w:cs="Times New Roman"/>
          <w:b/>
          <w:bCs/>
          <w:i/>
          <w:sz w:val="28"/>
          <w:szCs w:val="28"/>
        </w:rPr>
        <w:t>Долговые обязательства бюджета поселения.</w:t>
      </w:r>
    </w:p>
    <w:p w:rsidR="006C192E" w:rsidRPr="006C192E" w:rsidRDefault="006C192E" w:rsidP="006C192E">
      <w:pPr>
        <w:pStyle w:val="ConsPlu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030F1" w:rsidRPr="006C192E" w:rsidRDefault="00A030F1" w:rsidP="00A030F1">
      <w:pPr>
        <w:pStyle w:val="1"/>
        <w:ind w:firstLine="709"/>
        <w:contextualSpacing/>
        <w:jc w:val="both"/>
        <w:rPr>
          <w:sz w:val="28"/>
          <w:szCs w:val="28"/>
        </w:rPr>
      </w:pPr>
      <w:r w:rsidRPr="006C192E">
        <w:rPr>
          <w:sz w:val="28"/>
          <w:szCs w:val="28"/>
        </w:rPr>
        <w:t xml:space="preserve">Решением Совета поселения </w:t>
      </w:r>
      <w:r>
        <w:rPr>
          <w:sz w:val="28"/>
          <w:szCs w:val="28"/>
        </w:rPr>
        <w:t>Туровецкое</w:t>
      </w:r>
      <w:r w:rsidRPr="006C192E">
        <w:rPr>
          <w:sz w:val="28"/>
          <w:szCs w:val="28"/>
        </w:rPr>
        <w:t xml:space="preserve"> от 2</w:t>
      </w:r>
      <w:r>
        <w:rPr>
          <w:sz w:val="28"/>
          <w:szCs w:val="28"/>
        </w:rPr>
        <w:t>6</w:t>
      </w:r>
      <w:r w:rsidRPr="006C192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 xml:space="preserve">6 </w:t>
      </w:r>
      <w:r w:rsidRPr="006C192E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78</w:t>
      </w:r>
      <w:r w:rsidRPr="006C192E">
        <w:rPr>
          <w:sz w:val="28"/>
          <w:szCs w:val="28"/>
        </w:rPr>
        <w:t xml:space="preserve"> установлен верхний предел муниципального внутреннего долга поселения по состоянию на 1 января 201</w:t>
      </w:r>
      <w:r>
        <w:rPr>
          <w:sz w:val="28"/>
          <w:szCs w:val="28"/>
        </w:rPr>
        <w:t>8</w:t>
      </w:r>
      <w:r w:rsidRPr="006C192E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6C192E">
        <w:rPr>
          <w:sz w:val="28"/>
          <w:szCs w:val="28"/>
        </w:rPr>
        <w:t xml:space="preserve"> тыс. рублей.</w:t>
      </w:r>
    </w:p>
    <w:p w:rsidR="00A030F1" w:rsidRPr="006C192E" w:rsidRDefault="00A030F1" w:rsidP="00A030F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В соответствии со статьей 107 Бюджетного кодекса Российской Федерации предельный объем муниципального внутреннего долга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A030F1" w:rsidRDefault="00A030F1" w:rsidP="00A030F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>В рамках утвержденного бюджета предоставление муниципальных гарантий в 201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</w:t>
      </w:r>
      <w:r w:rsidRPr="006C192E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году не запланировано.</w:t>
      </w:r>
    </w:p>
    <w:p w:rsidR="006C192E" w:rsidRDefault="006C192E" w:rsidP="009F311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8662FC" w:rsidRPr="006C192E" w:rsidRDefault="008662FC" w:rsidP="009F3115">
      <w:pPr>
        <w:shd w:val="clear" w:color="auto" w:fill="FFFFFF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6C192E" w:rsidRPr="000049B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pacing w:val="1"/>
          <w:sz w:val="28"/>
          <w:szCs w:val="28"/>
        </w:rPr>
      </w:pPr>
      <w:r w:rsidRPr="000049BE">
        <w:rPr>
          <w:rFonts w:ascii="Times New Roman" w:hAnsi="Times New Roman" w:cs="Times New Roman"/>
          <w:b/>
          <w:i/>
          <w:spacing w:val="1"/>
          <w:sz w:val="28"/>
          <w:szCs w:val="28"/>
        </w:rPr>
        <w:t>Кредиторская, дебиторская задолженность</w:t>
      </w:r>
      <w:r w:rsidRPr="000049BE">
        <w:rPr>
          <w:rFonts w:ascii="Times New Roman" w:hAnsi="Times New Roman" w:cs="Times New Roman"/>
          <w:spacing w:val="1"/>
          <w:sz w:val="28"/>
          <w:szCs w:val="28"/>
        </w:rPr>
        <w:tab/>
        <w:t>.</w:t>
      </w:r>
    </w:p>
    <w:p w:rsidR="006C192E" w:rsidRPr="000049BE" w:rsidRDefault="006C192E" w:rsidP="006C192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pacing w:val="1"/>
          <w:sz w:val="28"/>
          <w:szCs w:val="28"/>
        </w:rPr>
      </w:pPr>
    </w:p>
    <w:p w:rsid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49B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49BE">
        <w:rPr>
          <w:rFonts w:ascii="Times New Roman" w:hAnsi="Times New Roman" w:cs="Times New Roman"/>
          <w:sz w:val="28"/>
          <w:szCs w:val="28"/>
        </w:rPr>
        <w:t>Объем кредиторской задолженности по состоянию на 01 января 201</w:t>
      </w:r>
      <w:r w:rsidR="005B463C" w:rsidRPr="000049BE">
        <w:rPr>
          <w:rFonts w:ascii="Times New Roman" w:hAnsi="Times New Roman" w:cs="Times New Roman"/>
          <w:sz w:val="28"/>
          <w:szCs w:val="28"/>
        </w:rPr>
        <w:t>6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 </w:t>
      </w:r>
      <w:r w:rsidR="005B463C" w:rsidRPr="000049BE">
        <w:rPr>
          <w:rFonts w:ascii="Times New Roman" w:hAnsi="Times New Roman" w:cs="Times New Roman"/>
          <w:sz w:val="28"/>
          <w:szCs w:val="28"/>
        </w:rPr>
        <w:t>170,2</w:t>
      </w:r>
      <w:r w:rsidR="00767BF3" w:rsidRPr="000049BE">
        <w:rPr>
          <w:sz w:val="28"/>
          <w:szCs w:val="28"/>
        </w:rPr>
        <w:t xml:space="preserve"> </w:t>
      </w:r>
      <w:r w:rsidRPr="000049BE">
        <w:rPr>
          <w:rFonts w:ascii="Times New Roman" w:hAnsi="Times New Roman" w:cs="Times New Roman"/>
          <w:sz w:val="28"/>
          <w:szCs w:val="28"/>
        </w:rPr>
        <w:t xml:space="preserve">тыс. рублей, на 01  </w:t>
      </w:r>
      <w:r w:rsidR="00EC5CC1" w:rsidRPr="000049BE">
        <w:rPr>
          <w:rFonts w:ascii="Times New Roman" w:hAnsi="Times New Roman" w:cs="Times New Roman"/>
          <w:sz w:val="28"/>
          <w:szCs w:val="28"/>
        </w:rPr>
        <w:t>июля</w:t>
      </w:r>
      <w:r w:rsidRPr="000049BE">
        <w:rPr>
          <w:rFonts w:ascii="Times New Roman" w:hAnsi="Times New Roman" w:cs="Times New Roman"/>
          <w:sz w:val="28"/>
          <w:szCs w:val="28"/>
        </w:rPr>
        <w:t xml:space="preserve">  201</w:t>
      </w:r>
      <w:r w:rsidR="005B463C" w:rsidRPr="000049BE">
        <w:rPr>
          <w:rFonts w:ascii="Times New Roman" w:hAnsi="Times New Roman" w:cs="Times New Roman"/>
          <w:sz w:val="28"/>
          <w:szCs w:val="28"/>
        </w:rPr>
        <w:t>6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767BF3" w:rsidRPr="000049BE">
        <w:rPr>
          <w:rFonts w:ascii="Times New Roman" w:hAnsi="Times New Roman" w:cs="Times New Roman"/>
          <w:sz w:val="28"/>
          <w:szCs w:val="28"/>
        </w:rPr>
        <w:t xml:space="preserve"> </w:t>
      </w:r>
      <w:r w:rsidR="005B463C" w:rsidRPr="000049BE">
        <w:rPr>
          <w:rFonts w:ascii="Times New Roman" w:hAnsi="Times New Roman" w:cs="Times New Roman"/>
          <w:sz w:val="28"/>
          <w:szCs w:val="28"/>
        </w:rPr>
        <w:t>159,3</w:t>
      </w:r>
      <w:r w:rsidR="005036AD" w:rsidRPr="000049BE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Pr="000049BE">
        <w:rPr>
          <w:rFonts w:ascii="Times New Roman" w:hAnsi="Times New Roman" w:cs="Times New Roman"/>
          <w:sz w:val="28"/>
          <w:szCs w:val="28"/>
        </w:rPr>
        <w:t xml:space="preserve"> на 01 января 201</w:t>
      </w:r>
      <w:r w:rsidR="005B463C" w:rsidRPr="000049BE">
        <w:rPr>
          <w:rFonts w:ascii="Times New Roman" w:hAnsi="Times New Roman" w:cs="Times New Roman"/>
          <w:sz w:val="28"/>
          <w:szCs w:val="28"/>
        </w:rPr>
        <w:t>7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5B463C" w:rsidRPr="000049BE">
        <w:rPr>
          <w:rFonts w:ascii="Times New Roman" w:hAnsi="Times New Roman" w:cs="Times New Roman"/>
          <w:sz w:val="28"/>
          <w:szCs w:val="28"/>
        </w:rPr>
        <w:t>269,4 тыс. рублей (в том числе просроченной -61,5 тыс. рублей</w:t>
      </w:r>
      <w:r w:rsidRPr="000049BE">
        <w:rPr>
          <w:rFonts w:ascii="Times New Roman" w:hAnsi="Times New Roman" w:cs="Times New Roman"/>
          <w:sz w:val="28"/>
          <w:szCs w:val="28"/>
        </w:rPr>
        <w:t xml:space="preserve">), на 01 </w:t>
      </w:r>
      <w:r w:rsidR="005036AD" w:rsidRPr="000049BE">
        <w:rPr>
          <w:rFonts w:ascii="Times New Roman" w:hAnsi="Times New Roman" w:cs="Times New Roman"/>
          <w:sz w:val="28"/>
          <w:szCs w:val="28"/>
        </w:rPr>
        <w:t>июля</w:t>
      </w:r>
      <w:r w:rsidRPr="000049BE">
        <w:rPr>
          <w:rFonts w:ascii="Times New Roman" w:hAnsi="Times New Roman" w:cs="Times New Roman"/>
          <w:sz w:val="28"/>
          <w:szCs w:val="28"/>
        </w:rPr>
        <w:t xml:space="preserve"> 201</w:t>
      </w:r>
      <w:r w:rsidR="005B463C" w:rsidRPr="000049BE">
        <w:rPr>
          <w:rFonts w:ascii="Times New Roman" w:hAnsi="Times New Roman" w:cs="Times New Roman"/>
          <w:sz w:val="28"/>
          <w:szCs w:val="28"/>
        </w:rPr>
        <w:t>7</w:t>
      </w:r>
      <w:r w:rsidRPr="000049BE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44F24">
        <w:rPr>
          <w:rFonts w:ascii="Times New Roman" w:hAnsi="Times New Roman" w:cs="Times New Roman"/>
          <w:sz w:val="28"/>
          <w:szCs w:val="28"/>
        </w:rPr>
        <w:t>268,5</w:t>
      </w:r>
      <w:r w:rsidRPr="000049BE">
        <w:rPr>
          <w:rFonts w:ascii="Times New Roman" w:hAnsi="Times New Roman" w:cs="Times New Roman"/>
          <w:sz w:val="28"/>
          <w:szCs w:val="28"/>
        </w:rPr>
        <w:t xml:space="preserve"> тыс. рублей (в том числе просроченной -</w:t>
      </w:r>
      <w:r w:rsidR="005036AD" w:rsidRPr="000049BE">
        <w:rPr>
          <w:rFonts w:ascii="Times New Roman" w:hAnsi="Times New Roman" w:cs="Times New Roman"/>
          <w:sz w:val="28"/>
          <w:szCs w:val="28"/>
        </w:rPr>
        <w:t>0,0</w:t>
      </w:r>
      <w:r w:rsidR="00E44F24">
        <w:rPr>
          <w:rFonts w:ascii="Times New Roman" w:hAnsi="Times New Roman" w:cs="Times New Roman"/>
          <w:sz w:val="28"/>
          <w:szCs w:val="28"/>
        </w:rPr>
        <w:t xml:space="preserve"> тыс. рублей), в том числе:</w:t>
      </w:r>
      <w:proofErr w:type="gramEnd"/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коммунальные услуги -157,4 тыс. рублей;</w:t>
      </w:r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по содержанию муниципального имущества – 35,3 тыс. рублей;</w:t>
      </w:r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услуги – 42,8 тыс. рублей;</w:t>
      </w:r>
    </w:p>
    <w:p w:rsidR="00E44F24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материальные запасы – 17,4 тыс. рублей;</w:t>
      </w:r>
    </w:p>
    <w:p w:rsidR="00E44F24" w:rsidRPr="000049BE" w:rsidRDefault="00E44F24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передаваемые полномочия по внешнему финансовому контролю – 15,6 тыс. рублей.</w:t>
      </w:r>
    </w:p>
    <w:p w:rsidR="00FD5F32" w:rsidRPr="00B42571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571">
        <w:rPr>
          <w:rFonts w:ascii="Times New Roman" w:hAnsi="Times New Roman" w:cs="Times New Roman"/>
          <w:sz w:val="28"/>
          <w:szCs w:val="28"/>
        </w:rPr>
        <w:t>Объем кредиторской задолженности на начало 201</w:t>
      </w:r>
      <w:r w:rsidR="00B42571" w:rsidRPr="00B42571">
        <w:rPr>
          <w:rFonts w:ascii="Times New Roman" w:hAnsi="Times New Roman" w:cs="Times New Roman"/>
          <w:sz w:val="28"/>
          <w:szCs w:val="28"/>
        </w:rPr>
        <w:t>7</w:t>
      </w:r>
      <w:r w:rsidRPr="00B42571">
        <w:rPr>
          <w:rFonts w:ascii="Times New Roman" w:hAnsi="Times New Roman" w:cs="Times New Roman"/>
          <w:sz w:val="28"/>
          <w:szCs w:val="28"/>
        </w:rPr>
        <w:t xml:space="preserve"> года по сравнению с началом прошлого года </w:t>
      </w:r>
      <w:r w:rsidR="00B42571" w:rsidRPr="00B42571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Pr="00B42571">
        <w:rPr>
          <w:rFonts w:ascii="Times New Roman" w:hAnsi="Times New Roman" w:cs="Times New Roman"/>
          <w:sz w:val="28"/>
          <w:szCs w:val="28"/>
        </w:rPr>
        <w:t xml:space="preserve"> на </w:t>
      </w:r>
      <w:r w:rsidR="00B42571" w:rsidRPr="00B42571">
        <w:rPr>
          <w:rFonts w:ascii="Times New Roman" w:hAnsi="Times New Roman" w:cs="Times New Roman"/>
          <w:sz w:val="28"/>
          <w:szCs w:val="28"/>
        </w:rPr>
        <w:t>99,2</w:t>
      </w:r>
      <w:r w:rsidRPr="00B42571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на </w:t>
      </w:r>
      <w:r w:rsidR="00B42571" w:rsidRPr="00B42571">
        <w:rPr>
          <w:rFonts w:ascii="Times New Roman" w:hAnsi="Times New Roman" w:cs="Times New Roman"/>
          <w:sz w:val="28"/>
          <w:szCs w:val="28"/>
        </w:rPr>
        <w:t>58,3</w:t>
      </w:r>
      <w:r w:rsidR="00FD5F32" w:rsidRPr="00B42571">
        <w:rPr>
          <w:rFonts w:ascii="Times New Roman" w:hAnsi="Times New Roman" w:cs="Times New Roman"/>
          <w:sz w:val="28"/>
          <w:szCs w:val="28"/>
        </w:rPr>
        <w:t>%</w:t>
      </w:r>
      <w:r w:rsidRPr="00B42571">
        <w:rPr>
          <w:rFonts w:ascii="Times New Roman" w:hAnsi="Times New Roman" w:cs="Times New Roman"/>
          <w:sz w:val="28"/>
          <w:szCs w:val="28"/>
        </w:rPr>
        <w:t>. В ходе исполнения бюджета поселения за 1</w:t>
      </w:r>
      <w:r w:rsidR="00FD5F32" w:rsidRPr="00B42571">
        <w:rPr>
          <w:rFonts w:ascii="Times New Roman" w:hAnsi="Times New Roman" w:cs="Times New Roman"/>
          <w:sz w:val="28"/>
          <w:szCs w:val="28"/>
        </w:rPr>
        <w:t xml:space="preserve"> </w:t>
      </w:r>
      <w:r w:rsidR="005036AD" w:rsidRPr="00B42571">
        <w:rPr>
          <w:rFonts w:ascii="Times New Roman" w:hAnsi="Times New Roman" w:cs="Times New Roman"/>
          <w:sz w:val="28"/>
          <w:szCs w:val="28"/>
        </w:rPr>
        <w:t>полугодие</w:t>
      </w:r>
      <w:r w:rsidRPr="00B42571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B42571" w:rsidRPr="00B42571">
        <w:rPr>
          <w:rFonts w:ascii="Times New Roman" w:hAnsi="Times New Roman" w:cs="Times New Roman"/>
          <w:sz w:val="28"/>
          <w:szCs w:val="28"/>
        </w:rPr>
        <w:t>увеличился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 по сравнению с началом года на </w:t>
      </w:r>
      <w:r w:rsidR="00B42571" w:rsidRPr="00B42571">
        <w:rPr>
          <w:rFonts w:ascii="Times New Roman" w:hAnsi="Times New Roman" w:cs="Times New Roman"/>
          <w:sz w:val="28"/>
          <w:szCs w:val="28"/>
        </w:rPr>
        <w:t>109,2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B42571" w:rsidRPr="00B42571">
        <w:rPr>
          <w:rFonts w:ascii="Times New Roman" w:hAnsi="Times New Roman" w:cs="Times New Roman"/>
          <w:sz w:val="28"/>
          <w:szCs w:val="28"/>
        </w:rPr>
        <w:t>68,5%)</w:t>
      </w:r>
      <w:r w:rsidR="005036AD" w:rsidRPr="00B42571">
        <w:rPr>
          <w:rFonts w:ascii="Times New Roman" w:hAnsi="Times New Roman" w:cs="Times New Roman"/>
          <w:sz w:val="28"/>
          <w:szCs w:val="28"/>
        </w:rPr>
        <w:t xml:space="preserve">. </w:t>
      </w:r>
      <w:r w:rsidRPr="00B42571">
        <w:rPr>
          <w:rFonts w:ascii="Times New Roman" w:hAnsi="Times New Roman" w:cs="Times New Roman"/>
          <w:sz w:val="28"/>
          <w:szCs w:val="28"/>
        </w:rPr>
        <w:t>Наиболее значительная по объему задолженность за коммунальные услуги -</w:t>
      </w:r>
      <w:r w:rsidR="00B42571" w:rsidRPr="00B42571">
        <w:rPr>
          <w:rFonts w:ascii="Times New Roman" w:hAnsi="Times New Roman" w:cs="Times New Roman"/>
          <w:sz w:val="28"/>
          <w:szCs w:val="28"/>
        </w:rPr>
        <w:t>157,4 тыс. рублей.</w:t>
      </w:r>
    </w:p>
    <w:p w:rsidR="00B42571" w:rsidRDefault="00B42571" w:rsidP="000726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192E" w:rsidRPr="006C192E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2016</w:t>
      </w:r>
      <w:r w:rsidR="00FD5F32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 w:rsidR="00FD5F3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Данны</w:t>
      </w:r>
      <w:r w:rsidR="003E6A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дебиторской задолженности по состоянию на 01 июля 2017 года администрацией поселения не предоставлены.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0726C8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Выводы:</w:t>
      </w:r>
      <w:r w:rsidR="00FD5F32" w:rsidRPr="00FD5F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6C192E" w:rsidRPr="00026FCA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FCA">
        <w:rPr>
          <w:rFonts w:ascii="Times New Roman" w:hAnsi="Times New Roman" w:cs="Times New Roman"/>
          <w:sz w:val="28"/>
          <w:szCs w:val="28"/>
        </w:rPr>
        <w:t>1. Изменения в решение «О бюджете поселения на 201</w:t>
      </w:r>
      <w:r w:rsidR="009023F1" w:rsidRPr="00026FCA">
        <w:rPr>
          <w:rFonts w:ascii="Times New Roman" w:hAnsi="Times New Roman" w:cs="Times New Roman"/>
          <w:sz w:val="28"/>
          <w:szCs w:val="28"/>
        </w:rPr>
        <w:t xml:space="preserve">7 </w:t>
      </w:r>
      <w:r w:rsidRPr="00026FCA">
        <w:rPr>
          <w:rFonts w:ascii="Times New Roman" w:hAnsi="Times New Roman" w:cs="Times New Roman"/>
          <w:sz w:val="28"/>
          <w:szCs w:val="28"/>
        </w:rPr>
        <w:t>год</w:t>
      </w:r>
      <w:r w:rsidR="009023F1" w:rsidRPr="00026FCA">
        <w:rPr>
          <w:rFonts w:ascii="Times New Roman" w:hAnsi="Times New Roman" w:cs="Times New Roman"/>
          <w:sz w:val="28"/>
          <w:szCs w:val="28"/>
        </w:rPr>
        <w:t xml:space="preserve"> </w:t>
      </w:r>
      <w:r w:rsidR="000B637E" w:rsidRPr="00026FCA">
        <w:rPr>
          <w:rFonts w:ascii="Times New Roman" w:hAnsi="Times New Roman" w:cs="Times New Roman"/>
          <w:sz w:val="28"/>
          <w:szCs w:val="28"/>
        </w:rPr>
        <w:t>и плановый период 2018 и 2019 годы</w:t>
      </w:r>
      <w:r w:rsidRPr="00026FCA">
        <w:rPr>
          <w:rFonts w:ascii="Times New Roman" w:hAnsi="Times New Roman" w:cs="Times New Roman"/>
          <w:sz w:val="28"/>
          <w:szCs w:val="28"/>
        </w:rPr>
        <w:t xml:space="preserve">» в 1 </w:t>
      </w:r>
      <w:r w:rsidR="00CD2BA0" w:rsidRPr="00026FCA">
        <w:rPr>
          <w:rFonts w:ascii="Times New Roman" w:hAnsi="Times New Roman" w:cs="Times New Roman"/>
          <w:sz w:val="28"/>
          <w:szCs w:val="28"/>
        </w:rPr>
        <w:t>полугодии</w:t>
      </w:r>
      <w:r w:rsidRPr="00026FCA">
        <w:rPr>
          <w:rFonts w:ascii="Times New Roman" w:hAnsi="Times New Roman" w:cs="Times New Roman"/>
          <w:sz w:val="28"/>
          <w:szCs w:val="28"/>
        </w:rPr>
        <w:t xml:space="preserve">  201</w:t>
      </w:r>
      <w:r w:rsidR="000B637E" w:rsidRPr="00026FCA">
        <w:rPr>
          <w:rFonts w:ascii="Times New Roman" w:hAnsi="Times New Roman" w:cs="Times New Roman"/>
          <w:sz w:val="28"/>
          <w:szCs w:val="28"/>
        </w:rPr>
        <w:t>7</w:t>
      </w:r>
      <w:r w:rsidRPr="00026FCA">
        <w:rPr>
          <w:rFonts w:ascii="Times New Roman" w:hAnsi="Times New Roman" w:cs="Times New Roman"/>
          <w:sz w:val="28"/>
          <w:szCs w:val="28"/>
        </w:rPr>
        <w:t xml:space="preserve">  года </w:t>
      </w:r>
      <w:r w:rsidR="00CD2BA0" w:rsidRPr="00026FCA">
        <w:rPr>
          <w:rFonts w:ascii="Times New Roman" w:hAnsi="Times New Roman" w:cs="Times New Roman"/>
          <w:sz w:val="28"/>
          <w:szCs w:val="28"/>
        </w:rPr>
        <w:t xml:space="preserve">вносились </w:t>
      </w:r>
      <w:r w:rsidR="000B637E" w:rsidRPr="00026FCA">
        <w:rPr>
          <w:rFonts w:ascii="Times New Roman" w:hAnsi="Times New Roman" w:cs="Times New Roman"/>
          <w:sz w:val="28"/>
          <w:szCs w:val="28"/>
        </w:rPr>
        <w:t>два</w:t>
      </w:r>
      <w:r w:rsidR="00CD2BA0" w:rsidRPr="00026FCA">
        <w:rPr>
          <w:rFonts w:ascii="Times New Roman" w:hAnsi="Times New Roman" w:cs="Times New Roman"/>
          <w:sz w:val="28"/>
          <w:szCs w:val="28"/>
        </w:rPr>
        <w:t xml:space="preserve"> раз</w:t>
      </w:r>
      <w:r w:rsidR="000B637E" w:rsidRPr="00026FCA">
        <w:rPr>
          <w:rFonts w:ascii="Times New Roman" w:hAnsi="Times New Roman" w:cs="Times New Roman"/>
          <w:sz w:val="28"/>
          <w:szCs w:val="28"/>
        </w:rPr>
        <w:t>а</w:t>
      </w:r>
      <w:r w:rsidR="00A030F1">
        <w:rPr>
          <w:rFonts w:ascii="Times New Roman" w:hAnsi="Times New Roman" w:cs="Times New Roman"/>
          <w:sz w:val="28"/>
          <w:szCs w:val="28"/>
        </w:rPr>
        <w:t xml:space="preserve"> решениями </w:t>
      </w:r>
      <w:r w:rsidR="00D568D9" w:rsidRPr="00026FCA">
        <w:rPr>
          <w:rFonts w:ascii="Times New Roman" w:hAnsi="Times New Roman" w:cs="Times New Roman"/>
          <w:sz w:val="28"/>
          <w:szCs w:val="28"/>
        </w:rPr>
        <w:t xml:space="preserve">от </w:t>
      </w:r>
      <w:r w:rsidR="00026FCA" w:rsidRPr="00026FCA">
        <w:rPr>
          <w:rFonts w:ascii="Times New Roman" w:hAnsi="Times New Roman" w:cs="Times New Roman"/>
          <w:sz w:val="28"/>
          <w:szCs w:val="28"/>
        </w:rPr>
        <w:t>03.04.2017</w:t>
      </w:r>
      <w:r w:rsidR="00D568D9" w:rsidRPr="00026FC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026FCA" w:rsidRPr="00026FCA">
        <w:rPr>
          <w:rFonts w:ascii="Times New Roman" w:hAnsi="Times New Roman" w:cs="Times New Roman"/>
          <w:sz w:val="28"/>
          <w:szCs w:val="28"/>
        </w:rPr>
        <w:t>85 и от 16.06.2017 года №93</w:t>
      </w:r>
      <w:r w:rsidR="00D568D9" w:rsidRPr="00026FCA">
        <w:rPr>
          <w:rFonts w:ascii="Times New Roman" w:hAnsi="Times New Roman" w:cs="Times New Roman"/>
          <w:sz w:val="28"/>
          <w:szCs w:val="28"/>
        </w:rPr>
        <w:t>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2. За 1 </w:t>
      </w:r>
      <w:r w:rsidR="00D568D9">
        <w:rPr>
          <w:rFonts w:ascii="Times New Roman" w:hAnsi="Times New Roman" w:cs="Times New Roman"/>
          <w:sz w:val="28"/>
          <w:szCs w:val="28"/>
        </w:rPr>
        <w:t>полугодие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D1266E">
        <w:rPr>
          <w:rFonts w:ascii="Times New Roman" w:hAnsi="Times New Roman" w:cs="Times New Roman"/>
          <w:sz w:val="28"/>
          <w:szCs w:val="28"/>
        </w:rPr>
        <w:t>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года доходы бюджета поселения составили </w:t>
      </w:r>
      <w:r w:rsidR="00D1266E">
        <w:rPr>
          <w:rFonts w:ascii="Times New Roman" w:hAnsi="Times New Roman" w:cs="Times New Roman"/>
          <w:sz w:val="28"/>
          <w:szCs w:val="28"/>
        </w:rPr>
        <w:t>2084,0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1266E">
        <w:rPr>
          <w:rFonts w:ascii="Times New Roman" w:hAnsi="Times New Roman" w:cs="Times New Roman"/>
          <w:sz w:val="28"/>
          <w:szCs w:val="28"/>
        </w:rPr>
        <w:t>46,9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утвержденным годовым назначениям в сумме </w:t>
      </w:r>
      <w:r w:rsidR="00D1266E">
        <w:rPr>
          <w:rFonts w:ascii="Times New Roman" w:hAnsi="Times New Roman" w:cs="Times New Roman"/>
          <w:sz w:val="28"/>
          <w:szCs w:val="28"/>
        </w:rPr>
        <w:t>4446,8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в том числе налоговые и неналоговые доходы – </w:t>
      </w:r>
      <w:r w:rsidR="00D1266E">
        <w:rPr>
          <w:rFonts w:ascii="Times New Roman" w:hAnsi="Times New Roman" w:cs="Times New Roman"/>
          <w:sz w:val="28"/>
          <w:szCs w:val="28"/>
        </w:rPr>
        <w:t>89,7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1266E">
        <w:rPr>
          <w:rFonts w:ascii="Times New Roman" w:hAnsi="Times New Roman" w:cs="Times New Roman"/>
          <w:sz w:val="28"/>
          <w:szCs w:val="28"/>
        </w:rPr>
        <w:t>38,8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%), безвозмездные поступления – </w:t>
      </w:r>
      <w:r w:rsidR="00D1266E">
        <w:rPr>
          <w:rFonts w:ascii="Times New Roman" w:hAnsi="Times New Roman" w:cs="Times New Roman"/>
          <w:sz w:val="28"/>
          <w:szCs w:val="28"/>
        </w:rPr>
        <w:t>1994,3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1266E">
        <w:rPr>
          <w:rFonts w:ascii="Times New Roman" w:hAnsi="Times New Roman" w:cs="Times New Roman"/>
          <w:sz w:val="28"/>
          <w:szCs w:val="28"/>
        </w:rPr>
        <w:t>47,3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 земельный налог</w:t>
      </w:r>
      <w:r w:rsidR="00D568D9">
        <w:rPr>
          <w:rFonts w:ascii="Times New Roman" w:hAnsi="Times New Roman" w:cs="Times New Roman"/>
          <w:sz w:val="28"/>
          <w:szCs w:val="28"/>
        </w:rPr>
        <w:t xml:space="preserve"> и государственная пошлина,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доля которых в объеме налоговых и неналоговых доходов бюджета поселения составила </w:t>
      </w:r>
      <w:r w:rsidR="00D1266E">
        <w:rPr>
          <w:rFonts w:ascii="Times New Roman" w:hAnsi="Times New Roman" w:cs="Times New Roman"/>
          <w:sz w:val="28"/>
          <w:szCs w:val="28"/>
        </w:rPr>
        <w:t>96,0</w:t>
      </w:r>
      <w:r w:rsidR="00D568D9">
        <w:rPr>
          <w:rFonts w:ascii="Times New Roman" w:hAnsi="Times New Roman" w:cs="Times New Roman"/>
          <w:sz w:val="28"/>
          <w:szCs w:val="28"/>
        </w:rPr>
        <w:t xml:space="preserve"> 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В общем объеме доходов бюджета поселения доля налоговых и неналоговых доходов составила </w:t>
      </w:r>
      <w:r w:rsidR="00501B00">
        <w:rPr>
          <w:rFonts w:ascii="Times New Roman" w:hAnsi="Times New Roman" w:cs="Times New Roman"/>
          <w:sz w:val="28"/>
          <w:szCs w:val="28"/>
        </w:rPr>
        <w:t>4,3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%, доля безвозмездных поступлений – </w:t>
      </w:r>
      <w:r w:rsidR="00501B00">
        <w:rPr>
          <w:rFonts w:ascii="Times New Roman" w:hAnsi="Times New Roman" w:cs="Times New Roman"/>
          <w:sz w:val="28"/>
          <w:szCs w:val="28"/>
        </w:rPr>
        <w:t>95,7</w:t>
      </w:r>
      <w:r w:rsidRPr="006C192E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3. Расходы бюджета поселения исполнены в сумме  </w:t>
      </w:r>
      <w:r w:rsidR="00501B00">
        <w:rPr>
          <w:rFonts w:ascii="Times New Roman" w:hAnsi="Times New Roman" w:cs="Times New Roman"/>
          <w:sz w:val="28"/>
          <w:szCs w:val="28"/>
        </w:rPr>
        <w:t>2022,3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501B00">
        <w:rPr>
          <w:rFonts w:ascii="Times New Roman" w:hAnsi="Times New Roman" w:cs="Times New Roman"/>
          <w:sz w:val="28"/>
          <w:szCs w:val="28"/>
        </w:rPr>
        <w:t>45,5</w:t>
      </w:r>
      <w:r w:rsidRPr="006C192E">
        <w:rPr>
          <w:rFonts w:ascii="Times New Roman" w:hAnsi="Times New Roman" w:cs="Times New Roman"/>
          <w:sz w:val="28"/>
          <w:szCs w:val="28"/>
        </w:rPr>
        <w:t xml:space="preserve"> % к годовым назначениям в сумме  </w:t>
      </w:r>
      <w:r w:rsidR="00501B00">
        <w:rPr>
          <w:rFonts w:ascii="Times New Roman" w:hAnsi="Times New Roman" w:cs="Times New Roman"/>
          <w:sz w:val="28"/>
          <w:szCs w:val="28"/>
        </w:rPr>
        <w:t>4446,8</w:t>
      </w:r>
      <w:r w:rsidR="00BF0986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F0986" w:rsidRPr="006C192E" w:rsidRDefault="00D568D9" w:rsidP="00BF0986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C192E">
        <w:rPr>
          <w:rFonts w:ascii="Times New Roman" w:hAnsi="Times New Roman" w:cs="Times New Roman"/>
          <w:sz w:val="28"/>
          <w:szCs w:val="28"/>
        </w:rPr>
        <w:t xml:space="preserve">а социальную сферу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501B00">
        <w:rPr>
          <w:rFonts w:ascii="Times New Roman" w:hAnsi="Times New Roman" w:cs="Times New Roman"/>
          <w:sz w:val="28"/>
          <w:szCs w:val="28"/>
        </w:rPr>
        <w:t>864,2</w:t>
      </w:r>
      <w:r w:rsidRPr="006C192E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01B00">
        <w:rPr>
          <w:rFonts w:ascii="Times New Roman" w:hAnsi="Times New Roman" w:cs="Times New Roman"/>
          <w:sz w:val="28"/>
          <w:szCs w:val="28"/>
        </w:rPr>
        <w:t>43,3</w:t>
      </w:r>
      <w:r w:rsidRPr="006C192E">
        <w:rPr>
          <w:rFonts w:ascii="Times New Roman" w:hAnsi="Times New Roman" w:cs="Times New Roman"/>
          <w:sz w:val="28"/>
          <w:szCs w:val="28"/>
        </w:rPr>
        <w:t>% к утвержденным годовым назначениям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 w:rsidR="006C192E" w:rsidRPr="006C192E">
        <w:rPr>
          <w:rFonts w:ascii="Times New Roman" w:hAnsi="Times New Roman" w:cs="Times New Roman"/>
          <w:sz w:val="28"/>
          <w:szCs w:val="28"/>
        </w:rPr>
        <w:t>Не производилось финансирование расходов по разделам  «Национальная безопасность и правоохранительная деятельность», «Образование»</w:t>
      </w:r>
      <w:r w:rsidR="007541E0">
        <w:rPr>
          <w:rFonts w:ascii="Times New Roman" w:hAnsi="Times New Roman" w:cs="Times New Roman"/>
          <w:sz w:val="28"/>
          <w:szCs w:val="28"/>
        </w:rPr>
        <w:t xml:space="preserve"> </w:t>
      </w:r>
      <w:r w:rsidR="00BF0986">
        <w:rPr>
          <w:rFonts w:ascii="Times New Roman" w:hAnsi="Times New Roman" w:cs="Times New Roman"/>
          <w:sz w:val="28"/>
          <w:szCs w:val="28"/>
        </w:rPr>
        <w:t>и «Социальная политика»</w:t>
      </w:r>
      <w:r w:rsidR="006C192E" w:rsidRPr="006C192E">
        <w:rPr>
          <w:rFonts w:ascii="Times New Roman" w:hAnsi="Times New Roman" w:cs="Times New Roman"/>
          <w:sz w:val="28"/>
          <w:szCs w:val="28"/>
        </w:rPr>
        <w:t>.</w:t>
      </w:r>
    </w:p>
    <w:p w:rsidR="00501B00" w:rsidRPr="006C192E" w:rsidRDefault="00501B00" w:rsidP="00501B00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По раздел</w:t>
      </w:r>
      <w:r w:rsidR="00A030F1">
        <w:rPr>
          <w:rFonts w:ascii="Times New Roman" w:hAnsi="Times New Roman" w:cs="Times New Roman"/>
          <w:sz w:val="28"/>
          <w:szCs w:val="28"/>
        </w:rPr>
        <w:t>ам</w:t>
      </w:r>
      <w:r w:rsidRPr="006C192E">
        <w:rPr>
          <w:rFonts w:ascii="Times New Roman" w:hAnsi="Times New Roman" w:cs="Times New Roman"/>
          <w:sz w:val="28"/>
          <w:szCs w:val="28"/>
        </w:rPr>
        <w:t xml:space="preserve"> классификации расходов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экономика» 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Культура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кинематография» </w:t>
      </w:r>
      <w:r w:rsidRPr="006C192E">
        <w:rPr>
          <w:rFonts w:ascii="Times New Roman" w:hAnsi="Times New Roman" w:cs="Times New Roman"/>
          <w:sz w:val="28"/>
          <w:szCs w:val="28"/>
        </w:rPr>
        <w:t xml:space="preserve">уровень исполнения к годовым назначениям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Pr="006C19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50,0 процентов.</w:t>
      </w:r>
    </w:p>
    <w:p w:rsidR="00BF0986" w:rsidRPr="00BF0986" w:rsidRDefault="00BF0986" w:rsidP="00BF0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986">
        <w:rPr>
          <w:rFonts w:ascii="Times New Roman" w:hAnsi="Times New Roman" w:cs="Times New Roman"/>
          <w:sz w:val="28"/>
          <w:szCs w:val="28"/>
        </w:rPr>
        <w:t xml:space="preserve">    </w:t>
      </w:r>
      <w:r w:rsidR="00A030F1">
        <w:rPr>
          <w:rFonts w:ascii="Times New Roman" w:hAnsi="Times New Roman" w:cs="Times New Roman"/>
          <w:sz w:val="28"/>
          <w:szCs w:val="28"/>
        </w:rPr>
        <w:t xml:space="preserve"> </w:t>
      </w:r>
      <w:r w:rsidRPr="00BF0986">
        <w:rPr>
          <w:rFonts w:ascii="Times New Roman" w:hAnsi="Times New Roman" w:cs="Times New Roman"/>
          <w:sz w:val="28"/>
          <w:szCs w:val="28"/>
        </w:rPr>
        <w:t xml:space="preserve">   </w:t>
      </w:r>
      <w:r w:rsidR="00A030F1">
        <w:rPr>
          <w:rFonts w:ascii="Times New Roman" w:hAnsi="Times New Roman" w:cs="Times New Roman"/>
          <w:sz w:val="28"/>
          <w:szCs w:val="28"/>
        </w:rPr>
        <w:t>4.</w:t>
      </w:r>
      <w:r w:rsidRPr="00BF0986">
        <w:rPr>
          <w:rFonts w:ascii="Times New Roman" w:hAnsi="Times New Roman" w:cs="Times New Roman"/>
          <w:sz w:val="28"/>
          <w:szCs w:val="28"/>
        </w:rPr>
        <w:t xml:space="preserve">В нарушение принятых соглашений поселением не перечислялись денежные средства по передаваемым полномочиям  в части, внешнего  муниципального финансового контроля. </w:t>
      </w:r>
      <w:r w:rsidR="002677E6">
        <w:rPr>
          <w:rFonts w:ascii="Times New Roman" w:hAnsi="Times New Roman" w:cs="Times New Roman"/>
          <w:sz w:val="28"/>
          <w:szCs w:val="28"/>
        </w:rPr>
        <w:t xml:space="preserve">Сумма не перечисленных средств по  передаваемым полномочиям составила </w:t>
      </w:r>
      <w:r w:rsidR="005A050E">
        <w:rPr>
          <w:rFonts w:ascii="Times New Roman" w:hAnsi="Times New Roman" w:cs="Times New Roman"/>
          <w:sz w:val="28"/>
          <w:szCs w:val="28"/>
        </w:rPr>
        <w:t>15,6 тыс.</w:t>
      </w:r>
      <w:r w:rsidR="002677E6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6C192E" w:rsidRPr="009E5DC7" w:rsidRDefault="00A030F1" w:rsidP="006C192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192E" w:rsidRPr="009E5DC7">
        <w:rPr>
          <w:rFonts w:ascii="Times New Roman" w:hAnsi="Times New Roman" w:cs="Times New Roman"/>
          <w:sz w:val="28"/>
          <w:szCs w:val="28"/>
        </w:rPr>
        <w:t>. При  сравнении задолженности по  налоговым платежам  по состоянию на 01.0</w:t>
      </w:r>
      <w:r w:rsidR="00E56BCB" w:rsidRPr="009E5DC7">
        <w:rPr>
          <w:rFonts w:ascii="Times New Roman" w:hAnsi="Times New Roman" w:cs="Times New Roman"/>
          <w:sz w:val="28"/>
          <w:szCs w:val="28"/>
        </w:rPr>
        <w:t>7</w:t>
      </w:r>
      <w:r w:rsidR="006C192E" w:rsidRPr="009E5DC7">
        <w:rPr>
          <w:rFonts w:ascii="Times New Roman" w:hAnsi="Times New Roman" w:cs="Times New Roman"/>
          <w:sz w:val="28"/>
          <w:szCs w:val="28"/>
        </w:rPr>
        <w:t>.201</w:t>
      </w:r>
      <w:r w:rsidR="009E5DC7" w:rsidRPr="009E5DC7">
        <w:rPr>
          <w:rFonts w:ascii="Times New Roman" w:hAnsi="Times New Roman" w:cs="Times New Roman"/>
          <w:sz w:val="28"/>
          <w:szCs w:val="28"/>
        </w:rPr>
        <w:t>7</w:t>
      </w:r>
      <w:r w:rsidR="006C192E" w:rsidRPr="009E5DC7">
        <w:rPr>
          <w:rFonts w:ascii="Times New Roman" w:hAnsi="Times New Roman" w:cs="Times New Roman"/>
          <w:sz w:val="28"/>
          <w:szCs w:val="28"/>
        </w:rPr>
        <w:t xml:space="preserve"> года с аналогичным периодом 201</w:t>
      </w:r>
      <w:r w:rsidR="009E5DC7" w:rsidRPr="009E5DC7">
        <w:rPr>
          <w:rFonts w:ascii="Times New Roman" w:hAnsi="Times New Roman" w:cs="Times New Roman"/>
          <w:sz w:val="28"/>
          <w:szCs w:val="28"/>
        </w:rPr>
        <w:t>6</w:t>
      </w:r>
      <w:r w:rsidR="006C192E" w:rsidRPr="009E5DC7">
        <w:rPr>
          <w:rFonts w:ascii="Times New Roman" w:hAnsi="Times New Roman" w:cs="Times New Roman"/>
          <w:sz w:val="28"/>
          <w:szCs w:val="28"/>
        </w:rPr>
        <w:t xml:space="preserve"> года   произошло увеличение  на </w:t>
      </w:r>
      <w:r w:rsidR="009E5DC7" w:rsidRPr="009E5DC7">
        <w:rPr>
          <w:rFonts w:ascii="Times New Roman" w:hAnsi="Times New Roman" w:cs="Times New Roman"/>
          <w:sz w:val="28"/>
          <w:szCs w:val="28"/>
        </w:rPr>
        <w:t xml:space="preserve">24,8 тыс. рублей, или  на 70,0%, </w:t>
      </w:r>
      <w:r w:rsidR="006C192E" w:rsidRPr="009E5DC7">
        <w:rPr>
          <w:rFonts w:ascii="Times New Roman" w:hAnsi="Times New Roman" w:cs="Times New Roman"/>
          <w:sz w:val="28"/>
          <w:szCs w:val="28"/>
        </w:rPr>
        <w:t>в том числе в разрезе налоговых источников:</w:t>
      </w:r>
      <w:r w:rsidR="00E56BCB" w:rsidRPr="009E5D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DC7" w:rsidRPr="006C192E" w:rsidRDefault="009E5DC7" w:rsidP="009E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по налогу на имущество физических лиц на </w:t>
      </w:r>
      <w:r>
        <w:rPr>
          <w:rFonts w:ascii="Times New Roman" w:hAnsi="Times New Roman" w:cs="Times New Roman"/>
          <w:color w:val="000000"/>
          <w:sz w:val="28"/>
          <w:szCs w:val="28"/>
        </w:rPr>
        <w:t>24,3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color w:val="000000"/>
          <w:sz w:val="28"/>
          <w:szCs w:val="28"/>
        </w:rPr>
        <w:t>на 86,5 процента</w:t>
      </w:r>
      <w:r w:rsidRPr="006C19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E5DC7" w:rsidRPr="0046107B" w:rsidRDefault="009E5DC7" w:rsidP="009E5DC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hAnsi="Times New Roman" w:cs="Times New Roman"/>
          <w:sz w:val="28"/>
          <w:szCs w:val="28"/>
        </w:rPr>
        <w:t>- по земельному налогу на  1,3 тыс. рублей, или на 21,0 процента;</w:t>
      </w:r>
    </w:p>
    <w:p w:rsidR="006C192E" w:rsidRPr="009E5DC7" w:rsidRDefault="009E5DC7" w:rsidP="009E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107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46107B">
        <w:rPr>
          <w:rFonts w:ascii="Times New Roman" w:hAnsi="Times New Roman" w:cs="Times New Roman"/>
          <w:sz w:val="28"/>
          <w:szCs w:val="28"/>
        </w:rPr>
        <w:t xml:space="preserve">   - по НДФЛ  снижение на 0,8 тыс.</w:t>
      </w:r>
      <w:r>
        <w:rPr>
          <w:rFonts w:ascii="Times New Roman" w:hAnsi="Times New Roman" w:cs="Times New Roman"/>
          <w:sz w:val="28"/>
          <w:szCs w:val="28"/>
        </w:rPr>
        <w:t xml:space="preserve"> рублей, или на 67,0 процентов.</w:t>
      </w:r>
    </w:p>
    <w:p w:rsidR="006C192E" w:rsidRPr="006C192E" w:rsidRDefault="00A030F1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. За 1 </w:t>
      </w:r>
      <w:r w:rsidR="00E56BCB">
        <w:rPr>
          <w:rFonts w:ascii="Times New Roman" w:hAnsi="Times New Roman" w:cs="Times New Roman"/>
          <w:sz w:val="28"/>
          <w:szCs w:val="28"/>
        </w:rPr>
        <w:t xml:space="preserve">полугодие 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201</w:t>
      </w:r>
      <w:r w:rsidR="009E5DC7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года бюджет поселения исполнен с </w:t>
      </w:r>
      <w:r w:rsidR="009E5DC7">
        <w:rPr>
          <w:rFonts w:ascii="Times New Roman" w:hAnsi="Times New Roman" w:cs="Times New Roman"/>
          <w:sz w:val="28"/>
          <w:szCs w:val="28"/>
        </w:rPr>
        <w:t>профицитом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 в сумме  </w:t>
      </w:r>
      <w:r w:rsidR="009E5DC7">
        <w:rPr>
          <w:rFonts w:ascii="Times New Roman" w:hAnsi="Times New Roman" w:cs="Times New Roman"/>
          <w:sz w:val="28"/>
          <w:szCs w:val="28"/>
        </w:rPr>
        <w:t>61,7</w:t>
      </w:r>
      <w:r w:rsidR="006C192E" w:rsidRPr="006C192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9E5DC7" w:rsidRPr="00B42571" w:rsidRDefault="00E153A5" w:rsidP="00E153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030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30F1">
        <w:rPr>
          <w:rFonts w:ascii="Times New Roman" w:hAnsi="Times New Roman" w:cs="Times New Roman"/>
          <w:sz w:val="28"/>
          <w:szCs w:val="28"/>
        </w:rPr>
        <w:t>7</w:t>
      </w:r>
      <w:r w:rsidR="006C192E" w:rsidRPr="006C192E">
        <w:rPr>
          <w:rFonts w:ascii="Times New Roman" w:hAnsi="Times New Roman" w:cs="Times New Roman"/>
          <w:sz w:val="28"/>
          <w:szCs w:val="28"/>
        </w:rPr>
        <w:t>.</w:t>
      </w:r>
      <w:r w:rsidR="006808A9" w:rsidRPr="006C19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631B" w:rsidRPr="006C192E">
        <w:rPr>
          <w:rFonts w:ascii="Times New Roman" w:hAnsi="Times New Roman" w:cs="Times New Roman"/>
          <w:sz w:val="28"/>
          <w:szCs w:val="28"/>
        </w:rPr>
        <w:t>В ходе исполнения бюджета поселения за 1</w:t>
      </w:r>
      <w:r w:rsidR="003D631B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3D631B" w:rsidRPr="006C192E">
        <w:rPr>
          <w:rFonts w:ascii="Times New Roman" w:hAnsi="Times New Roman" w:cs="Times New Roman"/>
          <w:sz w:val="28"/>
          <w:szCs w:val="28"/>
        </w:rPr>
        <w:t xml:space="preserve"> текущего года объем кредиторской задолженности </w:t>
      </w:r>
      <w:r w:rsidR="009E5DC7">
        <w:rPr>
          <w:rFonts w:ascii="Times New Roman" w:hAnsi="Times New Roman" w:cs="Times New Roman"/>
          <w:sz w:val="28"/>
          <w:szCs w:val="28"/>
        </w:rPr>
        <w:t>увеличилась</w:t>
      </w:r>
      <w:r w:rsidR="003D631B">
        <w:rPr>
          <w:rFonts w:ascii="Times New Roman" w:hAnsi="Times New Roman" w:cs="Times New Roman"/>
          <w:sz w:val="28"/>
          <w:szCs w:val="28"/>
        </w:rPr>
        <w:t xml:space="preserve"> по сравнению с началом года на </w:t>
      </w:r>
      <w:r w:rsidR="009E5DC7">
        <w:rPr>
          <w:rFonts w:ascii="Times New Roman" w:hAnsi="Times New Roman" w:cs="Times New Roman"/>
          <w:sz w:val="28"/>
          <w:szCs w:val="28"/>
        </w:rPr>
        <w:t>109,2</w:t>
      </w:r>
      <w:r w:rsidR="003D631B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9E5DC7">
        <w:rPr>
          <w:rFonts w:ascii="Times New Roman" w:hAnsi="Times New Roman" w:cs="Times New Roman"/>
          <w:sz w:val="28"/>
          <w:szCs w:val="28"/>
        </w:rPr>
        <w:t>68,5%)</w:t>
      </w:r>
      <w:r>
        <w:rPr>
          <w:rFonts w:ascii="Times New Roman" w:hAnsi="Times New Roman" w:cs="Times New Roman"/>
          <w:sz w:val="28"/>
          <w:szCs w:val="28"/>
        </w:rPr>
        <w:t>,</w:t>
      </w:r>
      <w:r w:rsidR="00A030F1">
        <w:rPr>
          <w:rFonts w:ascii="Times New Roman" w:hAnsi="Times New Roman" w:cs="Times New Roman"/>
          <w:sz w:val="28"/>
          <w:szCs w:val="28"/>
        </w:rPr>
        <w:t xml:space="preserve"> сумма задолженности составила </w:t>
      </w:r>
      <w:r w:rsidR="003E6A36">
        <w:rPr>
          <w:rFonts w:ascii="Times New Roman" w:hAnsi="Times New Roman" w:cs="Times New Roman"/>
          <w:sz w:val="28"/>
          <w:szCs w:val="28"/>
        </w:rPr>
        <w:t>268,5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в том числе:</w:t>
      </w:r>
      <w:r w:rsidR="00B23334" w:rsidRPr="006C192E">
        <w:rPr>
          <w:rFonts w:ascii="Times New Roman" w:hAnsi="Times New Roman" w:cs="Times New Roman"/>
          <w:sz w:val="28"/>
          <w:szCs w:val="28"/>
        </w:rPr>
        <w:t xml:space="preserve"> коммунальные услуги -</w:t>
      </w:r>
      <w:r>
        <w:rPr>
          <w:rFonts w:ascii="Times New Roman" w:hAnsi="Times New Roman" w:cs="Times New Roman"/>
          <w:sz w:val="28"/>
          <w:szCs w:val="28"/>
        </w:rPr>
        <w:t>157,4</w:t>
      </w:r>
      <w:r w:rsidR="00B23334" w:rsidRPr="006C192E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услуги по содержанию муниципального имущества – 35,3 тыс. рублей, прочие услуги – 42,8 тыс. рублей, за материальные запасы – 17,4 тыс. рублей, передаваемые полномочия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внешнему финансовому контролю – 15,6 тыс. рублей.</w:t>
      </w:r>
    </w:p>
    <w:p w:rsidR="009E5DC7" w:rsidRDefault="009E5DC7" w:rsidP="009E5D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92E">
        <w:rPr>
          <w:rFonts w:ascii="Times New Roman" w:hAnsi="Times New Roman" w:cs="Times New Roman"/>
          <w:sz w:val="28"/>
          <w:szCs w:val="28"/>
        </w:rPr>
        <w:t>Объем дебиторской задолженности по состоянию  на 01 января 2016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 xml:space="preserve">года  составил </w:t>
      </w:r>
      <w:r>
        <w:rPr>
          <w:rFonts w:ascii="Times New Roman" w:hAnsi="Times New Roman" w:cs="Times New Roman"/>
          <w:sz w:val="28"/>
          <w:szCs w:val="28"/>
        </w:rPr>
        <w:t>0,0 тыс. рублей. Данны</w:t>
      </w:r>
      <w:r w:rsidR="003E6A36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дебиторской задолженности по состоянию на 01 июля 2017 года администрацией поселения не предоставлены.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53A5" w:rsidRPr="00FA57E7" w:rsidRDefault="006C192E" w:rsidP="00FA57E7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92E">
        <w:rPr>
          <w:rFonts w:ascii="Times New Roman" w:hAnsi="Times New Roman" w:cs="Times New Roman"/>
          <w:b/>
          <w:sz w:val="28"/>
          <w:szCs w:val="28"/>
        </w:rPr>
        <w:t>Рекомендации администрации поселения:</w:t>
      </w:r>
    </w:p>
    <w:p w:rsidR="006C192E" w:rsidRPr="006C192E" w:rsidRDefault="006C192E" w:rsidP="006C192E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0BF2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50BF2">
        <w:rPr>
          <w:rFonts w:ascii="Times New Roman" w:hAnsi="Times New Roman" w:cs="Times New Roman"/>
          <w:sz w:val="28"/>
          <w:szCs w:val="28"/>
        </w:rPr>
        <w:t>1</w:t>
      </w:r>
      <w:r w:rsidR="00D440AD" w:rsidRPr="00B25CE4">
        <w:rPr>
          <w:rFonts w:ascii="Times New Roman" w:hAnsi="Times New Roman" w:cs="Times New Roman"/>
          <w:sz w:val="28"/>
          <w:szCs w:val="28"/>
        </w:rPr>
        <w:t xml:space="preserve">. </w:t>
      </w:r>
      <w:r w:rsidR="00D440AD">
        <w:rPr>
          <w:rFonts w:ascii="Times New Roman" w:hAnsi="Times New Roman" w:cs="Times New Roman"/>
          <w:sz w:val="28"/>
          <w:szCs w:val="28"/>
        </w:rPr>
        <w:t>Устр</w:t>
      </w:r>
      <w:r w:rsidR="00450BF2">
        <w:rPr>
          <w:rFonts w:ascii="Times New Roman" w:hAnsi="Times New Roman" w:cs="Times New Roman"/>
          <w:sz w:val="28"/>
          <w:szCs w:val="28"/>
        </w:rPr>
        <w:t xml:space="preserve">анить ошибки в Приложениях 1,2 </w:t>
      </w:r>
      <w:r w:rsidR="00D440AD">
        <w:rPr>
          <w:rFonts w:ascii="Times New Roman" w:hAnsi="Times New Roman" w:cs="Times New Roman"/>
          <w:sz w:val="28"/>
          <w:szCs w:val="28"/>
        </w:rPr>
        <w:t>к постановлению</w:t>
      </w:r>
      <w:r w:rsidR="00450BF2">
        <w:rPr>
          <w:rFonts w:ascii="Times New Roman" w:hAnsi="Times New Roman" w:cs="Times New Roman"/>
          <w:sz w:val="28"/>
          <w:szCs w:val="28"/>
        </w:rPr>
        <w:t xml:space="preserve"> от 10.08.2017 года №22</w:t>
      </w:r>
      <w:r w:rsidR="00D440AD">
        <w:rPr>
          <w:rFonts w:ascii="Times New Roman" w:hAnsi="Times New Roman" w:cs="Times New Roman"/>
          <w:sz w:val="28"/>
          <w:szCs w:val="28"/>
        </w:rPr>
        <w:t>, указанные в тексте заключения.</w:t>
      </w:r>
    </w:p>
    <w:p w:rsidR="004C1E53" w:rsidRPr="001A0077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C1E53">
        <w:rPr>
          <w:rFonts w:ascii="Times New Roman" w:hAnsi="Times New Roman" w:cs="Times New Roman"/>
          <w:sz w:val="28"/>
          <w:szCs w:val="28"/>
        </w:rPr>
        <w:t xml:space="preserve">2. 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Принять все меры по погашению задолженности в части  передаваемых полномочий  </w:t>
      </w:r>
      <w:r w:rsidR="00450BF2">
        <w:rPr>
          <w:rFonts w:ascii="Times New Roman" w:hAnsi="Times New Roman" w:cs="Times New Roman"/>
          <w:sz w:val="28"/>
          <w:szCs w:val="28"/>
        </w:rPr>
        <w:t xml:space="preserve">по </w:t>
      </w:r>
      <w:r w:rsidR="004C1E53" w:rsidRPr="001A0077">
        <w:rPr>
          <w:rFonts w:ascii="Times New Roman" w:hAnsi="Times New Roman" w:cs="Times New Roman"/>
          <w:sz w:val="28"/>
          <w:szCs w:val="28"/>
        </w:rPr>
        <w:t>вн</w:t>
      </w:r>
      <w:r w:rsidR="008662FC">
        <w:rPr>
          <w:rFonts w:ascii="Times New Roman" w:hAnsi="Times New Roman" w:cs="Times New Roman"/>
          <w:sz w:val="28"/>
          <w:szCs w:val="28"/>
        </w:rPr>
        <w:t>ешнему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 </w:t>
      </w:r>
      <w:r w:rsidR="00450BF2">
        <w:rPr>
          <w:rFonts w:ascii="Times New Roman" w:hAnsi="Times New Roman" w:cs="Times New Roman"/>
          <w:sz w:val="28"/>
          <w:szCs w:val="28"/>
        </w:rPr>
        <w:t xml:space="preserve"> финансовому 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A0077" w:rsidRPr="001A0077">
        <w:rPr>
          <w:rFonts w:ascii="Times New Roman" w:hAnsi="Times New Roman" w:cs="Times New Roman"/>
          <w:sz w:val="28"/>
          <w:szCs w:val="28"/>
        </w:rPr>
        <w:t>ю</w:t>
      </w:r>
      <w:r w:rsidR="004C1E53" w:rsidRPr="001A00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0077" w:rsidRPr="00F55FD7" w:rsidRDefault="00A03CC3" w:rsidP="001A0077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0077">
        <w:rPr>
          <w:rFonts w:ascii="Times New Roman" w:hAnsi="Times New Roman" w:cs="Times New Roman"/>
          <w:sz w:val="28"/>
          <w:szCs w:val="28"/>
        </w:rPr>
        <w:t>3</w:t>
      </w:r>
      <w:r w:rsidR="001A0077" w:rsidRPr="00F55FD7">
        <w:rPr>
          <w:rFonts w:ascii="Times New Roman" w:hAnsi="Times New Roman" w:cs="Times New Roman"/>
          <w:sz w:val="28"/>
          <w:szCs w:val="28"/>
        </w:rPr>
        <w:t>.В целях пополнения доходной части  бюджета поселения  рекомендуем принять</w:t>
      </w:r>
      <w:r w:rsidR="001A0077">
        <w:rPr>
          <w:rFonts w:ascii="Times New Roman" w:hAnsi="Times New Roman" w:cs="Times New Roman"/>
          <w:sz w:val="28"/>
          <w:szCs w:val="28"/>
        </w:rPr>
        <w:t xml:space="preserve"> </w:t>
      </w:r>
      <w:r w:rsidR="001A0077" w:rsidRPr="00F55FD7">
        <w:rPr>
          <w:rFonts w:ascii="Times New Roman" w:hAnsi="Times New Roman" w:cs="Times New Roman"/>
          <w:sz w:val="28"/>
          <w:szCs w:val="28"/>
        </w:rPr>
        <w:t xml:space="preserve">все необходимые меры по сокращению задолженности по налоговым доходам. </w:t>
      </w:r>
    </w:p>
    <w:p w:rsidR="001A0077" w:rsidRPr="001A0077" w:rsidRDefault="00A03CC3" w:rsidP="001A0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0BF2">
        <w:rPr>
          <w:rFonts w:ascii="Times New Roman" w:hAnsi="Times New Roman" w:cs="Times New Roman"/>
          <w:sz w:val="28"/>
          <w:szCs w:val="28"/>
        </w:rPr>
        <w:t>4.В связи с</w:t>
      </w:r>
      <w:r w:rsidR="00450BF2" w:rsidRPr="006C192E">
        <w:rPr>
          <w:rFonts w:ascii="Times New Roman" w:hAnsi="Times New Roman" w:cs="Times New Roman"/>
          <w:sz w:val="28"/>
          <w:szCs w:val="28"/>
        </w:rPr>
        <w:t xml:space="preserve">  ростом кредиторской задолженности, принять все  необходимые меры по  ее сокращению.</w:t>
      </w:r>
      <w:r w:rsidR="001A0077" w:rsidRPr="001A0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192E" w:rsidRDefault="006C192E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CC3" w:rsidRDefault="00A03CC3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3CC3" w:rsidRDefault="00A03CC3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3666" w:rsidRPr="006C192E" w:rsidRDefault="00F93666" w:rsidP="006C192E">
      <w:pPr>
        <w:spacing w:after="0" w:line="240" w:lineRule="auto"/>
        <w:ind w:right="-18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Инспектор ревизионной комиссии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192E">
        <w:rPr>
          <w:rFonts w:ascii="Times New Roman" w:hAnsi="Times New Roman" w:cs="Times New Roman"/>
          <w:sz w:val="28"/>
          <w:szCs w:val="28"/>
        </w:rPr>
        <w:t>Представительного собрания района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192E">
        <w:rPr>
          <w:rFonts w:ascii="Times New Roman" w:hAnsi="Times New Roman" w:cs="Times New Roman"/>
          <w:sz w:val="28"/>
          <w:szCs w:val="28"/>
        </w:rPr>
        <w:tab/>
      </w:r>
      <w:r w:rsidR="001A007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192E">
        <w:rPr>
          <w:rFonts w:ascii="Times New Roman" w:hAnsi="Times New Roman" w:cs="Times New Roman"/>
          <w:sz w:val="28"/>
          <w:szCs w:val="28"/>
        </w:rPr>
        <w:t>М.И.</w:t>
      </w:r>
      <w:r w:rsidR="00B23334">
        <w:rPr>
          <w:rFonts w:ascii="Times New Roman" w:hAnsi="Times New Roman" w:cs="Times New Roman"/>
          <w:sz w:val="28"/>
          <w:szCs w:val="28"/>
        </w:rPr>
        <w:t xml:space="preserve"> </w:t>
      </w:r>
      <w:r w:rsidRPr="006C192E">
        <w:rPr>
          <w:rFonts w:ascii="Times New Roman" w:hAnsi="Times New Roman" w:cs="Times New Roman"/>
          <w:sz w:val="28"/>
          <w:szCs w:val="28"/>
        </w:rPr>
        <w:t>Шестакова</w:t>
      </w:r>
    </w:p>
    <w:p w:rsidR="006C192E" w:rsidRPr="006C192E" w:rsidRDefault="006C192E" w:rsidP="006C192E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C192E" w:rsidRPr="006C192E" w:rsidRDefault="006C192E" w:rsidP="006C192E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390C79" w:rsidRDefault="00390C79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40246" w:rsidRDefault="00940246" w:rsidP="006C192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40246" w:rsidSect="00390C79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06" w:rsidRDefault="00BD0806" w:rsidP="00A136A8">
      <w:pPr>
        <w:spacing w:after="0" w:line="240" w:lineRule="auto"/>
      </w:pPr>
      <w:r>
        <w:separator/>
      </w:r>
    </w:p>
  </w:endnote>
  <w:endnote w:type="continuationSeparator" w:id="0">
    <w:p w:rsidR="00BD0806" w:rsidRDefault="00BD0806" w:rsidP="00A1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06" w:rsidRDefault="00BD0806" w:rsidP="00A136A8">
      <w:pPr>
        <w:spacing w:after="0" w:line="240" w:lineRule="auto"/>
      </w:pPr>
      <w:r>
        <w:separator/>
      </w:r>
    </w:p>
  </w:footnote>
  <w:footnote w:type="continuationSeparator" w:id="0">
    <w:p w:rsidR="00BD0806" w:rsidRDefault="00BD0806" w:rsidP="00A13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FC" w:rsidRDefault="008662FC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662FC" w:rsidRDefault="008662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FC" w:rsidRDefault="008662FC" w:rsidP="00390C7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364B1">
      <w:rPr>
        <w:rStyle w:val="a8"/>
        <w:noProof/>
      </w:rPr>
      <w:t>16</w:t>
    </w:r>
    <w:r>
      <w:rPr>
        <w:rStyle w:val="a8"/>
      </w:rPr>
      <w:fldChar w:fldCharType="end"/>
    </w:r>
  </w:p>
  <w:p w:rsidR="008662FC" w:rsidRDefault="008662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2E"/>
    <w:rsid w:val="0000137F"/>
    <w:rsid w:val="000049BE"/>
    <w:rsid w:val="00012520"/>
    <w:rsid w:val="0002061F"/>
    <w:rsid w:val="00026FCA"/>
    <w:rsid w:val="000414CE"/>
    <w:rsid w:val="00045AD6"/>
    <w:rsid w:val="00046315"/>
    <w:rsid w:val="000645E9"/>
    <w:rsid w:val="000726C8"/>
    <w:rsid w:val="000A100F"/>
    <w:rsid w:val="000B637E"/>
    <w:rsid w:val="000C7163"/>
    <w:rsid w:val="00163F2A"/>
    <w:rsid w:val="00171D9B"/>
    <w:rsid w:val="001747DD"/>
    <w:rsid w:val="0019173A"/>
    <w:rsid w:val="001A0077"/>
    <w:rsid w:val="001D50BD"/>
    <w:rsid w:val="00201E23"/>
    <w:rsid w:val="00202417"/>
    <w:rsid w:val="0023660A"/>
    <w:rsid w:val="002370AA"/>
    <w:rsid w:val="00256F0F"/>
    <w:rsid w:val="00262C69"/>
    <w:rsid w:val="002677E6"/>
    <w:rsid w:val="0027076E"/>
    <w:rsid w:val="002A1D10"/>
    <w:rsid w:val="002B05D3"/>
    <w:rsid w:val="002B2016"/>
    <w:rsid w:val="002C44AB"/>
    <w:rsid w:val="00305F91"/>
    <w:rsid w:val="0031301D"/>
    <w:rsid w:val="00333D9A"/>
    <w:rsid w:val="00334F2D"/>
    <w:rsid w:val="00337168"/>
    <w:rsid w:val="003455D9"/>
    <w:rsid w:val="00360301"/>
    <w:rsid w:val="0036750B"/>
    <w:rsid w:val="00380046"/>
    <w:rsid w:val="00381B2B"/>
    <w:rsid w:val="00383A26"/>
    <w:rsid w:val="0038600E"/>
    <w:rsid w:val="00390C79"/>
    <w:rsid w:val="003D1EF9"/>
    <w:rsid w:val="003D631B"/>
    <w:rsid w:val="003E6A36"/>
    <w:rsid w:val="003F07EA"/>
    <w:rsid w:val="004107D7"/>
    <w:rsid w:val="00447797"/>
    <w:rsid w:val="00450BF2"/>
    <w:rsid w:val="0045728A"/>
    <w:rsid w:val="0046107B"/>
    <w:rsid w:val="00476845"/>
    <w:rsid w:val="00490711"/>
    <w:rsid w:val="004A2792"/>
    <w:rsid w:val="004A42D1"/>
    <w:rsid w:val="004C1E53"/>
    <w:rsid w:val="004C5FEB"/>
    <w:rsid w:val="004D15B9"/>
    <w:rsid w:val="004D1A68"/>
    <w:rsid w:val="004F037D"/>
    <w:rsid w:val="00501B00"/>
    <w:rsid w:val="005036AD"/>
    <w:rsid w:val="00565C5F"/>
    <w:rsid w:val="00572AD0"/>
    <w:rsid w:val="00573488"/>
    <w:rsid w:val="00583DDD"/>
    <w:rsid w:val="005937E5"/>
    <w:rsid w:val="0059406C"/>
    <w:rsid w:val="00596357"/>
    <w:rsid w:val="005A050E"/>
    <w:rsid w:val="005B463C"/>
    <w:rsid w:val="005B73FA"/>
    <w:rsid w:val="005C2B48"/>
    <w:rsid w:val="005D1FA2"/>
    <w:rsid w:val="005D451F"/>
    <w:rsid w:val="005D7D27"/>
    <w:rsid w:val="005F0644"/>
    <w:rsid w:val="00600788"/>
    <w:rsid w:val="00631A95"/>
    <w:rsid w:val="006335B2"/>
    <w:rsid w:val="006364B1"/>
    <w:rsid w:val="00642383"/>
    <w:rsid w:val="006607A5"/>
    <w:rsid w:val="00676E90"/>
    <w:rsid w:val="006808A9"/>
    <w:rsid w:val="006975BC"/>
    <w:rsid w:val="00697F47"/>
    <w:rsid w:val="006A7D49"/>
    <w:rsid w:val="006C111D"/>
    <w:rsid w:val="006C192E"/>
    <w:rsid w:val="006C3454"/>
    <w:rsid w:val="006C4D36"/>
    <w:rsid w:val="006D5813"/>
    <w:rsid w:val="006E2966"/>
    <w:rsid w:val="006F48BA"/>
    <w:rsid w:val="00704D62"/>
    <w:rsid w:val="00712A69"/>
    <w:rsid w:val="00721F35"/>
    <w:rsid w:val="00747513"/>
    <w:rsid w:val="007541E0"/>
    <w:rsid w:val="00755149"/>
    <w:rsid w:val="007670E2"/>
    <w:rsid w:val="00767BF3"/>
    <w:rsid w:val="007A238E"/>
    <w:rsid w:val="007A2C0E"/>
    <w:rsid w:val="007A5B80"/>
    <w:rsid w:val="007C3810"/>
    <w:rsid w:val="007C6236"/>
    <w:rsid w:val="007E712E"/>
    <w:rsid w:val="00802A26"/>
    <w:rsid w:val="00806A10"/>
    <w:rsid w:val="0081279A"/>
    <w:rsid w:val="0081280C"/>
    <w:rsid w:val="00815D2F"/>
    <w:rsid w:val="00816367"/>
    <w:rsid w:val="008213EE"/>
    <w:rsid w:val="00845E77"/>
    <w:rsid w:val="0085438B"/>
    <w:rsid w:val="00857C8B"/>
    <w:rsid w:val="008662FC"/>
    <w:rsid w:val="0087155E"/>
    <w:rsid w:val="008809CE"/>
    <w:rsid w:val="008859FD"/>
    <w:rsid w:val="008916A7"/>
    <w:rsid w:val="008C4083"/>
    <w:rsid w:val="008D1602"/>
    <w:rsid w:val="008E1D80"/>
    <w:rsid w:val="008F1115"/>
    <w:rsid w:val="008F700F"/>
    <w:rsid w:val="009023F1"/>
    <w:rsid w:val="009244CD"/>
    <w:rsid w:val="00940246"/>
    <w:rsid w:val="00972214"/>
    <w:rsid w:val="00977905"/>
    <w:rsid w:val="00991CB1"/>
    <w:rsid w:val="009B0A3B"/>
    <w:rsid w:val="009C4395"/>
    <w:rsid w:val="009E0052"/>
    <w:rsid w:val="009E2D93"/>
    <w:rsid w:val="009E58D8"/>
    <w:rsid w:val="009E5B98"/>
    <w:rsid w:val="009E5DC7"/>
    <w:rsid w:val="009F02D9"/>
    <w:rsid w:val="009F3115"/>
    <w:rsid w:val="009F42E1"/>
    <w:rsid w:val="00A030F1"/>
    <w:rsid w:val="00A032BF"/>
    <w:rsid w:val="00A03CC3"/>
    <w:rsid w:val="00A136A8"/>
    <w:rsid w:val="00A22597"/>
    <w:rsid w:val="00A66BDD"/>
    <w:rsid w:val="00A715B6"/>
    <w:rsid w:val="00A84D66"/>
    <w:rsid w:val="00AA4B3F"/>
    <w:rsid w:val="00AD0C31"/>
    <w:rsid w:val="00AE7513"/>
    <w:rsid w:val="00AF2B46"/>
    <w:rsid w:val="00B01CEB"/>
    <w:rsid w:val="00B126F6"/>
    <w:rsid w:val="00B23027"/>
    <w:rsid w:val="00B23334"/>
    <w:rsid w:val="00B36491"/>
    <w:rsid w:val="00B42571"/>
    <w:rsid w:val="00B44020"/>
    <w:rsid w:val="00B773D0"/>
    <w:rsid w:val="00B87606"/>
    <w:rsid w:val="00BA4FA5"/>
    <w:rsid w:val="00BD0806"/>
    <w:rsid w:val="00BD34A5"/>
    <w:rsid w:val="00BD5D08"/>
    <w:rsid w:val="00BE05F5"/>
    <w:rsid w:val="00BE278E"/>
    <w:rsid w:val="00BF028F"/>
    <w:rsid w:val="00BF080F"/>
    <w:rsid w:val="00BF0986"/>
    <w:rsid w:val="00BF3AF6"/>
    <w:rsid w:val="00BF648D"/>
    <w:rsid w:val="00BF7F3C"/>
    <w:rsid w:val="00C041C0"/>
    <w:rsid w:val="00C33781"/>
    <w:rsid w:val="00C51475"/>
    <w:rsid w:val="00C63429"/>
    <w:rsid w:val="00C71CCC"/>
    <w:rsid w:val="00CC349D"/>
    <w:rsid w:val="00CD2BA0"/>
    <w:rsid w:val="00CF3210"/>
    <w:rsid w:val="00D02985"/>
    <w:rsid w:val="00D07808"/>
    <w:rsid w:val="00D11B39"/>
    <w:rsid w:val="00D1266E"/>
    <w:rsid w:val="00D27FFC"/>
    <w:rsid w:val="00D440AD"/>
    <w:rsid w:val="00D568D9"/>
    <w:rsid w:val="00D671E2"/>
    <w:rsid w:val="00D82570"/>
    <w:rsid w:val="00D858DD"/>
    <w:rsid w:val="00D90876"/>
    <w:rsid w:val="00E01389"/>
    <w:rsid w:val="00E1207A"/>
    <w:rsid w:val="00E153A5"/>
    <w:rsid w:val="00E2116C"/>
    <w:rsid w:val="00E25939"/>
    <w:rsid w:val="00E44F24"/>
    <w:rsid w:val="00E5055F"/>
    <w:rsid w:val="00E54274"/>
    <w:rsid w:val="00E56BCB"/>
    <w:rsid w:val="00E80CEA"/>
    <w:rsid w:val="00EA53DB"/>
    <w:rsid w:val="00EB198D"/>
    <w:rsid w:val="00EC5CC1"/>
    <w:rsid w:val="00F01D1B"/>
    <w:rsid w:val="00F1393B"/>
    <w:rsid w:val="00F31209"/>
    <w:rsid w:val="00F33562"/>
    <w:rsid w:val="00F33ADA"/>
    <w:rsid w:val="00F37EB6"/>
    <w:rsid w:val="00F54DB3"/>
    <w:rsid w:val="00F5615E"/>
    <w:rsid w:val="00F65DBB"/>
    <w:rsid w:val="00F71CEB"/>
    <w:rsid w:val="00F8094F"/>
    <w:rsid w:val="00F93666"/>
    <w:rsid w:val="00FA4334"/>
    <w:rsid w:val="00FA57E7"/>
    <w:rsid w:val="00FB1E34"/>
    <w:rsid w:val="00FC7660"/>
    <w:rsid w:val="00FD4C74"/>
    <w:rsid w:val="00FD5F32"/>
    <w:rsid w:val="00FE0009"/>
    <w:rsid w:val="00FF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1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6C192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6C19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6C192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6C19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page number"/>
    <w:basedOn w:val="a0"/>
    <w:rsid w:val="006C192E"/>
  </w:style>
  <w:style w:type="paragraph" w:customStyle="1" w:styleId="ConsPlusTitle">
    <w:name w:val="ConsPlusTitle"/>
    <w:rsid w:val="006C19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"/>
    <w:basedOn w:val="a"/>
    <w:link w:val="aa"/>
    <w:rsid w:val="006C19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C192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6C19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link w:val="Normal"/>
    <w:rsid w:val="006C192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Normal">
    <w:name w:val="Normal Знак"/>
    <w:link w:val="1"/>
    <w:rsid w:val="006C192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C192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192E"/>
    <w:rPr>
      <w:rFonts w:ascii="Tahoma" w:eastAsia="Times New Roman" w:hAnsi="Tahoma" w:cs="Tahoma"/>
      <w:sz w:val="16"/>
      <w:szCs w:val="16"/>
    </w:rPr>
  </w:style>
  <w:style w:type="paragraph" w:customStyle="1" w:styleId="rvps698610">
    <w:name w:val="rvps698610"/>
    <w:basedOn w:val="a"/>
    <w:rsid w:val="006C192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6C192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6C19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Лист1!$B$177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Лист1!$A$178:$A$183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исп-я им-ва</c:v>
                </c:pt>
                <c:pt idx="5">
                  <c:v>Доходы от продажи им-ва</c:v>
                </c:pt>
              </c:strCache>
            </c:strRef>
          </c:cat>
          <c:val>
            <c:numRef>
              <c:f>Лист1!$B$178:$B$183</c:f>
              <c:numCache>
                <c:formatCode>General</c:formatCode>
                <c:ptCount val="6"/>
                <c:pt idx="0">
                  <c:v>58.4</c:v>
                </c:pt>
                <c:pt idx="1">
                  <c:v>3.6</c:v>
                </c:pt>
                <c:pt idx="2">
                  <c:v>21.5</c:v>
                </c:pt>
                <c:pt idx="3">
                  <c:v>6.2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Лист1!$C$177</c:f>
              <c:strCache>
                <c:ptCount val="1"/>
                <c:pt idx="0">
                  <c:v>1 полугодие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Лист1!$A$178:$A$183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исп-я им-ва</c:v>
                </c:pt>
                <c:pt idx="5">
                  <c:v>Доходы от продажи им-ва</c:v>
                </c:pt>
              </c:strCache>
            </c:strRef>
          </c:cat>
          <c:val>
            <c:numRef>
              <c:f>Лист1!$C$178:$C$183</c:f>
              <c:numCache>
                <c:formatCode>General</c:formatCode>
                <c:ptCount val="6"/>
                <c:pt idx="0">
                  <c:v>55.2</c:v>
                </c:pt>
                <c:pt idx="1">
                  <c:v>1.8</c:v>
                </c:pt>
                <c:pt idx="2">
                  <c:v>21</c:v>
                </c:pt>
                <c:pt idx="3">
                  <c:v>6.2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6253568"/>
        <c:axId val="176263552"/>
        <c:axId val="0"/>
      </c:bar3DChart>
      <c:catAx>
        <c:axId val="176253568"/>
        <c:scaling>
          <c:orientation val="minMax"/>
        </c:scaling>
        <c:delete val="0"/>
        <c:axPos val="l"/>
        <c:majorTickMark val="out"/>
        <c:minorTickMark val="none"/>
        <c:tickLblPos val="nextTo"/>
        <c:crossAx val="176263552"/>
        <c:crosses val="autoZero"/>
        <c:auto val="1"/>
        <c:lblAlgn val="ctr"/>
        <c:lblOffset val="100"/>
        <c:noMultiLvlLbl val="0"/>
      </c:catAx>
      <c:valAx>
        <c:axId val="1762635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6253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053363593420913E-2"/>
          <c:y val="4.7829909755399275E-2"/>
          <c:w val="0.80386050525822295"/>
          <c:h val="0.739088150969406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Лист1!$B$205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0"/>
                  <c:y val="-3.0156160744209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87722066711261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Лист1!$A$206:$A$209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Прочие безвозмездные поступл.</c:v>
                </c:pt>
              </c:strCache>
            </c:strRef>
          </c:cat>
          <c:val>
            <c:numRef>
              <c:f>Лист1!$B$206:$B$209</c:f>
              <c:numCache>
                <c:formatCode>General</c:formatCode>
                <c:ptCount val="4"/>
                <c:pt idx="0">
                  <c:v>1912.3</c:v>
                </c:pt>
                <c:pt idx="1">
                  <c:v>40</c:v>
                </c:pt>
                <c:pt idx="2">
                  <c:v>42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Лист1!$C$205</c:f>
              <c:strCache>
                <c:ptCount val="1"/>
                <c:pt idx="0">
                  <c:v>1 полугодие 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238159675236806E-2"/>
                  <c:y val="-8.61604592691694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"/>
                  <c:y val="-3.446418370766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"/>
                  <c:y val="-3.446418370766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Лист1!$A$206:$A$209</c:f>
              <c:strCache>
                <c:ptCount val="4"/>
                <c:pt idx="0">
                  <c:v>Дотации</c:v>
                </c:pt>
                <c:pt idx="1">
                  <c:v>Субвенции</c:v>
                </c:pt>
                <c:pt idx="2">
                  <c:v>Межбюджетные трансферты</c:v>
                </c:pt>
                <c:pt idx="3">
                  <c:v>Прочие безвозмездные поступл.</c:v>
                </c:pt>
              </c:strCache>
            </c:strRef>
          </c:cat>
          <c:val>
            <c:numRef>
              <c:f>Лист1!$C$206:$C$209</c:f>
              <c:numCache>
                <c:formatCode>General</c:formatCode>
                <c:ptCount val="4"/>
                <c:pt idx="0">
                  <c:v>1863.6</c:v>
                </c:pt>
                <c:pt idx="1">
                  <c:v>45.8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263800704"/>
        <c:axId val="263802240"/>
        <c:axId val="0"/>
      </c:bar3DChart>
      <c:catAx>
        <c:axId val="26380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3802240"/>
        <c:crosses val="autoZero"/>
        <c:auto val="1"/>
        <c:lblAlgn val="ctr"/>
        <c:lblOffset val="100"/>
        <c:noMultiLvlLbl val="0"/>
      </c:catAx>
      <c:valAx>
        <c:axId val="263802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38007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63330953725512"/>
          <c:y val="0.41779037092416932"/>
          <c:w val="0.16536669046274494"/>
          <c:h val="0.1558032122247444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543511394236073"/>
          <c:y val="3.47661188369153E-2"/>
          <c:w val="0.47275476138912836"/>
          <c:h val="0.8860567207860079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Лист1!$B$231</c:f>
              <c:strCache>
                <c:ptCount val="1"/>
                <c:pt idx="0">
                  <c:v>Факт 6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Лист1!$B$232:$B$240</c:f>
              <c:numCache>
                <c:formatCode>General</c:formatCode>
                <c:ptCount val="9"/>
                <c:pt idx="0">
                  <c:v>972.8</c:v>
                </c:pt>
                <c:pt idx="1">
                  <c:v>40</c:v>
                </c:pt>
                <c:pt idx="2">
                  <c:v>0</c:v>
                </c:pt>
                <c:pt idx="3">
                  <c:v>10</c:v>
                </c:pt>
                <c:pt idx="4">
                  <c:v>135.30000000000001</c:v>
                </c:pt>
                <c:pt idx="5">
                  <c:v>0</c:v>
                </c:pt>
                <c:pt idx="6">
                  <c:v>426</c:v>
                </c:pt>
                <c:pt idx="7">
                  <c:v>0</c:v>
                </c:pt>
                <c:pt idx="8">
                  <c:v>438.2</c:v>
                </c:pt>
              </c:numCache>
            </c:numRef>
          </c:val>
        </c:ser>
        <c:ser>
          <c:idx val="1"/>
          <c:order val="1"/>
          <c:tx>
            <c:strRef>
              <c:f>Лист1!$C$231</c:f>
              <c:strCache>
                <c:ptCount val="1"/>
                <c:pt idx="0">
                  <c:v>Факт 6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Лист1!$A$232:$A$240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Лист1!$C$232:$C$240</c:f>
              <c:numCache>
                <c:formatCode>General</c:formatCode>
                <c:ptCount val="9"/>
                <c:pt idx="0">
                  <c:v>1119.2</c:v>
                </c:pt>
                <c:pt idx="1">
                  <c:v>45.4</c:v>
                </c:pt>
                <c:pt idx="2">
                  <c:v>0</c:v>
                </c:pt>
                <c:pt idx="3">
                  <c:v>10</c:v>
                </c:pt>
                <c:pt idx="4">
                  <c:v>94.1</c:v>
                </c:pt>
                <c:pt idx="5">
                  <c:v>0</c:v>
                </c:pt>
                <c:pt idx="6">
                  <c:v>349.6</c:v>
                </c:pt>
                <c:pt idx="7">
                  <c:v>0</c:v>
                </c:pt>
                <c:pt idx="8">
                  <c:v>428.8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63865088"/>
        <c:axId val="263866624"/>
        <c:axId val="0"/>
      </c:bar3DChart>
      <c:catAx>
        <c:axId val="263865088"/>
        <c:scaling>
          <c:orientation val="minMax"/>
        </c:scaling>
        <c:delete val="0"/>
        <c:axPos val="l"/>
        <c:majorTickMark val="out"/>
        <c:minorTickMark val="none"/>
        <c:tickLblPos val="nextTo"/>
        <c:crossAx val="263866624"/>
        <c:crosses val="autoZero"/>
        <c:auto val="1"/>
        <c:lblAlgn val="ctr"/>
        <c:lblOffset val="100"/>
        <c:noMultiLvlLbl val="0"/>
      </c:catAx>
      <c:valAx>
        <c:axId val="263866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386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44540200191512"/>
          <c:y val="0.42592787348485289"/>
          <c:w val="0.22554597998084885"/>
          <c:h val="0.1665668173351978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33389177416653E-2"/>
          <c:y val="2.1442668205684952E-3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расходы" - </a:t>
                    </a:r>
                    <a:r>
                      <a:rPr lang="en-US"/>
                      <a:t>48,1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"Образование" - 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экономика" - </a:t>
                    </a:r>
                    <a:r>
                      <a:rPr lang="en-US"/>
                      <a:t>0,5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"ЖКХ" - </a:t>
                    </a:r>
                    <a:r>
                      <a:rPr lang="en-US"/>
                      <a:t>6,7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"Национальная оборона" -</a:t>
                    </a:r>
                    <a:r>
                      <a:rPr lang="en-US"/>
                      <a:t>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безопасность"-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 -</a:t>
                    </a:r>
                    <a:r>
                      <a:rPr lang="en-US"/>
                      <a:t>21,1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экономика" - </a:t>
                    </a:r>
                    <a:r>
                      <a:rPr lang="en-US"/>
                      <a:t>0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-</a:t>
                    </a:r>
                    <a:r>
                      <a:rPr lang="en-US"/>
                      <a:t>21,6</a:t>
                    </a:r>
                    <a:r>
                      <a:rPr lang="ru-RU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Лист1!$A$262:$A$270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оборона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Лист1!$B$262:$B$270</c:f>
              <c:numCache>
                <c:formatCode>General</c:formatCode>
                <c:ptCount val="9"/>
                <c:pt idx="0">
                  <c:v>48.1</c:v>
                </c:pt>
                <c:pt idx="1">
                  <c:v>0</c:v>
                </c:pt>
                <c:pt idx="2">
                  <c:v>0.5</c:v>
                </c:pt>
                <c:pt idx="3">
                  <c:v>6.7</c:v>
                </c:pt>
                <c:pt idx="4">
                  <c:v>2</c:v>
                </c:pt>
                <c:pt idx="5">
                  <c:v>0</c:v>
                </c:pt>
                <c:pt idx="6">
                  <c:v>21.1</c:v>
                </c:pt>
                <c:pt idx="7">
                  <c:v>0</c:v>
                </c:pt>
                <c:pt idx="8">
                  <c:v>21.6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9DB2-F006-492D-B5A2-6782DA8C1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4332</Words>
  <Characters>24699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2017-08-29T05:59:00Z</cp:lastPrinted>
  <dcterms:created xsi:type="dcterms:W3CDTF">2023-06-28T11:25:00Z</dcterms:created>
  <dcterms:modified xsi:type="dcterms:W3CDTF">2023-06-28T11:25:00Z</dcterms:modified>
</cp:coreProperties>
</file>