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EC10D5" wp14:editId="664EBAF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722E4" w:rsidRPr="00896CDA" w:rsidRDefault="005722E4" w:rsidP="005722E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722E4" w:rsidRPr="00896CDA" w:rsidRDefault="005722E4" w:rsidP="005722E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79" w:rsidRDefault="00786C79" w:rsidP="00572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79" w:rsidRPr="00896CDA" w:rsidRDefault="00786C79" w:rsidP="00572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722E4" w:rsidRPr="00896CDA" w:rsidRDefault="005722E4" w:rsidP="005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D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722E4" w:rsidRPr="00896CDA" w:rsidRDefault="005722E4" w:rsidP="005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5722E4" w:rsidRPr="00896CDA" w:rsidRDefault="005722E4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722E4" w:rsidRPr="005722E4" w:rsidRDefault="005722E4" w:rsidP="00572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корректировкой объемов налоговых доходов бюджета района, изменением объемов безвозмездных поступлений из областного бюджета и корректировкой лимитов бюджетных обязательств по разделам: «Общегосударственные вопросы», «Национальная экономика», «Жилищно-коммунальное хозяйство», </w:t>
      </w:r>
      <w:r w:rsidR="00CB00B5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и «Социальная политика».</w:t>
      </w:r>
    </w:p>
    <w:p w:rsidR="005722E4" w:rsidRPr="00E75989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увеличится  на </w:t>
      </w:r>
      <w:r w:rsidR="000C2993">
        <w:rPr>
          <w:rFonts w:ascii="Times New Roman" w:eastAsia="Times New Roman" w:hAnsi="Times New Roman" w:cs="Times New Roman"/>
          <w:sz w:val="28"/>
          <w:szCs w:val="28"/>
          <w:lang w:eastAsia="ru-RU"/>
        </w:rPr>
        <w:t>19971,8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0C2993">
        <w:rPr>
          <w:rFonts w:ascii="Times New Roman" w:eastAsia="Times New Roman" w:hAnsi="Times New Roman" w:cs="Times New Roman"/>
          <w:sz w:val="28"/>
          <w:szCs w:val="28"/>
          <w:lang w:eastAsia="ru-RU"/>
        </w:rPr>
        <w:t>204575,7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 на   </w:t>
      </w:r>
      <w:r w:rsidR="000C2993">
        <w:rPr>
          <w:rFonts w:ascii="Times New Roman" w:eastAsia="Times New Roman" w:hAnsi="Times New Roman" w:cs="Times New Roman"/>
          <w:sz w:val="28"/>
          <w:szCs w:val="28"/>
          <w:lang w:eastAsia="ru-RU"/>
        </w:rPr>
        <w:t>3074,7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0C2993">
        <w:rPr>
          <w:rFonts w:ascii="Times New Roman" w:eastAsia="Times New Roman" w:hAnsi="Times New Roman" w:cs="Times New Roman"/>
          <w:sz w:val="28"/>
          <w:szCs w:val="28"/>
          <w:lang w:eastAsia="ru-RU"/>
        </w:rPr>
        <w:t>200053,5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722E4" w:rsidRPr="000C2993" w:rsidRDefault="005722E4" w:rsidP="005722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t xml:space="preserve">       Проект решения сформирован с </w:t>
      </w:r>
      <w:r w:rsidR="00EB75D3" w:rsidRPr="00EB75D3">
        <w:rPr>
          <w:rFonts w:ascii="Times New Roman" w:hAnsi="Times New Roman" w:cs="Times New Roman"/>
          <w:sz w:val="28"/>
          <w:szCs w:val="28"/>
        </w:rPr>
        <w:t>профицитом</w:t>
      </w:r>
      <w:r w:rsidRPr="00EB75D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B75D3" w:rsidRPr="00EB75D3">
        <w:rPr>
          <w:rFonts w:ascii="Times New Roman" w:hAnsi="Times New Roman" w:cs="Times New Roman"/>
          <w:sz w:val="28"/>
          <w:szCs w:val="28"/>
        </w:rPr>
        <w:t>4522,2 тыс. рублей</w:t>
      </w:r>
      <w:r w:rsidR="00EB75D3" w:rsidRPr="00E520E4">
        <w:rPr>
          <w:rFonts w:ascii="Times New Roman" w:hAnsi="Times New Roman" w:cs="Times New Roman"/>
          <w:sz w:val="28"/>
          <w:szCs w:val="28"/>
        </w:rPr>
        <w:t>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E4" w:rsidRPr="000C2993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22E4" w:rsidRPr="00E75989" w:rsidRDefault="005722E4" w:rsidP="005722E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E75989" w:rsidRDefault="005722E4" w:rsidP="005722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5722E4" w:rsidRPr="00E75989" w:rsidRDefault="005722E4" w:rsidP="005722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E75989" w:rsidRDefault="005722E4" w:rsidP="005722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1134"/>
        <w:gridCol w:w="1276"/>
        <w:gridCol w:w="1417"/>
        <w:gridCol w:w="1276"/>
        <w:gridCol w:w="236"/>
      </w:tblGrid>
      <w:tr w:rsidR="00786C79" w:rsidRPr="00E75989" w:rsidTr="00786C79">
        <w:trPr>
          <w:trHeight w:val="634"/>
        </w:trPr>
        <w:tc>
          <w:tcPr>
            <w:tcW w:w="1418" w:type="dxa"/>
            <w:vMerge w:val="restart"/>
          </w:tcPr>
          <w:p w:rsidR="00786C79" w:rsidRPr="00E75989" w:rsidRDefault="00786C79" w:rsidP="00786C7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786C79" w:rsidRPr="00E75989" w:rsidRDefault="00786C79" w:rsidP="001D729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17" w:type="dxa"/>
            <w:vMerge w:val="restart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786C79" w:rsidRPr="00E75989" w:rsidRDefault="00786C79" w:rsidP="00786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AF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786C79" w:rsidRPr="00E75989" w:rsidRDefault="00786C79" w:rsidP="00786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 w:rsidR="00AF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 мая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утвержденных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C79" w:rsidRPr="00E75989" w:rsidTr="00786C79">
        <w:trPr>
          <w:trHeight w:val="1455"/>
        </w:trPr>
        <w:tc>
          <w:tcPr>
            <w:tcW w:w="1418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512" w:type="dxa"/>
            <w:gridSpan w:val="2"/>
            <w:tcBorders>
              <w:bottom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786C79" w:rsidRPr="00E75989" w:rsidTr="00786C79">
        <w:trPr>
          <w:trHeight w:val="70"/>
        </w:trPr>
        <w:tc>
          <w:tcPr>
            <w:tcW w:w="1418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9" w:rsidRPr="00E75989" w:rsidTr="00786C79">
        <w:trPr>
          <w:trHeight w:val="70"/>
        </w:trPr>
        <w:tc>
          <w:tcPr>
            <w:tcW w:w="1418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9" w:rsidRPr="00E75989" w:rsidTr="00786C79">
        <w:tc>
          <w:tcPr>
            <w:tcW w:w="1418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165817,8</w:t>
            </w:r>
          </w:p>
        </w:tc>
        <w:tc>
          <w:tcPr>
            <w:tcW w:w="1417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183911,4</w:t>
            </w:r>
          </w:p>
        </w:tc>
        <w:tc>
          <w:tcPr>
            <w:tcW w:w="1134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184603,9</w:t>
            </w:r>
          </w:p>
        </w:tc>
        <w:tc>
          <w:tcPr>
            <w:tcW w:w="1276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204575,7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+38757,9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786C79" w:rsidRPr="00E75989" w:rsidRDefault="0020585C" w:rsidP="001D7296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+19971,8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392" w:right="-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9" w:rsidRPr="00E75989" w:rsidTr="00786C79">
        <w:trPr>
          <w:trHeight w:val="266"/>
        </w:trPr>
        <w:tc>
          <w:tcPr>
            <w:tcW w:w="1418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168530,8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190464,5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196978,8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200053,5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+31522,7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786C79" w:rsidRPr="00E75989" w:rsidRDefault="0020585C" w:rsidP="001D7296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+3074,7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9" w:rsidRPr="00E75989" w:rsidTr="00786C79">
        <w:tc>
          <w:tcPr>
            <w:tcW w:w="1418" w:type="dxa"/>
          </w:tcPr>
          <w:p w:rsidR="00786C79" w:rsidRPr="00E75989" w:rsidRDefault="00786C79" w:rsidP="00786C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(-), профицит (+)</w:t>
            </w:r>
          </w:p>
        </w:tc>
        <w:tc>
          <w:tcPr>
            <w:tcW w:w="1276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-2713,0</w:t>
            </w:r>
          </w:p>
        </w:tc>
        <w:tc>
          <w:tcPr>
            <w:tcW w:w="1417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1134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- 12374,9</w:t>
            </w:r>
          </w:p>
        </w:tc>
        <w:tc>
          <w:tcPr>
            <w:tcW w:w="1276" w:type="dxa"/>
          </w:tcPr>
          <w:p w:rsidR="00786C79" w:rsidRPr="00E75989" w:rsidRDefault="00786C79" w:rsidP="001D7296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86C79" w:rsidRPr="00E75989" w:rsidRDefault="00E520E4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7235,2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786C79" w:rsidRPr="00E75989" w:rsidRDefault="00E520E4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16897,1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786C79" w:rsidRPr="00E75989" w:rsidRDefault="00786C79" w:rsidP="001D7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2E4" w:rsidRPr="00E75989" w:rsidRDefault="005722E4" w:rsidP="00572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722E4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204575,7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38757,9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уточненного  бюджета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19971,8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E4" w:rsidRPr="00896CDA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200053,5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31522,7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уточненного  бюджета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3074,7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E4" w:rsidRPr="00896CDA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0585C" w:rsidRPr="0020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профицитом</w:t>
      </w:r>
      <w:r w:rsidR="0020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20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4522,2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20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предыдущий бюджет района был сформирован с дефицитом в сумме</w:t>
      </w:r>
      <w:r w:rsidR="00E5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12374,9 тыс. рублей,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E4" w:rsidRPr="00896CDA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2E4" w:rsidRPr="00896CDA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5722E4" w:rsidRPr="00896CDA" w:rsidRDefault="005722E4" w:rsidP="005722E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E4" w:rsidRPr="0020585C" w:rsidRDefault="005722E4" w:rsidP="002058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5722E4" w:rsidRPr="0020585C" w:rsidRDefault="005722E4" w:rsidP="002058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585C" w:rsidRPr="00707987" w:rsidRDefault="0020585C" w:rsidP="00205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в объем и структуру налоговых и неналоговых доходов бюджета района. Проектом решения предусматривается увеличить объем  налога на доходы физических лиц на </w:t>
      </w:r>
      <w:r w:rsidR="00827AF3" w:rsidRPr="00827AF3">
        <w:rPr>
          <w:rFonts w:ascii="Times New Roman" w:hAnsi="Times New Roman" w:cs="Times New Roman"/>
          <w:sz w:val="28"/>
          <w:szCs w:val="28"/>
        </w:rPr>
        <w:t>18200,0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7AF3" w:rsidRPr="00827AF3">
        <w:rPr>
          <w:rFonts w:ascii="Times New Roman" w:hAnsi="Times New Roman" w:cs="Times New Roman"/>
          <w:sz w:val="28"/>
          <w:szCs w:val="28"/>
        </w:rPr>
        <w:t>43,1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Pr="00707987">
        <w:rPr>
          <w:rFonts w:ascii="Times New Roman" w:hAnsi="Times New Roman" w:cs="Times New Roman"/>
          <w:sz w:val="28"/>
          <w:szCs w:val="28"/>
        </w:rPr>
        <w:t xml:space="preserve">. Размер налога на доходы физических лиц планируется </w:t>
      </w:r>
      <w:r w:rsidR="00C51328"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Pr="00707987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="00C51328"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51328"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C51328">
        <w:rPr>
          <w:rFonts w:ascii="Times New Roman" w:hAnsi="Times New Roman" w:cs="Times New Roman"/>
          <w:sz w:val="28"/>
          <w:szCs w:val="28"/>
        </w:rPr>
        <w:t xml:space="preserve"> </w:t>
      </w:r>
      <w:r w:rsidR="004628B1" w:rsidRPr="00707987">
        <w:rPr>
          <w:rFonts w:ascii="Times New Roman" w:hAnsi="Times New Roman" w:cs="Times New Roman"/>
          <w:sz w:val="28"/>
          <w:szCs w:val="28"/>
        </w:rPr>
        <w:t>60450,0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 w:rsidR="00707987" w:rsidRPr="00707987">
        <w:rPr>
          <w:rFonts w:ascii="Times New Roman" w:hAnsi="Times New Roman" w:cs="Times New Roman"/>
          <w:sz w:val="28"/>
          <w:szCs w:val="28"/>
        </w:rPr>
        <w:t>76,3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до </w:t>
      </w:r>
      <w:r w:rsidR="00707987" w:rsidRPr="00707987">
        <w:rPr>
          <w:rFonts w:ascii="Times New Roman" w:hAnsi="Times New Roman" w:cs="Times New Roman"/>
          <w:sz w:val="28"/>
          <w:szCs w:val="28"/>
        </w:rPr>
        <w:t>82,0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707987" w:rsidRPr="00707987">
        <w:rPr>
          <w:rFonts w:ascii="Times New Roman" w:hAnsi="Times New Roman" w:cs="Times New Roman"/>
          <w:sz w:val="28"/>
          <w:szCs w:val="28"/>
        </w:rPr>
        <w:t xml:space="preserve">5,7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процентных пункта. Увеличение объема </w:t>
      </w:r>
      <w:r w:rsidR="00C51328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обусловлено незапланированными дополнительными поступлениями  данного вида налога за прошедший с начала года период согласно расчету, предоставленному управлением финансов района. Дополнительные средства поступают от временно ведущих на территории района деятельность организаций: ООО «ГЭС-Ухта»</w:t>
      </w:r>
      <w:r w:rsidR="00AF1204">
        <w:rPr>
          <w:rFonts w:ascii="Times New Roman" w:hAnsi="Times New Roman" w:cs="Times New Roman"/>
          <w:sz w:val="28"/>
          <w:szCs w:val="28"/>
        </w:rPr>
        <w:t>,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ООО «Краснодаргазстрой»</w:t>
      </w:r>
      <w:r w:rsidR="00C51328">
        <w:rPr>
          <w:rFonts w:ascii="Times New Roman" w:hAnsi="Times New Roman" w:cs="Times New Roman"/>
          <w:sz w:val="28"/>
          <w:szCs w:val="28"/>
        </w:rPr>
        <w:t xml:space="preserve"> и по открывш</w:t>
      </w:r>
      <w:r w:rsidR="00AF1204">
        <w:rPr>
          <w:rFonts w:ascii="Times New Roman" w:hAnsi="Times New Roman" w:cs="Times New Roman"/>
          <w:sz w:val="28"/>
          <w:szCs w:val="28"/>
        </w:rPr>
        <w:t>и</w:t>
      </w:r>
      <w:r w:rsidR="00C51328">
        <w:rPr>
          <w:rFonts w:ascii="Times New Roman" w:hAnsi="Times New Roman" w:cs="Times New Roman"/>
          <w:sz w:val="28"/>
          <w:szCs w:val="28"/>
        </w:rPr>
        <w:t>мся</w:t>
      </w:r>
      <w:r w:rsidR="00707987"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C51328">
        <w:rPr>
          <w:rFonts w:ascii="Times New Roman" w:hAnsi="Times New Roman" w:cs="Times New Roman"/>
          <w:sz w:val="28"/>
          <w:szCs w:val="28"/>
        </w:rPr>
        <w:t>магазинам розничной торговли.</w:t>
      </w:r>
    </w:p>
    <w:p w:rsidR="0020585C" w:rsidRPr="00707987" w:rsidRDefault="0020585C" w:rsidP="00205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87">
        <w:rPr>
          <w:rFonts w:ascii="Times New Roman" w:hAnsi="Times New Roman" w:cs="Times New Roman"/>
          <w:sz w:val="28"/>
          <w:szCs w:val="28"/>
        </w:rPr>
        <w:t xml:space="preserve">Проектом решения также планируется увеличить объем платежей при пользовании природными ресурсами на </w:t>
      </w:r>
      <w:r w:rsidR="00707987" w:rsidRPr="00707987">
        <w:rPr>
          <w:rFonts w:ascii="Times New Roman" w:hAnsi="Times New Roman" w:cs="Times New Roman"/>
          <w:sz w:val="28"/>
          <w:szCs w:val="28"/>
        </w:rPr>
        <w:t>232,0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707987" w:rsidRPr="00707987">
        <w:rPr>
          <w:rFonts w:ascii="Times New Roman" w:hAnsi="Times New Roman" w:cs="Times New Roman"/>
          <w:sz w:val="28"/>
          <w:szCs w:val="28"/>
        </w:rPr>
        <w:t>2,4</w:t>
      </w:r>
      <w:r w:rsidR="00C51328">
        <w:rPr>
          <w:rFonts w:ascii="Times New Roman" w:hAnsi="Times New Roman" w:cs="Times New Roman"/>
          <w:sz w:val="28"/>
          <w:szCs w:val="28"/>
        </w:rPr>
        <w:t xml:space="preserve"> раза.  С</w:t>
      </w:r>
      <w:r w:rsidRPr="00707987">
        <w:rPr>
          <w:rFonts w:ascii="Times New Roman" w:hAnsi="Times New Roman" w:cs="Times New Roman"/>
          <w:sz w:val="28"/>
          <w:szCs w:val="28"/>
        </w:rPr>
        <w:t>огласно предоставленному рас</w:t>
      </w:r>
      <w:r w:rsidR="00C51328">
        <w:rPr>
          <w:rFonts w:ascii="Times New Roman" w:hAnsi="Times New Roman" w:cs="Times New Roman"/>
          <w:sz w:val="28"/>
          <w:szCs w:val="28"/>
        </w:rPr>
        <w:t>чету управления финансов района у</w:t>
      </w:r>
      <w:r w:rsidRPr="00707987">
        <w:rPr>
          <w:rFonts w:ascii="Times New Roman" w:hAnsi="Times New Roman" w:cs="Times New Roman"/>
          <w:sz w:val="28"/>
          <w:szCs w:val="28"/>
        </w:rPr>
        <w:t xml:space="preserve">величение объема платежей обусловлено поступлением разовых платежей от ООО «Теплосервис» </w:t>
      </w:r>
      <w:r w:rsidR="00707987" w:rsidRPr="00707987">
        <w:rPr>
          <w:rFonts w:ascii="Times New Roman" w:hAnsi="Times New Roman" w:cs="Times New Roman"/>
          <w:sz w:val="28"/>
          <w:szCs w:val="28"/>
        </w:rPr>
        <w:t xml:space="preserve">- 72,0 тыс. рублей,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ООО «ГЭС-Ухта» </w:t>
      </w:r>
      <w:r w:rsidR="00C51328">
        <w:rPr>
          <w:rFonts w:ascii="Times New Roman" w:hAnsi="Times New Roman" w:cs="Times New Roman"/>
          <w:sz w:val="28"/>
          <w:szCs w:val="28"/>
        </w:rPr>
        <w:t>-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707987" w:rsidRPr="00707987">
        <w:rPr>
          <w:rFonts w:ascii="Times New Roman" w:hAnsi="Times New Roman" w:cs="Times New Roman"/>
          <w:sz w:val="28"/>
          <w:szCs w:val="28"/>
        </w:rPr>
        <w:t>128,5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07987" w:rsidRPr="00707987">
        <w:rPr>
          <w:rFonts w:ascii="Times New Roman" w:hAnsi="Times New Roman" w:cs="Times New Roman"/>
          <w:sz w:val="28"/>
          <w:szCs w:val="28"/>
        </w:rPr>
        <w:t xml:space="preserve"> и </w:t>
      </w:r>
      <w:r w:rsidR="00C51328">
        <w:rPr>
          <w:rFonts w:ascii="Times New Roman" w:hAnsi="Times New Roman" w:cs="Times New Roman"/>
          <w:sz w:val="28"/>
          <w:szCs w:val="28"/>
        </w:rPr>
        <w:t xml:space="preserve"> </w:t>
      </w:r>
      <w:r w:rsidR="00707987" w:rsidRPr="00707987">
        <w:rPr>
          <w:rFonts w:ascii="Times New Roman" w:hAnsi="Times New Roman" w:cs="Times New Roman"/>
          <w:sz w:val="28"/>
          <w:szCs w:val="28"/>
        </w:rPr>
        <w:t>ООО «Приток» - 26,4 тыс. рублей</w:t>
      </w:r>
      <w:r w:rsidRPr="00707987">
        <w:rPr>
          <w:rFonts w:ascii="Times New Roman" w:hAnsi="Times New Roman" w:cs="Times New Roman"/>
          <w:sz w:val="28"/>
          <w:szCs w:val="28"/>
        </w:rPr>
        <w:t xml:space="preserve">. В результате объем собственных доходов бюджета района увеличится на </w:t>
      </w:r>
      <w:r w:rsidR="00707987" w:rsidRPr="00707987">
        <w:rPr>
          <w:rFonts w:ascii="Times New Roman" w:hAnsi="Times New Roman" w:cs="Times New Roman"/>
          <w:sz w:val="28"/>
          <w:szCs w:val="28"/>
        </w:rPr>
        <w:t>19971,8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07987" w:rsidRPr="00707987">
        <w:rPr>
          <w:rFonts w:ascii="Times New Roman" w:hAnsi="Times New Roman" w:cs="Times New Roman"/>
          <w:sz w:val="28"/>
          <w:szCs w:val="28"/>
        </w:rPr>
        <w:t>10,8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707987" w:rsidRPr="00707987">
        <w:rPr>
          <w:rFonts w:ascii="Times New Roman" w:hAnsi="Times New Roman" w:cs="Times New Roman"/>
          <w:sz w:val="28"/>
          <w:szCs w:val="28"/>
        </w:rPr>
        <w:t>%</w:t>
      </w:r>
      <w:r w:rsidRPr="00707987">
        <w:rPr>
          <w:rFonts w:ascii="Times New Roman" w:hAnsi="Times New Roman" w:cs="Times New Roman"/>
          <w:sz w:val="28"/>
          <w:szCs w:val="28"/>
        </w:rPr>
        <w:t xml:space="preserve">, и составит </w:t>
      </w:r>
      <w:r w:rsidR="00707987" w:rsidRPr="00707987">
        <w:rPr>
          <w:rFonts w:ascii="Times New Roman" w:hAnsi="Times New Roman" w:cs="Times New Roman"/>
          <w:sz w:val="28"/>
          <w:szCs w:val="28"/>
        </w:rPr>
        <w:t>204575,7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увеличится с </w:t>
      </w:r>
      <w:r w:rsidR="00707987" w:rsidRPr="00707987">
        <w:rPr>
          <w:rFonts w:ascii="Times New Roman" w:hAnsi="Times New Roman" w:cs="Times New Roman"/>
          <w:sz w:val="28"/>
          <w:szCs w:val="28"/>
        </w:rPr>
        <w:t>30,0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 до </w:t>
      </w:r>
      <w:r w:rsidR="00707987" w:rsidRPr="00707987">
        <w:rPr>
          <w:rFonts w:ascii="Times New Roman" w:hAnsi="Times New Roman" w:cs="Times New Roman"/>
          <w:sz w:val="28"/>
          <w:szCs w:val="28"/>
        </w:rPr>
        <w:t>36,</w:t>
      </w:r>
      <w:r w:rsidR="00C51328">
        <w:rPr>
          <w:rFonts w:ascii="Times New Roman" w:hAnsi="Times New Roman" w:cs="Times New Roman"/>
          <w:sz w:val="28"/>
          <w:szCs w:val="28"/>
        </w:rPr>
        <w:t>0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707987" w:rsidRPr="00707987">
        <w:rPr>
          <w:rFonts w:ascii="Times New Roman" w:hAnsi="Times New Roman" w:cs="Times New Roman"/>
          <w:sz w:val="28"/>
          <w:szCs w:val="28"/>
        </w:rPr>
        <w:t>6</w:t>
      </w:r>
      <w:r w:rsidRPr="00707987">
        <w:rPr>
          <w:rFonts w:ascii="Times New Roman" w:hAnsi="Times New Roman" w:cs="Times New Roman"/>
          <w:sz w:val="28"/>
          <w:szCs w:val="28"/>
        </w:rPr>
        <w:t>,</w:t>
      </w:r>
      <w:r w:rsidR="00C51328">
        <w:rPr>
          <w:rFonts w:ascii="Times New Roman" w:hAnsi="Times New Roman" w:cs="Times New Roman"/>
          <w:sz w:val="28"/>
          <w:szCs w:val="28"/>
        </w:rPr>
        <w:t>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 процентных  пункта.</w:t>
      </w:r>
    </w:p>
    <w:p w:rsidR="005722E4" w:rsidRPr="0020585C" w:rsidRDefault="005722E4" w:rsidP="00205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5722E4" w:rsidRPr="00F55A27" w:rsidRDefault="005722E4" w:rsidP="005722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722E4" w:rsidRPr="00F55A27" w:rsidRDefault="005722E4" w:rsidP="005722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722E4" w:rsidRPr="0099573A" w:rsidRDefault="005722E4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района. Предлагается увеличить безвозмездные поступления на сумму </w:t>
      </w:r>
      <w:r w:rsidR="005524AE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1539,8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524AE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1,2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AE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предлагаемых изменений плановый объем безвозмездных поступлений составит </w:t>
      </w:r>
      <w:r w:rsidR="005524AE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130800,7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4A326A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A326A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C51328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4A326A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C513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района в части субсидий является Закон Вологодской области «Об областном бюджете на 2017 год и плановый период 2018 и 2019 годов»</w:t>
      </w:r>
      <w:r w:rsidR="00C5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0DA7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 об изменении бюджетных обязательств на 2017 год  от главного распорядителя бюджетных средств Департамента строительства области, постановлени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DA7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24.04.2017 года №371 «О распределении субсидий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области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Вологодской области</w:t>
      </w:r>
      <w:r w:rsidR="008E0DA7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0DA7"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9573A"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Вологодской области от 15.05.2017 года №430 «Об определении муниципальных образований области, бюджетам которых </w:t>
      </w:r>
      <w:r w:rsid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субсидии из областного бюджета  на реализацию проекта «Народный бюджет</w:t>
      </w:r>
      <w:r w:rsidR="00AE79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360" w:rsidRDefault="005722E4" w:rsidP="005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5C04"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ФЦП «Жилище»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на 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132,3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областного бюджета на 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58,9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Таким образом, общее увеличение по </w:t>
      </w:r>
      <w:r w:rsidR="00AE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составляет </w:t>
      </w:r>
      <w:r w:rsidR="00FF5C04"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191,2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FD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2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833C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3C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субсидия на осуществление дорожной деятельности на </w:t>
      </w:r>
      <w:r w:rsidR="007833C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348,6</w:t>
      </w:r>
      <w:r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722E4" w:rsidRDefault="00FD2360" w:rsidP="005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Кроме того, </w:t>
      </w:r>
      <w:r w:rsidR="005722E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="007833C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реализацию  мероприятий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7833C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</w:t>
      </w:r>
      <w:r w:rsidR="005722E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32B8B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="005722E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устройство канализационных сетей от многоквартирных домов №8,9,10 по ул. Советской с. Шуйское</w:t>
      </w:r>
      <w:r w:rsidR="005722E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B8B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увеличение субсидий составит 1539,8 тыс. рублей.</w:t>
      </w:r>
      <w:r w:rsidR="005722E4"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E4" w:rsidRPr="00896CDA" w:rsidRDefault="005722E4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3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200053,5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362476">
        <w:rPr>
          <w:rFonts w:ascii="Times New Roman" w:hAnsi="Times New Roman" w:cs="Times New Roman"/>
          <w:sz w:val="28"/>
          <w:szCs w:val="28"/>
        </w:rPr>
        <w:t>3074,7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20CCE">
        <w:rPr>
          <w:rFonts w:ascii="Times New Roman" w:hAnsi="Times New Roman" w:cs="Times New Roman"/>
          <w:sz w:val="28"/>
          <w:szCs w:val="28"/>
        </w:rPr>
        <w:t xml:space="preserve">1,6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580,5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853,1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«Жилищно-коммунальное хозяйство»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1393,6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722E4" w:rsidRDefault="005722E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на </w:t>
      </w:r>
      <w:r w:rsidR="00620CCE">
        <w:rPr>
          <w:rFonts w:ascii="Times New Roman" w:eastAsia="Times New Roman" w:hAnsi="Times New Roman" w:cs="Times New Roman"/>
          <w:sz w:val="28"/>
          <w:szCs w:val="28"/>
          <w:lang w:eastAsia="ru-RU"/>
        </w:rPr>
        <w:t>247,5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C539F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73E" w:rsidRDefault="00AF1204" w:rsidP="00F847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 в части целевых статей.</w:t>
      </w:r>
    </w:p>
    <w:p w:rsidR="005722E4" w:rsidRPr="00896CDA" w:rsidRDefault="005722E4" w:rsidP="00F847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изменения объема бюджетных ассигнований не планируется.</w:t>
      </w:r>
    </w:p>
    <w:p w:rsidR="005722E4" w:rsidRDefault="005722E4" w:rsidP="00F847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5722E4" w:rsidRPr="00896CDA" w:rsidRDefault="005722E4" w:rsidP="00F847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F847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22E4" w:rsidRPr="00896CDA" w:rsidRDefault="005722E4" w:rsidP="00F847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992"/>
        <w:gridCol w:w="992"/>
        <w:gridCol w:w="992"/>
        <w:gridCol w:w="993"/>
        <w:gridCol w:w="963"/>
      </w:tblGrid>
      <w:tr w:rsidR="005E7CE1" w:rsidRPr="00896CDA" w:rsidTr="005E7CE1">
        <w:trPr>
          <w:trHeight w:val="10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утвержденный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с учетом поправок  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  <w:r w:rsidR="009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с учетом предлагаемых 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поправок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 от</w:t>
            </w:r>
          </w:p>
        </w:tc>
      </w:tr>
      <w:tr w:rsidR="005E7CE1" w:rsidRPr="00896CDA" w:rsidTr="005E7CE1">
        <w:trPr>
          <w:trHeight w:val="14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5E7CE1" w:rsidRPr="00896CDA" w:rsidTr="005E7CE1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580,5</w:t>
            </w:r>
          </w:p>
        </w:tc>
      </w:tr>
      <w:tr w:rsidR="005E7CE1" w:rsidRPr="00896CDA" w:rsidTr="005E7CE1">
        <w:trPr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5E7CE1" w:rsidRPr="00896CDA" w:rsidTr="005E7CE1">
        <w:trPr>
          <w:trHeight w:val="5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22069,6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1393,6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5E7CE1" w:rsidRPr="00896CDA" w:rsidTr="005E7CE1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10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CE1" w:rsidRPr="00896CDA" w:rsidTr="005E7CE1">
        <w:trPr>
          <w:trHeight w:val="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5E7CE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5E7CE1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31522,7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E1" w:rsidRPr="00896CDA" w:rsidRDefault="00F15D3D" w:rsidP="001D729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3074,7</w:t>
            </w:r>
          </w:p>
        </w:tc>
      </w:tr>
    </w:tbl>
    <w:p w:rsidR="005722E4" w:rsidRPr="003302B1" w:rsidRDefault="005722E4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3302B1" w:rsidRDefault="005722E4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>580,5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5722E4" w:rsidRDefault="005722E4" w:rsidP="005722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F13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F13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составит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>580,5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средств 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доходам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 бюджета района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722E4" w:rsidRDefault="005722E4" w:rsidP="005722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памятника в размере 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сметный расчет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2E4" w:rsidRDefault="005722E4" w:rsidP="005722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F1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межевание земельных участков для реализации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проектов  и закона области от 08.04.2015 года №3627-ОЗ «О бесплатном предоставлении в  собственность отдельным категориям граждан земельных участков, находящихся в государственной или муниципальной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собственности, на территории области»</w:t>
      </w:r>
      <w:r w:rsidR="0097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имущественных отношений района   от 04.05.2017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6A9" w:rsidRDefault="00C666A9" w:rsidP="005722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коммунальных услуг 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6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(квартиры и комнаты в которых никто не проживает) в сумме 322,5 тыс. рублей (основание  - ходатайство отдела имущественных отношений района от 05.05.2017 года б/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B2221" w:rsidRDefault="005722E4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221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на 853,1 тыс. рублей, в том числе:</w:t>
      </w:r>
    </w:p>
    <w:p w:rsidR="00E85662" w:rsidRPr="00E85662" w:rsidRDefault="00E85662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E85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0408 «Транспорт»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корректировка статьей расходов в 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законодательства в части Федерального закона от 13.07.201</w:t>
      </w:r>
      <w:r w:rsidR="00261097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№220-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 «Об организации  регулируемых перевозок </w:t>
      </w:r>
      <w:r w:rsidR="00261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багажа автомобильным транспортом и </w:t>
      </w:r>
      <w:r w:rsidR="00261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наземным  электрическим транспортом в РФ и о внесении изменений в отдельные законодательные акты РФ» и Федерального закона от 05.04.2013 года №44-ФЗ «О контрактной системе  в сфере закупок товаров, работ,  услуг  для обеспечения государственных  и муниципальных нужд»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расходы  по целевой статье «Компенсация потерь в доходах транспортным организациям и индивидуальным предпринимателям, осуществляющим пассажирские перевозки населения автобусами по социально-значимым маршрутам» в сумме 292,2 тыс. рублей  и добавля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эта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услуг перевозки населения автомобильным транспортом по регулируемым тарифам» (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ходатайство отдела строительства и коммунального хозяйства администрации р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  от 27.04.2017 года б/н);</w:t>
      </w:r>
    </w:p>
    <w:p w:rsidR="00E85662" w:rsidRDefault="00E85662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5722E4"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="0057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E4"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</w:t>
      </w:r>
      <w:r w:rsidR="0057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22E4"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(дорожные фонды</w:t>
      </w:r>
      <w:r w:rsidR="00572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722E4"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768,1 тыс. рублей, из них  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содержание  сетей автомобильных дорог </w:t>
      </w:r>
      <w:r w:rsid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 бюджетных ассигнований Дорожного фонда, не использованных в 2016 году в сумме </w:t>
      </w:r>
      <w:r w:rsidR="005A14E9">
        <w:rPr>
          <w:rFonts w:ascii="Times New Roman" w:eastAsia="Times New Roman" w:hAnsi="Times New Roman" w:cs="Times New Roman"/>
          <w:sz w:val="28"/>
          <w:szCs w:val="28"/>
          <w:lang w:eastAsia="ru-RU"/>
        </w:rPr>
        <w:t>416,0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A14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софинансирование  в сумме 3,5 тыс. рублей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счет субсидий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 в сумме 348,6 тыс.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D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области от 24.04.2017 года №371 «О распределении субсидий»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коммунального хозяйства администрации района от 10.05.2017 года б/з номера).</w:t>
      </w:r>
    </w:p>
    <w:p w:rsidR="005A14E9" w:rsidRDefault="005A14E9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5A1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вопросы в области 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увеличение ассигнований на осуществление полномочий в сфере градостроительной деятельности в сумме 85,0 тыс. рублей, из них: </w:t>
      </w:r>
    </w:p>
    <w:p w:rsidR="005A14E9" w:rsidRDefault="005A14E9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поселению Сухонское 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70,0 тыс. рублей </w:t>
      </w:r>
      <w:r w:rsidR="002770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разработке документации по внесению изменений в генеральный план и ПЗЗ и выполнени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части исключения из границы поселения лесных участков в кварталах 136-138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основание - письмо поселения Сухонское от 11.05.2017 года №385)</w:t>
      </w:r>
      <w:r w:rsidR="00277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082" w:rsidRDefault="00277082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4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 Ботановское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 рублей;</w:t>
      </w:r>
    </w:p>
    <w:p w:rsidR="00277082" w:rsidRPr="005A14E9" w:rsidRDefault="00277082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поселению Шейбухтовское </w:t>
      </w:r>
      <w:r w:rsidR="00AF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тыс. 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(основание – письмо отдела архитектуры  и градостроительства администрации района от 04.05.2017 года №023)</w:t>
      </w:r>
    </w:p>
    <w:p w:rsidR="00BD6FD8" w:rsidRPr="00DA0094" w:rsidRDefault="005722E4" w:rsidP="00BD6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BD6F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увеличение лимитов бюджетных обязательств на сумму  1393,6 тыс. рублей, в том числе:</w:t>
      </w:r>
      <w:r w:rsidR="00BD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B00B5" w:rsidRDefault="005722E4" w:rsidP="00DA0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FD8"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1000,0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проекту «Народный бюджет» </w:t>
      </w:r>
      <w:r w:rsid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 w:rsid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№8,9,10 по ул. Советской с. Шуйское к цент</w:t>
      </w:r>
      <w:r w:rsid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канализационной системе за счет областной субсидии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постановление Правительства Вологодской области от 15.05.2017 года №430 «Об определении муниципальных образований области,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которых предоставляются субсидии из областного бюджета  на реализацию проекта «Народный бюджет»</w:t>
      </w:r>
      <w:r w:rsidR="005310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10E5" w:rsidRDefault="005310E5" w:rsidP="00DA0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BD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BD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жилищно-коммунального хозяйства</w:t>
      </w:r>
      <w:r w:rsidRPr="00BD6F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за счет средств остатка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средств</w:t>
      </w:r>
      <w:r w:rsidRP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в сумме 393,6 тыс. рублей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аварийных домов в районе (</w:t>
      </w:r>
      <w:r w:rsidRPr="00DA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затрат на проведение государственной экспертизы сметной документации)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программой №7 «Переселение граждан из аварийного жилищного фонда в муниципальных образованиях Вологодской области на 2013-2017 годы».</w:t>
      </w:r>
    </w:p>
    <w:p w:rsidR="00CB00B5" w:rsidRPr="00CB00B5" w:rsidRDefault="00CB00B5" w:rsidP="00CB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«Образовани</w:t>
      </w:r>
      <w:r w:rsidR="0043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43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CB0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0709 «Другие вопросы в области образования»</w:t>
      </w:r>
      <w:r w:rsidRPr="00CB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корректировка 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уменьшаются расходы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1,4 тыс. рублей по Отделу образования района 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целевой статье </w:t>
      </w:r>
      <w:r w:rsidR="005310E5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«Иные закупки товаров, работ и услуг для обеспечение государственных (муниципальных) нужд» и увеличиваются 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статье </w:t>
      </w:r>
      <w:r w:rsidR="005310E5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«Уплата налогов, сборов и иных платежей» в </w:t>
      </w:r>
      <w:r w:rsid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1,4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 письмо отдела образования района от 04.05.2017 года №390).</w:t>
      </w:r>
    </w:p>
    <w:p w:rsidR="001D7296" w:rsidRDefault="005722E4" w:rsidP="001D7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35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87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876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ассигнований района за счет субсидии из областного бюджета на </w:t>
      </w:r>
      <w:r w:rsidR="00572290">
        <w:rPr>
          <w:rFonts w:ascii="Times New Roman" w:eastAsia="Times New Roman" w:hAnsi="Times New Roman" w:cs="Times New Roman"/>
          <w:sz w:val="28"/>
          <w:szCs w:val="28"/>
          <w:lang w:eastAsia="ru-RU"/>
        </w:rPr>
        <w:t>191,2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на финансирование расходного обязательства </w:t>
      </w:r>
      <w:r w:rsidR="008B3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 социальных выплат  молодым семьям  - участникам</w:t>
      </w:r>
      <w:r w:rsidR="008B338D" w:rsidRPr="008B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«Обеспечение жильем молодых семей» ФЦП «Жилище», из них 132,3 тыс. рублей федеральные средства и 58,9 тыс. рублей  областные средства</w:t>
      </w:r>
      <w:r w:rsidR="001D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Департамента строительства области  об изменении лимитов бюджетных обязательств на 2017 год),</w:t>
      </w:r>
      <w:r w:rsidR="008B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</w:t>
      </w:r>
      <w:r w:rsidR="001D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счет средств остатка собственных доходов добавляется софинансирование  по </w:t>
      </w:r>
      <w:r w:rsidR="00C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«Обеспечение жильем молодых семей в Междуреченском районе на 2016-2020 годы» </w:t>
      </w:r>
      <w:r w:rsidR="001D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7,9 тыс. рублей (основание – ходатайство отдела культуры, спорта и молодежной политики администрации района от 12.05.2017 года №54).</w:t>
      </w:r>
    </w:p>
    <w:p w:rsidR="00C803B6" w:rsidRDefault="001D7296" w:rsidP="001D7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Распорядителю бюджетных средств Отделу образования района увеличиваются бюджетные ассигнования в сумме 48,4 тыс. рублей на  реализацию мер социальной поддержки семьям, имеющим детей с ограниченными возможностями здоровья (основание – письмо отдела образования района от 18.04.2017 года №331). </w:t>
      </w:r>
    </w:p>
    <w:p w:rsidR="005722E4" w:rsidRPr="00AF103E" w:rsidRDefault="005722E4" w:rsidP="00AF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Default="005722E4" w:rsidP="0057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22E4" w:rsidRPr="0038383E" w:rsidRDefault="005722E4" w:rsidP="0057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5722E4" w:rsidRPr="0038383E" w:rsidRDefault="005722E4" w:rsidP="005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38383E" w:rsidRDefault="005722E4" w:rsidP="00415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</w:t>
      </w:r>
      <w:r w:rsidR="0041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156A8">
        <w:rPr>
          <w:rFonts w:ascii="Times New Roman" w:eastAsia="Times New Roman" w:hAnsi="Times New Roman" w:cs="Times New Roman"/>
          <w:sz w:val="28"/>
          <w:szCs w:val="28"/>
          <w:lang w:eastAsia="ru-RU"/>
        </w:rPr>
        <w:t>4522,2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15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E4" w:rsidRDefault="005722E4" w:rsidP="005722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71C6F" w:rsidRPr="0038383E" w:rsidRDefault="00771C6F" w:rsidP="005722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38383E" w:rsidRDefault="005722E4" w:rsidP="005722E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134"/>
        <w:gridCol w:w="1134"/>
        <w:gridCol w:w="1170"/>
        <w:gridCol w:w="1098"/>
      </w:tblGrid>
      <w:tr w:rsidR="005722E4" w:rsidRPr="0038383E" w:rsidTr="001D7296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4" w:rsidRPr="0038383E" w:rsidRDefault="005722E4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4" w:rsidRPr="0038383E" w:rsidRDefault="005722E4" w:rsidP="0041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156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156A8" w:rsidRPr="0038383E" w:rsidTr="004156A8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38383E" w:rsidRDefault="004156A8" w:rsidP="001D7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156A8" w:rsidRPr="0038383E" w:rsidRDefault="004156A8" w:rsidP="001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41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 2017 года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41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к утвержден</w:t>
            </w:r>
          </w:p>
          <w:p w:rsidR="004156A8" w:rsidRPr="0038383E" w:rsidRDefault="004156A8" w:rsidP="0041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решению</w:t>
            </w:r>
          </w:p>
        </w:tc>
      </w:tr>
      <w:tr w:rsidR="004156A8" w:rsidRPr="0038383E" w:rsidTr="004156A8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53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дефицита</w:t>
            </w:r>
            <w:r w:rsidR="0053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(-), </w:t>
            </w:r>
            <w:r w:rsidR="005B7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3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-12374,9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+4522,2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5310E5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 w:rsidR="007B5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16897,1</w:t>
            </w:r>
          </w:p>
        </w:tc>
      </w:tr>
      <w:tr w:rsidR="004156A8" w:rsidRPr="0038383E" w:rsidTr="004156A8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7B5555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56A8" w:rsidRPr="0038383E" w:rsidTr="004156A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-12374,9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+4522,2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5310E5" w:rsidP="0053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</w:t>
            </w:r>
            <w:r w:rsidR="007B55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16897,1</w:t>
            </w:r>
          </w:p>
        </w:tc>
      </w:tr>
      <w:tr w:rsidR="004156A8" w:rsidRPr="0038383E" w:rsidTr="004156A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196978,8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200053,5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7B5555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+3074,7</w:t>
            </w:r>
          </w:p>
        </w:tc>
      </w:tr>
      <w:tr w:rsidR="004156A8" w:rsidRPr="0038383E" w:rsidTr="004156A8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- 184603,9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4156A8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-204575,7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6A8" w:rsidRPr="0038383E" w:rsidRDefault="007B5555" w:rsidP="001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+19971,8</w:t>
            </w:r>
          </w:p>
        </w:tc>
      </w:tr>
    </w:tbl>
    <w:p w:rsidR="005722E4" w:rsidRPr="0038383E" w:rsidRDefault="005722E4" w:rsidP="005722E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320814" w:rsidRDefault="005722E4" w:rsidP="005722E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</w:t>
      </w:r>
      <w:r w:rsid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решением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1EC5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района </w:t>
      </w:r>
      <w:r w:rsidR="00A6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1EC5">
        <w:rPr>
          <w:rFonts w:ascii="Times New Roman" w:eastAsia="Times New Roman" w:hAnsi="Times New Roman" w:cs="Times New Roman"/>
          <w:sz w:val="28"/>
          <w:szCs w:val="28"/>
          <w:lang w:eastAsia="ru-RU"/>
        </w:rPr>
        <w:t>16879,1 тыс. рублей.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E4" w:rsidRPr="00896CDA" w:rsidRDefault="005722E4" w:rsidP="005310E5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Остатки средств на счете бюджета на конец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722E4" w:rsidRPr="00896CDA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701" w:rsidRDefault="005722E4" w:rsidP="005722E4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внесения изменений в основные характеристики  бюджета района в 2017 году доходы  бюджета района составят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204575,7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200053,5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–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4522,2 тыс. рублей.</w:t>
      </w:r>
    </w:p>
    <w:p w:rsidR="00D27701" w:rsidRPr="00D27701" w:rsidRDefault="00D27701" w:rsidP="00A7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Налоговые и неналоговые  поступления увеличатся  на 18432,0 тыс. руб</w:t>
      </w:r>
      <w:r w:rsidR="005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или на 33,3%, в том 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 физических лиц на 18200,0 тыс. рублей и платежи при пользовании природными ресурсами на 232,0 тыс. рублей.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</w:t>
      </w:r>
      <w:r w:rsidR="00A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717F0">
        <w:rPr>
          <w:rFonts w:ascii="Times New Roman" w:eastAsia="Times New Roman" w:hAnsi="Times New Roman" w:cs="Times New Roman"/>
          <w:sz w:val="28"/>
          <w:szCs w:val="28"/>
          <w:lang w:eastAsia="ru-RU"/>
        </w:rPr>
        <w:t>73775,0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717F0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объему доходов бюджета района.</w:t>
      </w:r>
    </w:p>
    <w:p w:rsidR="005722E4" w:rsidRPr="00D27701" w:rsidRDefault="00A717F0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Безвозмездные поступления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увеличения составит 1539,8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 них 1539,8 тыс. рублей субсидии. 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безвозмездных поступлений составит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130800,7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27701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5722E4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объему доходов бюджета района.</w:t>
      </w:r>
    </w:p>
    <w:p w:rsidR="005722E4" w:rsidRDefault="00A717F0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района в 201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3074,7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</w:t>
      </w:r>
      <w:r w:rsidR="005722E4"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196978,8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2E4"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7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722E4"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200053,7</w:t>
      </w:r>
      <w:r w:rsidR="005722E4"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Н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аибольшее увеличение бюджетных ассигнований предусмотрено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</w:t>
      </w:r>
      <w:r w:rsidR="0077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1393,6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экономика» на 853,1 тыс. рублей и «Общегосударственные вопросы» на 580,5 тыс. рублей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2E4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увеличение расходов планируется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на 247,5 </w:t>
      </w:r>
      <w:r w:rsidR="00572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722E4" w:rsidRDefault="005722E4" w:rsidP="0057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5722E4" w:rsidRPr="00896CDA" w:rsidRDefault="005722E4" w:rsidP="005722E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Ревизионная комиссия района предлагает принять проект решения 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E4" w:rsidRPr="00896CDA" w:rsidRDefault="005722E4" w:rsidP="005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E4" w:rsidRPr="00896CDA" w:rsidRDefault="005722E4" w:rsidP="0057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 ревизионной комиссии                                        М.И. Шестакова</w:t>
      </w:r>
    </w:p>
    <w:p w:rsidR="005722E4" w:rsidRPr="00896CDA" w:rsidRDefault="005722E4" w:rsidP="0057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E4" w:rsidRDefault="005722E4" w:rsidP="005722E4"/>
    <w:p w:rsidR="001965D2" w:rsidRDefault="001965D2"/>
    <w:sectPr w:rsidR="001965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E8" w:rsidRDefault="00EF70E8">
      <w:pPr>
        <w:spacing w:after="0" w:line="240" w:lineRule="auto"/>
      </w:pPr>
      <w:r>
        <w:separator/>
      </w:r>
    </w:p>
  </w:endnote>
  <w:endnote w:type="continuationSeparator" w:id="0">
    <w:p w:rsidR="00EF70E8" w:rsidRDefault="00EF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E8" w:rsidRDefault="00EF70E8">
      <w:pPr>
        <w:spacing w:after="0" w:line="240" w:lineRule="auto"/>
      </w:pPr>
      <w:r>
        <w:separator/>
      </w:r>
    </w:p>
  </w:footnote>
  <w:footnote w:type="continuationSeparator" w:id="0">
    <w:p w:rsidR="00EF70E8" w:rsidRDefault="00EF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1D7296" w:rsidRDefault="001D72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92">
          <w:rPr>
            <w:noProof/>
          </w:rPr>
          <w:t>1</w:t>
        </w:r>
        <w:r>
          <w:fldChar w:fldCharType="end"/>
        </w:r>
      </w:p>
    </w:sdtContent>
  </w:sdt>
  <w:p w:rsidR="001D7296" w:rsidRDefault="001D7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88"/>
    <w:rsid w:val="00042850"/>
    <w:rsid w:val="0008557B"/>
    <w:rsid w:val="000B2221"/>
    <w:rsid w:val="000C2993"/>
    <w:rsid w:val="000D3F27"/>
    <w:rsid w:val="00135AB1"/>
    <w:rsid w:val="0016028C"/>
    <w:rsid w:val="001965D2"/>
    <w:rsid w:val="001D7296"/>
    <w:rsid w:val="001E24D1"/>
    <w:rsid w:val="0020585C"/>
    <w:rsid w:val="00261097"/>
    <w:rsid w:val="0026660E"/>
    <w:rsid w:val="00277082"/>
    <w:rsid w:val="00362476"/>
    <w:rsid w:val="004156A8"/>
    <w:rsid w:val="004355F3"/>
    <w:rsid w:val="004628B1"/>
    <w:rsid w:val="004700D1"/>
    <w:rsid w:val="004A326A"/>
    <w:rsid w:val="005310E5"/>
    <w:rsid w:val="005524AE"/>
    <w:rsid w:val="00572290"/>
    <w:rsid w:val="005722E4"/>
    <w:rsid w:val="005A14E9"/>
    <w:rsid w:val="005B787A"/>
    <w:rsid w:val="005E7CE1"/>
    <w:rsid w:val="00620CCE"/>
    <w:rsid w:val="00707987"/>
    <w:rsid w:val="00771C6F"/>
    <w:rsid w:val="007833C4"/>
    <w:rsid w:val="00786C79"/>
    <w:rsid w:val="0079316B"/>
    <w:rsid w:val="007B5555"/>
    <w:rsid w:val="00827AF3"/>
    <w:rsid w:val="008B338D"/>
    <w:rsid w:val="008E0DA7"/>
    <w:rsid w:val="008F5B7A"/>
    <w:rsid w:val="009641EA"/>
    <w:rsid w:val="0097573E"/>
    <w:rsid w:val="0099573A"/>
    <w:rsid w:val="00A05789"/>
    <w:rsid w:val="00A13F5B"/>
    <w:rsid w:val="00A61EC5"/>
    <w:rsid w:val="00A717F0"/>
    <w:rsid w:val="00AE797F"/>
    <w:rsid w:val="00AF1204"/>
    <w:rsid w:val="00AF1834"/>
    <w:rsid w:val="00BD6FD8"/>
    <w:rsid w:val="00C254AA"/>
    <w:rsid w:val="00C45048"/>
    <w:rsid w:val="00C47288"/>
    <w:rsid w:val="00C51328"/>
    <w:rsid w:val="00C666A9"/>
    <w:rsid w:val="00C803B6"/>
    <w:rsid w:val="00CB00B5"/>
    <w:rsid w:val="00D27701"/>
    <w:rsid w:val="00D32620"/>
    <w:rsid w:val="00D32B8B"/>
    <w:rsid w:val="00D74992"/>
    <w:rsid w:val="00DA0094"/>
    <w:rsid w:val="00E520E4"/>
    <w:rsid w:val="00E85662"/>
    <w:rsid w:val="00EB75D3"/>
    <w:rsid w:val="00EF70E8"/>
    <w:rsid w:val="00F13F64"/>
    <w:rsid w:val="00F15D3D"/>
    <w:rsid w:val="00F55A27"/>
    <w:rsid w:val="00F5759A"/>
    <w:rsid w:val="00F847DC"/>
    <w:rsid w:val="00FA75B5"/>
    <w:rsid w:val="00FC539F"/>
    <w:rsid w:val="00FD2360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2E4"/>
  </w:style>
  <w:style w:type="paragraph" w:customStyle="1" w:styleId="ConsPlusNormal">
    <w:name w:val="ConsPlusNormal"/>
    <w:rsid w:val="00572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2E4"/>
  </w:style>
  <w:style w:type="paragraph" w:customStyle="1" w:styleId="ConsPlusNormal">
    <w:name w:val="ConsPlusNormal"/>
    <w:rsid w:val="00572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BB4A-B818-44CF-B044-9F7E9BC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2017-05-16T08:38:00Z</cp:lastPrinted>
  <dcterms:created xsi:type="dcterms:W3CDTF">2023-06-28T11:32:00Z</dcterms:created>
  <dcterms:modified xsi:type="dcterms:W3CDTF">2023-06-28T11:32:00Z</dcterms:modified>
</cp:coreProperties>
</file>