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192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УТВЕРЖДАЮ</w:t>
      </w: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Представительного Собрания района</w:t>
      </w: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____________________О.А.</w:t>
      </w:r>
      <w:r w:rsidR="0092559C">
        <w:rPr>
          <w:rFonts w:ascii="Times New Roman" w:hAnsi="Times New Roman" w:cs="Times New Roman"/>
          <w:sz w:val="26"/>
          <w:szCs w:val="26"/>
        </w:rPr>
        <w:t xml:space="preserve"> </w:t>
      </w:r>
      <w:r w:rsidRPr="006C192E">
        <w:rPr>
          <w:rFonts w:ascii="Times New Roman" w:hAnsi="Times New Roman" w:cs="Times New Roman"/>
          <w:sz w:val="26"/>
          <w:szCs w:val="26"/>
        </w:rPr>
        <w:t xml:space="preserve">Дудина 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92E">
        <w:rPr>
          <w:rFonts w:ascii="Times New Roman" w:hAnsi="Times New Roman" w:cs="Times New Roman"/>
          <w:b/>
          <w:sz w:val="32"/>
          <w:szCs w:val="32"/>
        </w:rPr>
        <w:t xml:space="preserve"> ЗАКЛЮЧЕНИЕ</w:t>
      </w: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на отчет об исполнении бюджета поселения </w:t>
      </w:r>
      <w:r w:rsidR="00755149">
        <w:rPr>
          <w:rFonts w:ascii="Times New Roman" w:hAnsi="Times New Roman" w:cs="Times New Roman"/>
          <w:sz w:val="28"/>
          <w:szCs w:val="28"/>
        </w:rPr>
        <w:t>Туро</w:t>
      </w:r>
      <w:r>
        <w:rPr>
          <w:rFonts w:ascii="Times New Roman" w:hAnsi="Times New Roman" w:cs="Times New Roman"/>
          <w:sz w:val="28"/>
          <w:szCs w:val="28"/>
        </w:rPr>
        <w:t>вецкое</w:t>
      </w: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за 1 квартал   201</w:t>
      </w:r>
      <w:r w:rsidR="005A1204">
        <w:rPr>
          <w:rFonts w:ascii="Times New Roman" w:hAnsi="Times New Roman" w:cs="Times New Roman"/>
          <w:sz w:val="28"/>
          <w:szCs w:val="28"/>
        </w:rPr>
        <w:t xml:space="preserve">7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192E" w:rsidRP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«</w:t>
      </w:r>
      <w:r w:rsidR="000C0F52">
        <w:rPr>
          <w:rFonts w:ascii="Times New Roman" w:hAnsi="Times New Roman" w:cs="Times New Roman"/>
          <w:sz w:val="28"/>
          <w:szCs w:val="28"/>
        </w:rPr>
        <w:t>30</w:t>
      </w:r>
      <w:r w:rsidRPr="006C192E">
        <w:rPr>
          <w:rFonts w:ascii="Times New Roman" w:hAnsi="Times New Roman" w:cs="Times New Roman"/>
          <w:sz w:val="28"/>
          <w:szCs w:val="28"/>
        </w:rPr>
        <w:t>»</w:t>
      </w:r>
      <w:r w:rsidR="000C0F52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мая  201</w:t>
      </w:r>
      <w:r w:rsidR="005A1204">
        <w:rPr>
          <w:rFonts w:ascii="Times New Roman" w:hAnsi="Times New Roman" w:cs="Times New Roman"/>
          <w:sz w:val="28"/>
          <w:szCs w:val="28"/>
        </w:rPr>
        <w:t xml:space="preserve">7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0C0F52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192E" w:rsidRPr="006C192E">
        <w:rPr>
          <w:rFonts w:ascii="Times New Roman" w:hAnsi="Times New Roman" w:cs="Times New Roman"/>
          <w:sz w:val="28"/>
          <w:szCs w:val="28"/>
        </w:rPr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</w:t>
      </w:r>
      <w:r w:rsidR="00755149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57C8B">
        <w:rPr>
          <w:rFonts w:ascii="Times New Roman" w:hAnsi="Times New Roman" w:cs="Times New Roman"/>
          <w:sz w:val="28"/>
          <w:szCs w:val="28"/>
        </w:rPr>
        <w:t>18 раздела «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Экспертно-аналитические мероприятия»  Плана работы  ревизионной комиссии </w:t>
      </w:r>
      <w:r w:rsidR="006C192E" w:rsidRPr="006C192E">
        <w:rPr>
          <w:rFonts w:ascii="Times New Roman" w:hAnsi="Times New Roman" w:cs="Times New Roman"/>
          <w:sz w:val="28"/>
          <w:szCs w:val="28"/>
        </w:rPr>
        <w:tab/>
        <w:t>Представительного Собрания района на 201</w:t>
      </w:r>
      <w:r w:rsidR="005A1204">
        <w:rPr>
          <w:rFonts w:ascii="Times New Roman" w:hAnsi="Times New Roman" w:cs="Times New Roman"/>
          <w:sz w:val="28"/>
          <w:szCs w:val="28"/>
        </w:rPr>
        <w:t>7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год, ревизионной комиссией проведен анализ исполнения бюджета поселения  за 1 квартал  201</w:t>
      </w:r>
      <w:r w:rsidR="005A1204">
        <w:rPr>
          <w:rFonts w:ascii="Times New Roman" w:hAnsi="Times New Roman" w:cs="Times New Roman"/>
          <w:sz w:val="28"/>
          <w:szCs w:val="28"/>
        </w:rPr>
        <w:t>7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Отчет об исполнении бюджета поселения за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квартал 201</w:t>
      </w:r>
      <w:r w:rsidR="005A1204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 поселения </w:t>
      </w:r>
      <w:r>
        <w:rPr>
          <w:rFonts w:ascii="Times New Roman" w:hAnsi="Times New Roman" w:cs="Times New Roman"/>
          <w:sz w:val="28"/>
          <w:szCs w:val="28"/>
        </w:rPr>
        <w:t>Туровецко</w:t>
      </w:r>
      <w:r w:rsidR="00390C79">
        <w:rPr>
          <w:rFonts w:ascii="Times New Roman" w:hAnsi="Times New Roman" w:cs="Times New Roman"/>
          <w:sz w:val="28"/>
          <w:szCs w:val="28"/>
        </w:rPr>
        <w:t>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120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мая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5A1204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A1204">
        <w:rPr>
          <w:rFonts w:ascii="Times New Roman" w:hAnsi="Times New Roman" w:cs="Times New Roman"/>
          <w:sz w:val="28"/>
          <w:szCs w:val="28"/>
        </w:rPr>
        <w:t>8</w:t>
      </w:r>
      <w:r w:rsidRPr="006C192E">
        <w:rPr>
          <w:rFonts w:ascii="Times New Roman" w:hAnsi="Times New Roman" w:cs="Times New Roman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6C192E" w:rsidRPr="006C192E" w:rsidRDefault="000C0F52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C192E" w:rsidRPr="006C192E">
        <w:rPr>
          <w:rFonts w:ascii="Times New Roman" w:hAnsi="Times New Roman" w:cs="Times New Roman"/>
          <w:sz w:val="28"/>
          <w:szCs w:val="28"/>
        </w:rPr>
        <w:t>сопоставление исполненных показателей бюджета поселения  за 1 квартал 201</w:t>
      </w:r>
      <w:r w:rsidR="0049603B">
        <w:rPr>
          <w:rFonts w:ascii="Times New Roman" w:hAnsi="Times New Roman" w:cs="Times New Roman"/>
          <w:sz w:val="28"/>
          <w:szCs w:val="28"/>
        </w:rPr>
        <w:t>7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года с годовыми назначениями, а также  с показателями за аналогичный период предыдущего года;</w:t>
      </w:r>
    </w:p>
    <w:p w:rsidR="006C192E" w:rsidRPr="006C192E" w:rsidRDefault="000C0F52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выявление возможных несоответствий (нарушений) и подготовка предложений, направленных на их устранение.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Заключение ревизионной комиссии на отчет об исполнении бюджета поселения за 1</w:t>
      </w:r>
      <w:r w:rsidR="002B201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квартал 201</w:t>
      </w:r>
      <w:r w:rsidR="0049603B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(далее - Заключение)</w:t>
      </w:r>
      <w:r w:rsidR="0049603B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6C192E">
        <w:rPr>
          <w:rFonts w:ascii="Times New Roman" w:hAnsi="Times New Roman" w:cs="Times New Roman"/>
          <w:sz w:val="28"/>
          <w:szCs w:val="28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6C192E">
        <w:rPr>
          <w:rFonts w:ascii="Times New Roman" w:hAnsi="Times New Roman" w:cs="Times New Roman"/>
          <w:sz w:val="28"/>
          <w:szCs w:val="28"/>
        </w:rPr>
        <w:tab/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192E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бюджета поселения.</w:t>
      </w:r>
    </w:p>
    <w:p w:rsid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Отчет об исполнении бюджета поселения за 1 квартал  201</w:t>
      </w:r>
      <w:r w:rsidR="0049603B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поселения </w:t>
      </w:r>
      <w:r w:rsidR="002B2016">
        <w:rPr>
          <w:rFonts w:ascii="Times New Roman" w:hAnsi="Times New Roman" w:cs="Times New Roman"/>
          <w:sz w:val="28"/>
          <w:szCs w:val="28"/>
        </w:rPr>
        <w:t>Туровецкое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6C192E" w:rsidRPr="006C192E" w:rsidRDefault="006808A9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8A9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C192E" w:rsidRPr="006C192E">
        <w:rPr>
          <w:rFonts w:ascii="Times New Roman" w:hAnsi="Times New Roman" w:cs="Times New Roman"/>
          <w:sz w:val="28"/>
          <w:szCs w:val="28"/>
        </w:rPr>
        <w:tab/>
        <w:t>Изменения в решение «О бюджете поселения на 201</w:t>
      </w:r>
      <w:r w:rsidR="0049603B">
        <w:rPr>
          <w:rFonts w:ascii="Times New Roman" w:hAnsi="Times New Roman" w:cs="Times New Roman"/>
          <w:sz w:val="28"/>
          <w:szCs w:val="28"/>
        </w:rPr>
        <w:t>7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</w:t>
      </w:r>
      <w:r w:rsidR="0049603B">
        <w:rPr>
          <w:rFonts w:ascii="Times New Roman" w:hAnsi="Times New Roman" w:cs="Times New Roman"/>
          <w:sz w:val="28"/>
          <w:szCs w:val="28"/>
        </w:rPr>
        <w:t xml:space="preserve"> и плановый период  2018 и 2019 годов</w:t>
      </w:r>
      <w:r w:rsidR="006C192E" w:rsidRPr="006C192E">
        <w:rPr>
          <w:rFonts w:ascii="Times New Roman" w:hAnsi="Times New Roman" w:cs="Times New Roman"/>
          <w:sz w:val="28"/>
          <w:szCs w:val="28"/>
        </w:rPr>
        <w:t>» в 1 квартале 201</w:t>
      </w:r>
      <w:r w:rsidR="0049603B">
        <w:rPr>
          <w:rFonts w:ascii="Times New Roman" w:hAnsi="Times New Roman" w:cs="Times New Roman"/>
          <w:sz w:val="28"/>
          <w:szCs w:val="28"/>
        </w:rPr>
        <w:t xml:space="preserve">7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года вносились</w:t>
      </w:r>
      <w:r w:rsidR="008F521A">
        <w:rPr>
          <w:rFonts w:ascii="Times New Roman" w:hAnsi="Times New Roman" w:cs="Times New Roman"/>
          <w:sz w:val="28"/>
          <w:szCs w:val="28"/>
        </w:rPr>
        <w:t xml:space="preserve"> 1 раз решением Совета поселения </w:t>
      </w:r>
      <w:r w:rsidR="000C21A2">
        <w:rPr>
          <w:rFonts w:ascii="Times New Roman" w:hAnsi="Times New Roman" w:cs="Times New Roman"/>
          <w:sz w:val="28"/>
          <w:szCs w:val="28"/>
        </w:rPr>
        <w:t xml:space="preserve"> от 03.04.2017 года № 85.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Первоначальный бюджет поселения на 201</w:t>
      </w:r>
      <w:r w:rsidR="000C21A2">
        <w:rPr>
          <w:rFonts w:ascii="Times New Roman" w:hAnsi="Times New Roman" w:cs="Times New Roman"/>
          <w:sz w:val="28"/>
          <w:szCs w:val="28"/>
        </w:rPr>
        <w:t xml:space="preserve">7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 утвержден  решением Совета поселения </w:t>
      </w:r>
      <w:r w:rsidR="002B2016">
        <w:rPr>
          <w:rFonts w:ascii="Times New Roman" w:hAnsi="Times New Roman" w:cs="Times New Roman"/>
          <w:sz w:val="28"/>
          <w:szCs w:val="28"/>
        </w:rPr>
        <w:t xml:space="preserve">Туровецкое </w:t>
      </w:r>
      <w:r w:rsidRPr="006C192E">
        <w:rPr>
          <w:rFonts w:ascii="Times New Roman" w:hAnsi="Times New Roman" w:cs="Times New Roman"/>
          <w:sz w:val="28"/>
          <w:szCs w:val="28"/>
        </w:rPr>
        <w:t>от 2</w:t>
      </w:r>
      <w:r w:rsidR="000C21A2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C21A2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C21A2">
        <w:rPr>
          <w:rFonts w:ascii="Times New Roman" w:hAnsi="Times New Roman" w:cs="Times New Roman"/>
          <w:sz w:val="28"/>
          <w:szCs w:val="28"/>
        </w:rPr>
        <w:t>78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со  следующими параметрами: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- объем доходов бюджета поселения –</w:t>
      </w:r>
      <w:r w:rsidR="000C0F52">
        <w:rPr>
          <w:rFonts w:ascii="Times New Roman" w:hAnsi="Times New Roman" w:cs="Times New Roman"/>
          <w:sz w:val="28"/>
          <w:szCs w:val="28"/>
        </w:rPr>
        <w:t xml:space="preserve"> </w:t>
      </w:r>
      <w:r w:rsidR="000C21A2">
        <w:rPr>
          <w:rFonts w:ascii="Times New Roman" w:hAnsi="Times New Roman" w:cs="Times New Roman"/>
          <w:sz w:val="28"/>
          <w:szCs w:val="28"/>
        </w:rPr>
        <w:t>4025,7</w:t>
      </w:r>
      <w:r w:rsidR="002B201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- расходы бюджета поселения</w:t>
      </w:r>
      <w:r w:rsidR="000C0F52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–</w:t>
      </w:r>
      <w:r w:rsidR="000C0F52">
        <w:rPr>
          <w:rFonts w:ascii="Times New Roman" w:hAnsi="Times New Roman" w:cs="Times New Roman"/>
          <w:sz w:val="28"/>
          <w:szCs w:val="28"/>
        </w:rPr>
        <w:t xml:space="preserve"> </w:t>
      </w:r>
      <w:r w:rsidR="000C21A2">
        <w:rPr>
          <w:rFonts w:ascii="Times New Roman" w:hAnsi="Times New Roman" w:cs="Times New Roman"/>
          <w:sz w:val="28"/>
          <w:szCs w:val="28"/>
        </w:rPr>
        <w:t>4025,7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92E" w:rsidRDefault="006C192E" w:rsidP="006C192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- дефицит бюджета поселения - принят без дефицита.</w:t>
      </w:r>
    </w:p>
    <w:p w:rsidR="000C21A2" w:rsidRPr="006C192E" w:rsidRDefault="000C21A2" w:rsidP="006C192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поправок объем доходов и расходов бюджета поселения составил </w:t>
      </w:r>
      <w:r w:rsidR="000C0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4446,8 тыс. рублей, бюджет сформирован без дефицита.</w:t>
      </w:r>
    </w:p>
    <w:p w:rsidR="006C192E" w:rsidRPr="006C192E" w:rsidRDefault="002B2016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>По данным отчета об исполнении бюджета доходы 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1A2">
        <w:rPr>
          <w:rFonts w:ascii="Times New Roman" w:hAnsi="Times New Roman" w:cs="Times New Roman"/>
          <w:sz w:val="28"/>
          <w:szCs w:val="28"/>
        </w:rPr>
        <w:t>959,4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C21A2">
        <w:rPr>
          <w:rFonts w:ascii="Times New Roman" w:hAnsi="Times New Roman" w:cs="Times New Roman"/>
          <w:sz w:val="28"/>
          <w:szCs w:val="28"/>
        </w:rPr>
        <w:t>21,6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0C21A2">
        <w:rPr>
          <w:rFonts w:ascii="Times New Roman" w:hAnsi="Times New Roman" w:cs="Times New Roman"/>
          <w:sz w:val="28"/>
          <w:szCs w:val="28"/>
        </w:rPr>
        <w:t>4446,8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0C21A2">
        <w:rPr>
          <w:rFonts w:ascii="Times New Roman" w:hAnsi="Times New Roman" w:cs="Times New Roman"/>
          <w:sz w:val="28"/>
          <w:szCs w:val="28"/>
        </w:rPr>
        <w:t>944,4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C21A2">
        <w:rPr>
          <w:rFonts w:ascii="Times New Roman" w:hAnsi="Times New Roman" w:cs="Times New Roman"/>
          <w:sz w:val="28"/>
          <w:szCs w:val="28"/>
        </w:rPr>
        <w:t>21,2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0C21A2">
        <w:rPr>
          <w:rFonts w:ascii="Times New Roman" w:hAnsi="Times New Roman" w:cs="Times New Roman"/>
          <w:sz w:val="28"/>
          <w:szCs w:val="28"/>
        </w:rPr>
        <w:t xml:space="preserve">4446,8 тыс. рублей, профицит </w:t>
      </w:r>
      <w:r w:rsidR="000C0F52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– </w:t>
      </w:r>
      <w:r w:rsidR="000C21A2">
        <w:rPr>
          <w:rFonts w:ascii="Times New Roman" w:hAnsi="Times New Roman" w:cs="Times New Roman"/>
          <w:sz w:val="28"/>
          <w:szCs w:val="28"/>
        </w:rPr>
        <w:t>15,0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Исполнение бюджета поселения за 1 квартал 201</w:t>
      </w:r>
      <w:r w:rsidR="000C21A2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 w:rsidR="000C21A2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0"/>
          <w:szCs w:val="20"/>
        </w:rPr>
        <w:t>Таблица № 1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="00B364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192E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417"/>
        <w:gridCol w:w="1417"/>
      </w:tblGrid>
      <w:tr w:rsidR="006C192E" w:rsidRPr="006C192E" w:rsidTr="00B36491">
        <w:trPr>
          <w:trHeight w:val="2158"/>
        </w:trPr>
        <w:tc>
          <w:tcPr>
            <w:tcW w:w="18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C192E" w:rsidRPr="006C192E" w:rsidRDefault="006C192E" w:rsidP="000C21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за 1 квартал201</w:t>
            </w:r>
            <w:r w:rsidR="000C21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C21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:rsidR="006C192E" w:rsidRPr="006C192E" w:rsidRDefault="006C192E" w:rsidP="000C21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C21A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полнее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Абсолютное </w:t>
            </w: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C21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proofErr w:type="gram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1 квартала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C21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Исполнение к уровню   1</w:t>
            </w:r>
          </w:p>
          <w:p w:rsidR="006C192E" w:rsidRPr="006C192E" w:rsidRDefault="000C21A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  <w:r w:rsidR="006C192E"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192E"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года  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92E" w:rsidRPr="006C192E" w:rsidTr="00B36491">
        <w:tc>
          <w:tcPr>
            <w:tcW w:w="18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C21A2" w:rsidRPr="006C192E" w:rsidTr="00B36491">
        <w:tc>
          <w:tcPr>
            <w:tcW w:w="1809" w:type="dxa"/>
          </w:tcPr>
          <w:p w:rsidR="000C21A2" w:rsidRPr="006C192E" w:rsidRDefault="000C21A2" w:rsidP="006C192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0C21A2" w:rsidRPr="006C192E" w:rsidRDefault="000C21A2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935,8</w:t>
            </w:r>
          </w:p>
        </w:tc>
        <w:tc>
          <w:tcPr>
            <w:tcW w:w="1276" w:type="dxa"/>
          </w:tcPr>
          <w:p w:rsidR="000C21A2" w:rsidRPr="006C192E" w:rsidRDefault="000C21A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4446,8</w:t>
            </w:r>
          </w:p>
        </w:tc>
        <w:tc>
          <w:tcPr>
            <w:tcW w:w="1276" w:type="dxa"/>
          </w:tcPr>
          <w:p w:rsidR="000C21A2" w:rsidRPr="006C192E" w:rsidRDefault="000C21A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959,4</w:t>
            </w:r>
          </w:p>
        </w:tc>
        <w:tc>
          <w:tcPr>
            <w:tcW w:w="1276" w:type="dxa"/>
          </w:tcPr>
          <w:p w:rsidR="000C21A2" w:rsidRPr="006C192E" w:rsidRDefault="000C21A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417" w:type="dxa"/>
          </w:tcPr>
          <w:p w:rsidR="000C21A2" w:rsidRPr="006C192E" w:rsidRDefault="00EE71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417" w:type="dxa"/>
          </w:tcPr>
          <w:p w:rsidR="000C21A2" w:rsidRPr="006C192E" w:rsidRDefault="00EE71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0C21A2" w:rsidRPr="006C192E" w:rsidTr="00B36491">
        <w:tc>
          <w:tcPr>
            <w:tcW w:w="1809" w:type="dxa"/>
          </w:tcPr>
          <w:p w:rsidR="000C21A2" w:rsidRPr="006C192E" w:rsidRDefault="000C21A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0C21A2" w:rsidRPr="006C192E" w:rsidRDefault="000C21A2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971,0</w:t>
            </w:r>
          </w:p>
        </w:tc>
        <w:tc>
          <w:tcPr>
            <w:tcW w:w="1276" w:type="dxa"/>
          </w:tcPr>
          <w:p w:rsidR="000C21A2" w:rsidRPr="006C192E" w:rsidRDefault="000C21A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4446,8</w:t>
            </w:r>
          </w:p>
        </w:tc>
        <w:tc>
          <w:tcPr>
            <w:tcW w:w="1276" w:type="dxa"/>
          </w:tcPr>
          <w:p w:rsidR="000C21A2" w:rsidRPr="006C192E" w:rsidRDefault="000C21A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944,4</w:t>
            </w:r>
          </w:p>
        </w:tc>
        <w:tc>
          <w:tcPr>
            <w:tcW w:w="1276" w:type="dxa"/>
          </w:tcPr>
          <w:p w:rsidR="000C21A2" w:rsidRPr="006C192E" w:rsidRDefault="000C21A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417" w:type="dxa"/>
          </w:tcPr>
          <w:p w:rsidR="000C21A2" w:rsidRPr="006C192E" w:rsidRDefault="00EE71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-26,6</w:t>
            </w:r>
          </w:p>
        </w:tc>
        <w:tc>
          <w:tcPr>
            <w:tcW w:w="1417" w:type="dxa"/>
          </w:tcPr>
          <w:p w:rsidR="000C21A2" w:rsidRPr="006C192E" w:rsidRDefault="00EE71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</w:tr>
      <w:tr w:rsidR="000C21A2" w:rsidRPr="006C192E" w:rsidTr="00B36491">
        <w:tc>
          <w:tcPr>
            <w:tcW w:w="1809" w:type="dxa"/>
          </w:tcPr>
          <w:p w:rsidR="000C21A2" w:rsidRPr="006C192E" w:rsidRDefault="000C21A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(-),</w:t>
            </w:r>
            <w:proofErr w:type="gramEnd"/>
          </w:p>
          <w:p w:rsidR="000C21A2" w:rsidRPr="006C192E" w:rsidRDefault="000C21A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gram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0C21A2" w:rsidRPr="006C192E" w:rsidRDefault="000C21A2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</w:tcPr>
          <w:p w:rsidR="000C21A2" w:rsidRPr="006C192E" w:rsidRDefault="000C21A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C21A2" w:rsidRPr="006C192E" w:rsidRDefault="000C21A2" w:rsidP="00EA53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+15,0</w:t>
            </w:r>
          </w:p>
        </w:tc>
        <w:tc>
          <w:tcPr>
            <w:tcW w:w="1276" w:type="dxa"/>
          </w:tcPr>
          <w:p w:rsidR="000C21A2" w:rsidRPr="006C192E" w:rsidRDefault="000C21A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0C21A2" w:rsidRPr="006C192E" w:rsidRDefault="00EE71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+50,2</w:t>
            </w:r>
          </w:p>
        </w:tc>
        <w:tc>
          <w:tcPr>
            <w:tcW w:w="1417" w:type="dxa"/>
          </w:tcPr>
          <w:p w:rsidR="000C21A2" w:rsidRPr="006C192E" w:rsidRDefault="00EE71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192E">
        <w:rPr>
          <w:rFonts w:ascii="Times New Roman" w:hAnsi="Times New Roman" w:cs="Times New Roman"/>
          <w:sz w:val="28"/>
          <w:szCs w:val="28"/>
        </w:rPr>
        <w:t>По сравнению с 1 кварталом 201</w:t>
      </w:r>
      <w:r w:rsidR="00EE71AB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доходы бюджета поселения увеличились </w:t>
      </w:r>
      <w:r w:rsidR="00EE71AB">
        <w:rPr>
          <w:rFonts w:ascii="Times New Roman" w:hAnsi="Times New Roman" w:cs="Times New Roman"/>
          <w:sz w:val="28"/>
          <w:szCs w:val="28"/>
        </w:rPr>
        <w:t>23,6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A53DB">
        <w:rPr>
          <w:rFonts w:ascii="Times New Roman" w:hAnsi="Times New Roman" w:cs="Times New Roman"/>
          <w:sz w:val="28"/>
          <w:szCs w:val="28"/>
        </w:rPr>
        <w:t>2,</w:t>
      </w:r>
      <w:r w:rsidR="00EE71AB">
        <w:rPr>
          <w:rFonts w:ascii="Times New Roman" w:hAnsi="Times New Roman" w:cs="Times New Roman"/>
          <w:sz w:val="28"/>
          <w:szCs w:val="28"/>
        </w:rPr>
        <w:t>5</w:t>
      </w:r>
      <w:r w:rsidRPr="006C192E">
        <w:rPr>
          <w:rFonts w:ascii="Times New Roman" w:hAnsi="Times New Roman" w:cs="Times New Roman"/>
          <w:sz w:val="28"/>
          <w:szCs w:val="28"/>
        </w:rPr>
        <w:t xml:space="preserve">%, расходы </w:t>
      </w:r>
      <w:r w:rsidR="00EA53DB">
        <w:rPr>
          <w:rFonts w:ascii="Times New Roman" w:hAnsi="Times New Roman" w:cs="Times New Roman"/>
          <w:sz w:val="28"/>
          <w:szCs w:val="28"/>
        </w:rPr>
        <w:t>уменьшились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EE71AB">
        <w:rPr>
          <w:rFonts w:ascii="Times New Roman" w:hAnsi="Times New Roman" w:cs="Times New Roman"/>
          <w:sz w:val="28"/>
          <w:szCs w:val="28"/>
        </w:rPr>
        <w:t>26,6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EE71AB">
        <w:rPr>
          <w:rFonts w:ascii="Times New Roman" w:hAnsi="Times New Roman" w:cs="Times New Roman"/>
          <w:sz w:val="28"/>
          <w:szCs w:val="28"/>
        </w:rPr>
        <w:t>2,6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%. Бюджет поселения за 1 квартал 201</w:t>
      </w:r>
      <w:r w:rsidR="00EE71AB">
        <w:rPr>
          <w:rFonts w:ascii="Times New Roman" w:hAnsi="Times New Roman" w:cs="Times New Roman"/>
          <w:sz w:val="28"/>
          <w:szCs w:val="28"/>
        </w:rPr>
        <w:t xml:space="preserve">7 года исполнен с </w:t>
      </w:r>
      <w:r w:rsidR="00EE71AB">
        <w:rPr>
          <w:rFonts w:ascii="Times New Roman" w:hAnsi="Times New Roman" w:cs="Times New Roman"/>
          <w:sz w:val="28"/>
          <w:szCs w:val="28"/>
        </w:rPr>
        <w:lastRenderedPageBreak/>
        <w:t>профицитом</w:t>
      </w:r>
      <w:r w:rsidRPr="006C192E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EE71AB">
        <w:rPr>
          <w:rFonts w:ascii="Times New Roman" w:hAnsi="Times New Roman" w:cs="Times New Roman"/>
          <w:sz w:val="28"/>
          <w:szCs w:val="28"/>
        </w:rPr>
        <w:t>15,0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</w:t>
      </w:r>
      <w:r w:rsidR="00EE71AB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бюджет исполнен с дефицитом в сумме </w:t>
      </w:r>
      <w:r w:rsidR="00EE71AB">
        <w:rPr>
          <w:rFonts w:ascii="Times New Roman" w:hAnsi="Times New Roman" w:cs="Times New Roman"/>
          <w:sz w:val="28"/>
          <w:szCs w:val="28"/>
        </w:rPr>
        <w:t>35,2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53DB" w:rsidRPr="006C192E" w:rsidRDefault="00EA53DB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Pr="006C192E" w:rsidRDefault="006C192E" w:rsidP="00EA53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b/>
          <w:i/>
          <w:sz w:val="28"/>
          <w:szCs w:val="28"/>
        </w:rPr>
        <w:t>Доходы бюджета поселения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Исполнение бюджета поселения по доходам за 1 квартал  201</w:t>
      </w:r>
      <w:r w:rsidR="00EE71AB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</w:rPr>
        <w:t>Таблица № 2</w:t>
      </w:r>
      <w:r w:rsidRPr="006C192E">
        <w:rPr>
          <w:rFonts w:ascii="Times New Roman" w:hAnsi="Times New Roman" w:cs="Times New Roman"/>
        </w:rPr>
        <w:tab/>
      </w:r>
      <w:r w:rsidR="00EA53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6C192E">
        <w:rPr>
          <w:rFonts w:ascii="Times New Roman" w:hAnsi="Times New Roman" w:cs="Times New Roman"/>
        </w:rPr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6C192E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6C192E" w:rsidRPr="006C192E" w:rsidRDefault="006C192E" w:rsidP="00EE71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EE71A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6C192E" w:rsidRPr="006C192E" w:rsidRDefault="006C192E" w:rsidP="00EE71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за 1 квартал 201</w:t>
            </w:r>
            <w:r w:rsidR="00EE7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92E" w:rsidRPr="006C192E" w:rsidRDefault="006C192E" w:rsidP="00EE71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EE71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6C192E" w:rsidRPr="006C192E" w:rsidRDefault="006C192E" w:rsidP="00EE71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за 1 квартал 201</w:t>
            </w:r>
            <w:r w:rsidR="00EE71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850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6C192E" w:rsidRPr="006C192E" w:rsidRDefault="006C192E" w:rsidP="006C192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1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квартала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EE71A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года от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1 квартала</w:t>
            </w:r>
          </w:p>
          <w:p w:rsidR="006C192E" w:rsidRPr="006C192E" w:rsidRDefault="006C192E" w:rsidP="00EE71AB">
            <w:pPr>
              <w:spacing w:after="0" w:line="240" w:lineRule="auto"/>
              <w:ind w:left="-108" w:righ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EE71A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к уровню 1 квартала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EE71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E71AB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EE71AB" w:rsidRPr="006C192E" w:rsidRDefault="00EE71AB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248,0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38,9</w:t>
            </w:r>
          </w:p>
        </w:tc>
        <w:tc>
          <w:tcPr>
            <w:tcW w:w="709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15,7</w:t>
            </w:r>
          </w:p>
        </w:tc>
        <w:tc>
          <w:tcPr>
            <w:tcW w:w="850" w:type="dxa"/>
          </w:tcPr>
          <w:p w:rsidR="00EE71AB" w:rsidRPr="006C192E" w:rsidRDefault="00EE71AB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231,0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44,4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19,2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114,1</w:t>
            </w:r>
          </w:p>
        </w:tc>
      </w:tr>
      <w:tr w:rsidR="00EE71AB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EE71AB" w:rsidRPr="006C192E" w:rsidRDefault="00EE71AB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709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850" w:type="dxa"/>
          </w:tcPr>
          <w:p w:rsidR="00EE71AB" w:rsidRPr="006C192E" w:rsidRDefault="00EE71AB" w:rsidP="00D8257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ind w:left="-108" w:hanging="14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107,7</w:t>
            </w:r>
          </w:p>
        </w:tc>
      </w:tr>
      <w:tr w:rsidR="00EE71AB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EE71AB" w:rsidRPr="006C192E" w:rsidRDefault="00EE71AB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налог на имущество физ</w:t>
            </w:r>
            <w:r>
              <w:rPr>
                <w:rFonts w:ascii="Times New Roman" w:hAnsi="Times New Roman" w:cs="Times New Roman"/>
              </w:rPr>
              <w:t xml:space="preserve">ических </w:t>
            </w:r>
            <w:r w:rsidRPr="006C192E">
              <w:rPr>
                <w:rFonts w:ascii="Times New Roman" w:hAnsi="Times New Roman" w:cs="Times New Roman"/>
              </w:rPr>
              <w:t>лиц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09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</w:tcPr>
          <w:p w:rsidR="00EE71AB" w:rsidRPr="006C192E" w:rsidRDefault="00EE71AB" w:rsidP="00D8257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1" w:type="dxa"/>
          </w:tcPr>
          <w:p w:rsidR="00EE71AB" w:rsidRPr="006C192E" w:rsidRDefault="00E37E01" w:rsidP="00E37E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2,0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</w:t>
            </w:r>
          </w:p>
        </w:tc>
      </w:tr>
      <w:tr w:rsidR="00EE71AB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EE71AB" w:rsidRPr="006C192E" w:rsidRDefault="00EE71AB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земельный налог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709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850" w:type="dxa"/>
          </w:tcPr>
          <w:p w:rsidR="00EE71AB" w:rsidRPr="006C192E" w:rsidRDefault="00EE71AB" w:rsidP="00D8257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E71AB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EE71AB" w:rsidRPr="006C192E" w:rsidRDefault="00EE71AB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государственная пошлина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E71AB" w:rsidRPr="006C192E" w:rsidRDefault="00EE71AB" w:rsidP="00D82570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E71AB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EE71AB" w:rsidRPr="006C192E" w:rsidRDefault="00EE71AB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992" w:type="dxa"/>
          </w:tcPr>
          <w:p w:rsidR="00EE71AB" w:rsidRPr="00D82570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992" w:type="dxa"/>
          </w:tcPr>
          <w:p w:rsidR="00EE71AB" w:rsidRPr="00D82570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EE71AB" w:rsidRPr="00D82570" w:rsidRDefault="00EE71AB" w:rsidP="00612AC6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EE71AB" w:rsidRPr="00D82570" w:rsidRDefault="00EE71AB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EE71AB" w:rsidRPr="00D82570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EE71AB" w:rsidRPr="00D82570" w:rsidRDefault="00E37E01" w:rsidP="00D82570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EE71AB" w:rsidRPr="00D82570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EE71AB" w:rsidRPr="00D82570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EE71AB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EE71AB" w:rsidRPr="006C192E" w:rsidRDefault="00EE71AB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992" w:type="dxa"/>
          </w:tcPr>
          <w:p w:rsidR="00EE71AB" w:rsidRPr="00D82570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</w:tcPr>
          <w:p w:rsidR="00EE71AB" w:rsidRPr="00D82570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E71AB" w:rsidRPr="00D82570" w:rsidRDefault="00EE71AB" w:rsidP="00612AC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 xml:space="preserve">       0,0</w:t>
            </w:r>
          </w:p>
        </w:tc>
        <w:tc>
          <w:tcPr>
            <w:tcW w:w="850" w:type="dxa"/>
          </w:tcPr>
          <w:p w:rsidR="00EE71AB" w:rsidRPr="00D82570" w:rsidRDefault="00EE71AB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E71AB" w:rsidRPr="00D82570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E71AB" w:rsidRPr="00D82570" w:rsidRDefault="00E37E01" w:rsidP="00D8257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0,0</w:t>
            </w:r>
          </w:p>
        </w:tc>
        <w:tc>
          <w:tcPr>
            <w:tcW w:w="851" w:type="dxa"/>
          </w:tcPr>
          <w:p w:rsidR="00EE71AB" w:rsidRPr="00D82570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E71AB" w:rsidRPr="00D82570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E71AB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EE71AB" w:rsidRPr="006C192E" w:rsidRDefault="00EE71AB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273,0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38,9</w:t>
            </w:r>
          </w:p>
        </w:tc>
        <w:tc>
          <w:tcPr>
            <w:tcW w:w="709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850" w:type="dxa"/>
          </w:tcPr>
          <w:p w:rsidR="00EE71AB" w:rsidRPr="006C192E" w:rsidRDefault="00EE71AB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231,0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44,4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19,0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114,1</w:t>
            </w:r>
          </w:p>
        </w:tc>
      </w:tr>
      <w:tr w:rsidR="00EE71AB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EE71AB" w:rsidRPr="006C192E" w:rsidRDefault="00EE71AB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3785,2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896,9</w:t>
            </w:r>
          </w:p>
        </w:tc>
        <w:tc>
          <w:tcPr>
            <w:tcW w:w="709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23,7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4215,8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915,0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21,7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18,1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102,0</w:t>
            </w:r>
          </w:p>
        </w:tc>
      </w:tr>
      <w:tr w:rsidR="00EE71AB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EE71AB" w:rsidRPr="006C192E" w:rsidRDefault="00EE71AB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дотации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3458,4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864,2</w:t>
            </w:r>
          </w:p>
        </w:tc>
        <w:tc>
          <w:tcPr>
            <w:tcW w:w="709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3470,0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854,0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-10,2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</w:tr>
      <w:tr w:rsidR="00EE71AB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EE71AB" w:rsidRPr="006C192E" w:rsidRDefault="00EE71AB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субвенции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-2,7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</w:tr>
      <w:tr w:rsidR="00E37E01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E37E01" w:rsidRPr="006C192E" w:rsidRDefault="00E37E01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-субсидии</w:t>
            </w:r>
          </w:p>
        </w:tc>
        <w:tc>
          <w:tcPr>
            <w:tcW w:w="992" w:type="dxa"/>
          </w:tcPr>
          <w:p w:rsidR="00E37E01" w:rsidRDefault="00E37E01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37E01" w:rsidRDefault="00E37E01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E37E01" w:rsidRDefault="00E37E01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37E01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851" w:type="dxa"/>
          </w:tcPr>
          <w:p w:rsidR="00E37E01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37E01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37E01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37E01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E71AB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EE71AB" w:rsidRPr="006C192E" w:rsidRDefault="00EE71AB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631,4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1" w:type="dxa"/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</w:tcPr>
          <w:p w:rsidR="00EE71AB" w:rsidRPr="006C192E" w:rsidRDefault="0075329D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4,1 раза</w:t>
            </w:r>
          </w:p>
        </w:tc>
      </w:tr>
      <w:tr w:rsidR="00EE71AB" w:rsidRPr="006C192E" w:rsidTr="00D82570">
        <w:trPr>
          <w:trHeight w:val="309"/>
        </w:trPr>
        <w:tc>
          <w:tcPr>
            <w:tcW w:w="2802" w:type="dxa"/>
          </w:tcPr>
          <w:p w:rsidR="00EE71AB" w:rsidRPr="006C192E" w:rsidRDefault="00EE71AB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3822,8</w:t>
            </w:r>
          </w:p>
        </w:tc>
        <w:tc>
          <w:tcPr>
            <w:tcW w:w="992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935,8</w:t>
            </w:r>
          </w:p>
        </w:tc>
        <w:tc>
          <w:tcPr>
            <w:tcW w:w="709" w:type="dxa"/>
          </w:tcPr>
          <w:p w:rsidR="00EE71AB" w:rsidRPr="006C192E" w:rsidRDefault="00EE71AB" w:rsidP="00612A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850" w:type="dxa"/>
          </w:tcPr>
          <w:p w:rsidR="00EE71AB" w:rsidRPr="006C192E" w:rsidRDefault="00E37E01" w:rsidP="00D82570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4446,8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959,4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EE71AB" w:rsidRPr="006C192E" w:rsidRDefault="00E37E01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EE71AB" w:rsidRPr="006C192E" w:rsidRDefault="0075329D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E71AB" w:rsidRPr="006C192E" w:rsidRDefault="00EE71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5329D" w:rsidRDefault="0075329D" w:rsidP="006C19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5329D" w:rsidRDefault="0075329D" w:rsidP="006C19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5329D" w:rsidRDefault="0075329D" w:rsidP="006C19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5329D" w:rsidRPr="006C192E" w:rsidRDefault="0075329D" w:rsidP="006C19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82570" w:rsidRPr="006C192E" w:rsidRDefault="00D82570" w:rsidP="00D8257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192E" w:rsidRPr="006C192E" w:rsidRDefault="006C192E" w:rsidP="00D8257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Налоговые и неналоговые доходы бюджета поселения</w:t>
      </w:r>
    </w:p>
    <w:p w:rsidR="006C192E" w:rsidRP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1A096D">
        <w:rPr>
          <w:rFonts w:ascii="Times New Roman" w:hAnsi="Times New Roman" w:cs="Times New Roman"/>
          <w:sz w:val="28"/>
          <w:szCs w:val="28"/>
        </w:rPr>
        <w:t>44,4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1A096D">
        <w:rPr>
          <w:rFonts w:ascii="Times New Roman" w:hAnsi="Times New Roman" w:cs="Times New Roman"/>
          <w:sz w:val="28"/>
          <w:szCs w:val="28"/>
        </w:rPr>
        <w:t>19,2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1A096D">
        <w:rPr>
          <w:rFonts w:ascii="Times New Roman" w:hAnsi="Times New Roman" w:cs="Times New Roman"/>
          <w:sz w:val="28"/>
          <w:szCs w:val="28"/>
        </w:rPr>
        <w:t>231,0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 w:rsidR="001A096D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A096D">
        <w:rPr>
          <w:rFonts w:ascii="Times New Roman" w:hAnsi="Times New Roman" w:cs="Times New Roman"/>
          <w:sz w:val="28"/>
          <w:szCs w:val="28"/>
        </w:rPr>
        <w:t>увеличились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  </w:t>
      </w:r>
      <w:r w:rsidR="001A096D">
        <w:rPr>
          <w:rFonts w:ascii="Times New Roman" w:hAnsi="Times New Roman" w:cs="Times New Roman"/>
          <w:sz w:val="28"/>
          <w:szCs w:val="28"/>
        </w:rPr>
        <w:t xml:space="preserve">5,5 </w:t>
      </w:r>
      <w:r w:rsidRPr="006C192E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1A096D">
        <w:rPr>
          <w:rFonts w:ascii="Times New Roman" w:hAnsi="Times New Roman" w:cs="Times New Roman"/>
          <w:sz w:val="28"/>
          <w:szCs w:val="28"/>
        </w:rPr>
        <w:t>14,1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6C192E" w:rsidRPr="006C192E" w:rsidRDefault="005B73FA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Структура налоговых  и неналоговых доходов бюджета </w:t>
      </w:r>
      <w:r w:rsidR="001A096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сравнении с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 201</w:t>
      </w:r>
      <w:r w:rsidR="001A09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 w:rsidR="005B73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тыс. руб.</w:t>
      </w:r>
    </w:p>
    <w:p w:rsidR="00B36491" w:rsidRDefault="00B36491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6491" w:rsidRPr="006C192E" w:rsidRDefault="00612AC6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79A2BBF" wp14:editId="1D48F145">
            <wp:extent cx="6119495" cy="3072695"/>
            <wp:effectExtent l="0" t="0" r="1460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6C192E" w:rsidP="00B36491">
      <w:pPr>
        <w:spacing w:after="0" w:line="240" w:lineRule="auto"/>
        <w:ind w:firstLine="705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Налоговые доходы.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Налоговые доходы  исполнены в сумме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44,4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19,2</w:t>
      </w:r>
      <w:r w:rsidR="00B364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 в сумме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231,0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рублей. Доля налоговых доходов в структуре доходов бюджета  поселения составила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4,6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Анализ поступления налога на доходы  физических лиц в  1 квартале 201</w:t>
      </w:r>
      <w:r w:rsidR="005C04EC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прошлого года представлен в следующей таблице.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</w:rPr>
        <w:t>Таблица № 3</w:t>
      </w:r>
      <w:r w:rsidRPr="006C192E">
        <w:rPr>
          <w:rFonts w:ascii="Times New Roman" w:hAnsi="Times New Roman" w:cs="Times New Roman"/>
        </w:rPr>
        <w:tab/>
        <w:t xml:space="preserve">                      </w:t>
      </w:r>
      <w:r w:rsidR="00B36491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6C192E">
        <w:rPr>
          <w:rFonts w:ascii="Times New Roman" w:hAnsi="Times New Roman" w:cs="Times New Roman"/>
        </w:rPr>
        <w:t xml:space="preserve">     тыс. руб.</w:t>
      </w:r>
    </w:p>
    <w:tbl>
      <w:tblPr>
        <w:tblStyle w:val="a3"/>
        <w:tblW w:w="9781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2126"/>
      </w:tblGrid>
      <w:tr w:rsidR="006C192E" w:rsidRPr="006C192E" w:rsidTr="00B36491">
        <w:tc>
          <w:tcPr>
            <w:tcW w:w="1862" w:type="dxa"/>
          </w:tcPr>
          <w:p w:rsidR="006C192E" w:rsidRPr="006C192E" w:rsidRDefault="006C192E" w:rsidP="005C04EC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>Фактическое исполнение за 1 квартал 201</w:t>
            </w:r>
            <w:r w:rsidR="005C04EC">
              <w:rPr>
                <w:sz w:val="28"/>
                <w:szCs w:val="28"/>
              </w:rPr>
              <w:t>6</w:t>
            </w:r>
            <w:r w:rsidRPr="006C192E">
              <w:rPr>
                <w:sz w:val="28"/>
                <w:szCs w:val="28"/>
              </w:rPr>
              <w:t>года</w:t>
            </w:r>
          </w:p>
        </w:tc>
        <w:tc>
          <w:tcPr>
            <w:tcW w:w="1970" w:type="dxa"/>
          </w:tcPr>
          <w:p w:rsidR="006C192E" w:rsidRPr="006C192E" w:rsidRDefault="006C192E" w:rsidP="005C04EC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>% исполнения от плановых назначений на 201</w:t>
            </w:r>
            <w:r w:rsidR="005C04EC">
              <w:rPr>
                <w:sz w:val="28"/>
                <w:szCs w:val="28"/>
              </w:rPr>
              <w:t>6</w:t>
            </w:r>
            <w:r w:rsidRPr="006C192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6C192E" w:rsidRPr="006C192E" w:rsidRDefault="006C192E" w:rsidP="005C04EC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>Фактическое исполнение за 1 квартал 201</w:t>
            </w:r>
            <w:r w:rsidR="005C04EC">
              <w:rPr>
                <w:sz w:val="28"/>
                <w:szCs w:val="28"/>
              </w:rPr>
              <w:t>7</w:t>
            </w:r>
            <w:r w:rsidRPr="006C19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6C192E" w:rsidRPr="006C192E" w:rsidRDefault="006C192E" w:rsidP="005C04EC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>% исполнения от плановых назначений на 201</w:t>
            </w:r>
            <w:r w:rsidR="005C04EC">
              <w:rPr>
                <w:sz w:val="28"/>
                <w:szCs w:val="28"/>
              </w:rPr>
              <w:t>7</w:t>
            </w:r>
            <w:r w:rsidRPr="006C192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6C192E" w:rsidRPr="006C192E" w:rsidRDefault="006C192E" w:rsidP="005C04EC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>Отклонение 1 квартала 201</w:t>
            </w:r>
            <w:r w:rsidR="005C04EC">
              <w:rPr>
                <w:sz w:val="28"/>
                <w:szCs w:val="28"/>
              </w:rPr>
              <w:t xml:space="preserve">7 </w:t>
            </w:r>
            <w:r w:rsidRPr="006C192E">
              <w:rPr>
                <w:sz w:val="28"/>
                <w:szCs w:val="28"/>
              </w:rPr>
              <w:t>года от 1 квартала 201</w:t>
            </w:r>
            <w:r w:rsidR="005C04EC">
              <w:rPr>
                <w:sz w:val="28"/>
                <w:szCs w:val="28"/>
              </w:rPr>
              <w:t>6</w:t>
            </w:r>
            <w:r w:rsidRPr="006C192E">
              <w:rPr>
                <w:sz w:val="28"/>
                <w:szCs w:val="28"/>
              </w:rPr>
              <w:t xml:space="preserve"> года</w:t>
            </w:r>
          </w:p>
        </w:tc>
      </w:tr>
      <w:tr w:rsidR="005C04EC" w:rsidRPr="006C192E" w:rsidTr="00B36491">
        <w:tc>
          <w:tcPr>
            <w:tcW w:w="1862" w:type="dxa"/>
          </w:tcPr>
          <w:p w:rsidR="005C04EC" w:rsidRPr="006C192E" w:rsidRDefault="005C04EC" w:rsidP="0092559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</w:t>
            </w:r>
          </w:p>
        </w:tc>
        <w:tc>
          <w:tcPr>
            <w:tcW w:w="1970" w:type="dxa"/>
          </w:tcPr>
          <w:p w:rsidR="005C04EC" w:rsidRPr="006C192E" w:rsidRDefault="005C04EC" w:rsidP="0092559C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</w:p>
        </w:tc>
        <w:tc>
          <w:tcPr>
            <w:tcW w:w="1971" w:type="dxa"/>
          </w:tcPr>
          <w:p w:rsidR="005C04EC" w:rsidRPr="006C192E" w:rsidRDefault="005C04EC" w:rsidP="006C192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1852" w:type="dxa"/>
          </w:tcPr>
          <w:p w:rsidR="005C04EC" w:rsidRPr="006C192E" w:rsidRDefault="005C04EC" w:rsidP="006C192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2126" w:type="dxa"/>
          </w:tcPr>
          <w:p w:rsidR="005C04EC" w:rsidRPr="006C192E" w:rsidRDefault="005C04EC" w:rsidP="006C192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</w:tbl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B36491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Т.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о.,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первое место по объему налоговых доходов занимает налог на доходы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физических лиц (далее - НДФЛ). Объем поступлений указанного налога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,1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36,0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 к плановым назначениям в размере</w:t>
      </w:r>
      <w:r w:rsidR="000A10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78,0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что выше уровня 1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квартала 201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на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2,0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7,7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%. Доля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НДФЛ в налоговых доходах бюджета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снизилась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4,1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и составила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63,3</w:t>
      </w:r>
      <w:r w:rsidR="000A10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FE0009" w:rsidRPr="006C192E" w:rsidRDefault="000A100F" w:rsidP="00FE00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Второе  место по величине поступлений в бюджет поселения</w:t>
      </w:r>
      <w:r w:rsidR="00B36491" w:rsidRP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занимает</w:t>
      </w:r>
      <w:r w:rsidR="00B36491" w:rsidRPr="0031301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налоговый доходный источник –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земельный налог. Поступление указанного налога составило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11,0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18,0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плановым назначениям в размере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61,0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 По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сравнению с 1 кварталом 201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поступление земельного налога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изменилось.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Доля земельного налога в налоговых доходах бюджета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снизилась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28,5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24,8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процента.</w:t>
      </w:r>
    </w:p>
    <w:p w:rsid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Третий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 величине налоговый доходный источник –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 на имущество физических лиц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Поступление указанного налога составило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2,0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2,5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плановым назначениям в размере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80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,0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 По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сравнению с 1 кварталом 201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поступление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данного налога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незначительно увеличилось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0,2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11,1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налога </w:t>
      </w:r>
      <w:r w:rsidR="00857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имущество физических лиц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налоговых доходах бюджета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снизилась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,6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4,</w:t>
      </w:r>
      <w:r w:rsidR="005C04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процента.</w:t>
      </w:r>
    </w:p>
    <w:p w:rsidR="005C04EC" w:rsidRPr="006C192E" w:rsidRDefault="005C04EC" w:rsidP="005C04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Четвертый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 величине налоговый доходный источник 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государственная пошлина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Поступление указанного налога составило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3,3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27,5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плановым назначениям в размере </w:t>
      </w:r>
      <w:r w:rsidR="005C6942">
        <w:rPr>
          <w:rFonts w:ascii="Times New Roman" w:eastAsiaTheme="minorHAnsi" w:hAnsi="Times New Roman" w:cs="Times New Roman"/>
          <w:sz w:val="28"/>
          <w:szCs w:val="28"/>
          <w:lang w:eastAsia="en-US"/>
        </w:rPr>
        <w:t>12,0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сравнению с 1 кварталом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поступление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данного налога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увеличилось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 </w:t>
      </w:r>
      <w:r w:rsidR="005C6942">
        <w:rPr>
          <w:rFonts w:ascii="Times New Roman" w:eastAsiaTheme="minorHAnsi" w:hAnsi="Times New Roman" w:cs="Times New Roman"/>
          <w:sz w:val="28"/>
          <w:szCs w:val="28"/>
          <w:lang w:eastAsia="en-US"/>
        </w:rPr>
        <w:t>3,3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5C6942"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</w:t>
      </w:r>
      <w:r w:rsidR="005C6942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пошлины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налоговых доходах 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C6942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увеличилась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4,</w:t>
      </w:r>
      <w:r w:rsidR="005C694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5C6942">
        <w:rPr>
          <w:rFonts w:ascii="Times New Roman" w:eastAsiaTheme="minorHAnsi" w:hAnsi="Times New Roman" w:cs="Times New Roman"/>
          <w:sz w:val="28"/>
          <w:szCs w:val="28"/>
          <w:lang w:eastAsia="en-US"/>
        </w:rPr>
        <w:t>7,4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процента.</w:t>
      </w:r>
    </w:p>
    <w:p w:rsidR="005C04EC" w:rsidRPr="006C192E" w:rsidRDefault="005C04EC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Default="00FE0009" w:rsidP="006C192E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proofErr w:type="gramStart"/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Невысокий уровень исполнения кассового плана за 1 квартал 201</w:t>
      </w:r>
      <w:r w:rsidR="005C6942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5C6942" w:rsidRPr="006C192E" w:rsidRDefault="005C6942" w:rsidP="006C192E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6C192E" w:rsidP="006C192E">
      <w:pPr>
        <w:pStyle w:val="ConsPlusNonforma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192E" w:rsidRPr="006C192E" w:rsidRDefault="006C192E" w:rsidP="00FE0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Неналоговые доходы.</w:t>
      </w:r>
    </w:p>
    <w:p w:rsidR="006C192E" w:rsidRPr="006C192E" w:rsidRDefault="006C192E" w:rsidP="00FE0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163F2A" w:rsidRDefault="00FE0009" w:rsidP="00163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163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163F2A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Неналоговые доходы исполнены в сумме </w:t>
      </w:r>
      <w:r w:rsidR="00163F2A">
        <w:rPr>
          <w:rFonts w:ascii="Times New Roman" w:eastAsiaTheme="minorHAnsi" w:hAnsi="Times New Roman" w:cs="Times New Roman"/>
          <w:sz w:val="28"/>
          <w:szCs w:val="28"/>
          <w:lang w:eastAsia="en-US"/>
        </w:rPr>
        <w:t>0,0</w:t>
      </w:r>
      <w:r w:rsidR="00163F2A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3F2A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</w:t>
      </w:r>
      <w:r w:rsidR="00974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C694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Поступление неналоговых платежей бюджетом не планировались, так как сдаваемое в аренду имущество жилищно-коммунального комплекса передано из собственности поселения в собственность района в соответствии с исполняемыми полномочиями.</w:t>
      </w:r>
    </w:p>
    <w:p w:rsidR="005C6942" w:rsidRDefault="005C6942" w:rsidP="00163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C6942" w:rsidRDefault="005C6942" w:rsidP="00163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63F2A" w:rsidRDefault="00163F2A" w:rsidP="005C69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</w:p>
    <w:p w:rsidR="00F01D1B" w:rsidRDefault="00F01D1B" w:rsidP="00163F2A">
      <w:pPr>
        <w:pStyle w:val="ConsPlusNonforma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D1B" w:rsidRPr="00A52EFA" w:rsidRDefault="00F01D1B" w:rsidP="00163F2A">
      <w:pPr>
        <w:pStyle w:val="ConsPlusNonforma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192E" w:rsidRPr="0036750B" w:rsidRDefault="006C192E" w:rsidP="00F01D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36750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lastRenderedPageBreak/>
        <w:t>Безвозмездные поступления.</w:t>
      </w:r>
    </w:p>
    <w:p w:rsidR="006C192E" w:rsidRPr="0036750B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6C192E" w:rsidRPr="0036750B" w:rsidRDefault="00F01D1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Безвозмездные поступления в бюджет поселения</w:t>
      </w:r>
      <w:r w:rsidR="00583DDD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составили 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>915,0</w:t>
      </w:r>
      <w:r w:rsidR="00583DDD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тыс. рублей, или 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>21,7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назначениям в сумме 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>4215,8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рублей. По сравнению с 1 кварталом 201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безвозмездные поступления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увеличились на 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>18,1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их доля в общих доходах бюджета поселения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составила 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95,4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процента.</w:t>
      </w:r>
    </w:p>
    <w:p w:rsidR="0036750B" w:rsidRDefault="0036750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безвозмездных поступлений в сравнении с 1 кварталом 201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отражена на следующей диаграмме:</w:t>
      </w:r>
    </w:p>
    <w:p w:rsidR="0036750B" w:rsidRPr="0036750B" w:rsidRDefault="0036750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C192E" w:rsidRDefault="0036750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color w:val="C00000"/>
        </w:rPr>
        <w:t xml:space="preserve">                                                                                                                          </w:t>
      </w:r>
      <w:r w:rsidR="004D1A68">
        <w:rPr>
          <w:rFonts w:ascii="Times New Roman" w:hAnsi="Times New Roman" w:cs="Times New Roman"/>
          <w:noProof/>
          <w:color w:val="C00000"/>
        </w:rPr>
        <w:t xml:space="preserve">                  </w:t>
      </w:r>
      <w:r>
        <w:rPr>
          <w:rFonts w:ascii="Times New Roman" w:hAnsi="Times New Roman" w:cs="Times New Roman"/>
          <w:noProof/>
          <w:color w:val="C00000"/>
        </w:rPr>
        <w:t xml:space="preserve">    </w:t>
      </w:r>
      <w:r w:rsidR="004D1A68">
        <w:rPr>
          <w:rFonts w:ascii="Times New Roman" w:hAnsi="Times New Roman" w:cs="Times New Roman"/>
          <w:noProof/>
          <w:color w:val="C00000"/>
        </w:rPr>
        <w:t xml:space="preserve">         </w:t>
      </w:r>
      <w:r>
        <w:rPr>
          <w:rFonts w:ascii="Times New Roman" w:hAnsi="Times New Roman" w:cs="Times New Roman"/>
          <w:noProof/>
          <w:color w:val="C00000"/>
        </w:rPr>
        <w:t xml:space="preserve"> </w:t>
      </w:r>
      <w:r w:rsidRPr="0036750B">
        <w:rPr>
          <w:rFonts w:ascii="Times New Roman" w:hAnsi="Times New Roman" w:cs="Times New Roman"/>
          <w:noProof/>
        </w:rPr>
        <w:t>тыс. руб.</w:t>
      </w:r>
    </w:p>
    <w:p w:rsidR="0036750B" w:rsidRDefault="0001104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563331D4" wp14:editId="504CBB17">
            <wp:extent cx="6119495" cy="2960903"/>
            <wp:effectExtent l="0" t="0" r="14605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1A68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4D1A68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отчетном периоде дотации из районного бюджета бюджетам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субъектов Российской Федерации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образованиям поступили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сумме 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>854,0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>24,6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 назначениям в сумме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>3470,0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</w:t>
      </w:r>
    </w:p>
    <w:p w:rsidR="006C192E" w:rsidRPr="006C192E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дотаций в общем объеме безвозмездных поступлений составила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>93,3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8809CE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Субвенции бюджетам субъектов Российской Федерации и муниципальных образований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поступили в сумме 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>20,0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24,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назначениям в сумме 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>80,3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 Из 2 видов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субвенций в течение 1 квартала текущего года поступила субвенция на осуществление первичного воинского учета. По сравнению с 1 кварталом 201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субвенция 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снизилась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>2,7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11,9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процента. Доля субвенций в общем объеме безвозмездных поступлений составила </w:t>
      </w:r>
      <w:r w:rsidR="00011048">
        <w:rPr>
          <w:rFonts w:ascii="Times New Roman" w:eastAsiaTheme="minorHAnsi" w:hAnsi="Times New Roman" w:cs="Times New Roman"/>
          <w:sz w:val="28"/>
          <w:szCs w:val="28"/>
          <w:lang w:eastAsia="en-US"/>
        </w:rPr>
        <w:t>2,2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8809CE" w:rsidRPr="006C192E" w:rsidRDefault="008809C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4D1A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809C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Поступление иных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межбюджетны</w:t>
      </w:r>
      <w:r w:rsidR="009746F1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трансферт</w:t>
      </w:r>
      <w:r w:rsidR="008809CE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1 квартале 201</w:t>
      </w:r>
      <w:r w:rsidR="00BA38B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880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составило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A38BD">
        <w:rPr>
          <w:rFonts w:ascii="Times New Roman" w:eastAsiaTheme="minorHAnsi" w:hAnsi="Times New Roman" w:cs="Times New Roman"/>
          <w:sz w:val="28"/>
          <w:szCs w:val="28"/>
          <w:lang w:eastAsia="en-US"/>
        </w:rPr>
        <w:t>41,0</w:t>
      </w:r>
      <w:r w:rsidR="00572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5E77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</w:t>
      </w:r>
      <w:r w:rsidR="00BA38BD">
        <w:rPr>
          <w:rFonts w:ascii="Times New Roman" w:eastAsiaTheme="minorHAnsi" w:hAnsi="Times New Roman" w:cs="Times New Roman"/>
          <w:sz w:val="28"/>
          <w:szCs w:val="28"/>
          <w:lang w:eastAsia="en-US"/>
        </w:rPr>
        <w:t>. Средства поступили</w:t>
      </w:r>
      <w:r w:rsidR="00880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BA38BD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бюджета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  <w:r w:rsidR="00BA3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бюджет </w:t>
      </w:r>
      <w:r w:rsidR="00880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поселения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заключенными соглашениями</w:t>
      </w:r>
      <w:r w:rsidR="00BA3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содержание</w:t>
      </w:r>
      <w:proofErr w:type="gramEnd"/>
      <w:r w:rsidR="00BA3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дорог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45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сравнению с 1 кварталом 201</w:t>
      </w:r>
      <w:r w:rsidR="00BA38B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иные межбюджетные трансферты </w:t>
      </w:r>
      <w:r w:rsidR="009746F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выросли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BA38BD">
        <w:rPr>
          <w:rFonts w:ascii="Times New Roman" w:eastAsiaTheme="minorHAnsi" w:hAnsi="Times New Roman" w:cs="Times New Roman"/>
          <w:sz w:val="28"/>
          <w:szCs w:val="28"/>
          <w:lang w:eastAsia="en-US"/>
        </w:rPr>
        <w:t>31,0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BA38BD">
        <w:rPr>
          <w:rFonts w:ascii="Times New Roman" w:eastAsiaTheme="minorHAnsi" w:hAnsi="Times New Roman" w:cs="Times New Roman"/>
          <w:sz w:val="28"/>
          <w:szCs w:val="28"/>
          <w:lang w:eastAsia="en-US"/>
        </w:rPr>
        <w:t>в 4,1 раза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Доля иных межбюджетных трансфертов в общем объеме безвозмездных поступлений составила </w:t>
      </w:r>
      <w:r w:rsidR="00BA38BD">
        <w:rPr>
          <w:rFonts w:ascii="Times New Roman" w:eastAsiaTheme="minorHAnsi" w:hAnsi="Times New Roman" w:cs="Times New Roman"/>
          <w:sz w:val="28"/>
          <w:szCs w:val="28"/>
          <w:lang w:eastAsia="en-US"/>
        </w:rPr>
        <w:t>4,5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C192E" w:rsidRPr="006C192E" w:rsidRDefault="009F1E20" w:rsidP="00B25C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</w:t>
      </w:r>
      <w:r w:rsidR="009746F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9746F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 Приложении 1 к постановлению при подсчете процентов  исполнения бюджета</w:t>
      </w:r>
      <w:r w:rsidR="009746F1" w:rsidRPr="009746F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9746F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допущены арифметические ошибки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  <w:r w:rsidR="009746F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И так, п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строке «Налоги на имущество» цифру «0,03» следует заменить цифрой «2,5», по строке «Земельный налог с физических лиц» цифру «0,06» следует заменить цифрой «6,7», по строке «Иные межбюджетные трансферты»</w:t>
      </w:r>
      <w:r w:rsidR="00B25CE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цифру «0,06» следует заменить цифрой «6,5».</w:t>
      </w:r>
    </w:p>
    <w:p w:rsidR="006C192E" w:rsidRPr="006C192E" w:rsidRDefault="006C192E" w:rsidP="00AA4B3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color w:val="000000"/>
          <w:sz w:val="28"/>
          <w:szCs w:val="28"/>
        </w:rPr>
        <w:t>В отношении налоговых доходов бюджета поселения проведен анализ объема задолженности плательщиков по налогам по состоянию на 01</w:t>
      </w:r>
      <w:r w:rsidR="00974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>января и 01 апреля 201</w:t>
      </w:r>
      <w:r w:rsidR="00BA38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года, а также на   01 января и  01 апреля 201</w:t>
      </w:r>
      <w:r w:rsidR="00BA38B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6C192E" w:rsidRPr="006C192E" w:rsidRDefault="006C192E" w:rsidP="00AA4B3F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6C192E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9746F1" w:rsidRDefault="009746F1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</w:rPr>
        <w:t xml:space="preserve">Таблица № 4                  </w:t>
      </w:r>
      <w:r w:rsidR="009746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6C192E">
        <w:rPr>
          <w:rFonts w:ascii="Times New Roman" w:hAnsi="Times New Roman" w:cs="Times New Roman"/>
        </w:rPr>
        <w:t xml:space="preserve">  тыс. руб.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1134"/>
      </w:tblGrid>
      <w:tr w:rsidR="006C192E" w:rsidRPr="006C192E" w:rsidTr="009746F1">
        <w:trPr>
          <w:trHeight w:val="1985"/>
        </w:trPr>
        <w:tc>
          <w:tcPr>
            <w:tcW w:w="322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по состоянию на 01.01.201</w:t>
            </w:r>
            <w:r w:rsidR="00BA38BD">
              <w:rPr>
                <w:rFonts w:ascii="Times New Roman" w:hAnsi="Times New Roman" w:cs="Times New Roman"/>
                <w:color w:val="000000"/>
              </w:rPr>
              <w:t>6</w:t>
            </w:r>
            <w:r w:rsidRPr="006C192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C192E" w:rsidRPr="006C192E" w:rsidRDefault="006C192E" w:rsidP="00BA38BD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01.01.201</w:t>
            </w:r>
            <w:r w:rsidR="00BA38BD">
              <w:rPr>
                <w:rFonts w:ascii="Times New Roman" w:hAnsi="Times New Roman" w:cs="Times New Roman"/>
                <w:color w:val="000000"/>
              </w:rPr>
              <w:t>7</w:t>
            </w:r>
            <w:r w:rsidRPr="006C192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</w:tcPr>
          <w:p w:rsidR="006C192E" w:rsidRPr="006C192E" w:rsidRDefault="006C192E" w:rsidP="00BA38B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01.04.201</w:t>
            </w:r>
            <w:r w:rsidR="00BA38BD"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6C192E"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1134" w:type="dxa"/>
          </w:tcPr>
          <w:p w:rsidR="006C192E" w:rsidRPr="006C192E" w:rsidRDefault="006C192E" w:rsidP="00BA38BD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01.04.201</w:t>
            </w:r>
            <w:r w:rsidR="00BA38BD">
              <w:rPr>
                <w:rFonts w:ascii="Times New Roman" w:hAnsi="Times New Roman" w:cs="Times New Roman"/>
                <w:color w:val="000000"/>
              </w:rPr>
              <w:t>7</w:t>
            </w:r>
            <w:r w:rsidRPr="006C192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6C192E" w:rsidRPr="006C192E" w:rsidRDefault="006C192E" w:rsidP="00BA38BD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C192E">
              <w:rPr>
                <w:rFonts w:ascii="Times New Roman" w:hAnsi="Times New Roman" w:cs="Times New Roman"/>
                <w:color w:val="000000"/>
              </w:rPr>
              <w:t>Отклонение недоимки   на 01.01.201</w:t>
            </w:r>
            <w:r w:rsidR="00BA38BD">
              <w:rPr>
                <w:rFonts w:ascii="Times New Roman" w:hAnsi="Times New Roman" w:cs="Times New Roman"/>
                <w:color w:val="000000"/>
              </w:rPr>
              <w:t>7</w:t>
            </w:r>
            <w:r w:rsidRPr="006C192E">
              <w:rPr>
                <w:rFonts w:ascii="Times New Roman" w:hAnsi="Times New Roman" w:cs="Times New Roman"/>
                <w:color w:val="000000"/>
              </w:rPr>
              <w:t>года от 01.01.201</w:t>
            </w:r>
            <w:r w:rsidR="00BA38BD">
              <w:rPr>
                <w:rFonts w:ascii="Times New Roman" w:hAnsi="Times New Roman" w:cs="Times New Roman"/>
                <w:color w:val="000000"/>
              </w:rPr>
              <w:t>6</w:t>
            </w:r>
            <w:r w:rsidRPr="006C192E">
              <w:rPr>
                <w:rFonts w:ascii="Times New Roman" w:hAnsi="Times New Roman" w:cs="Times New Roman"/>
                <w:color w:val="000000"/>
              </w:rPr>
              <w:t>года (+увеличение;- уменьшение</w:t>
            </w:r>
            <w:proofErr w:type="gramEnd"/>
          </w:p>
        </w:tc>
        <w:tc>
          <w:tcPr>
            <w:tcW w:w="1134" w:type="dxa"/>
          </w:tcPr>
          <w:p w:rsidR="006C192E" w:rsidRPr="006C192E" w:rsidRDefault="006C192E" w:rsidP="00BA38BD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Отклонение недоимки на 01.04.201</w:t>
            </w:r>
            <w:r w:rsidR="00BA38BD">
              <w:rPr>
                <w:rFonts w:ascii="Times New Roman" w:hAnsi="Times New Roman" w:cs="Times New Roman"/>
                <w:color w:val="000000"/>
              </w:rPr>
              <w:t>7</w:t>
            </w:r>
            <w:r w:rsidRPr="006C192E">
              <w:rPr>
                <w:rFonts w:ascii="Times New Roman" w:hAnsi="Times New Roman" w:cs="Times New Roman"/>
                <w:color w:val="000000"/>
              </w:rPr>
              <w:t xml:space="preserve"> года от 01.04.201</w:t>
            </w:r>
            <w:r w:rsidR="00BA38BD">
              <w:rPr>
                <w:rFonts w:ascii="Times New Roman" w:hAnsi="Times New Roman" w:cs="Times New Roman"/>
                <w:color w:val="000000"/>
              </w:rPr>
              <w:t>6</w:t>
            </w:r>
            <w:r w:rsidRPr="006C192E">
              <w:rPr>
                <w:rFonts w:ascii="Times New Roman" w:hAnsi="Times New Roman" w:cs="Times New Roman"/>
                <w:color w:val="000000"/>
              </w:rPr>
              <w:t xml:space="preserve"> года (+-увеличение;- уменьшение)</w:t>
            </w:r>
          </w:p>
        </w:tc>
      </w:tr>
      <w:tr w:rsidR="006C192E" w:rsidRPr="006C192E" w:rsidTr="009746F1">
        <w:tc>
          <w:tcPr>
            <w:tcW w:w="322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A38BD" w:rsidRPr="006C192E" w:rsidTr="009746F1">
        <w:tc>
          <w:tcPr>
            <w:tcW w:w="3227" w:type="dxa"/>
          </w:tcPr>
          <w:p w:rsidR="00BA38BD" w:rsidRPr="006C192E" w:rsidRDefault="00BA38BD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BA38BD" w:rsidRPr="006C192E" w:rsidRDefault="00BA38BD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A38BD" w:rsidRPr="006C192E" w:rsidRDefault="006C79CC" w:rsidP="0044779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92" w:type="dxa"/>
          </w:tcPr>
          <w:p w:rsidR="00BA38BD" w:rsidRPr="006C192E" w:rsidRDefault="00BA38BD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BA38BD" w:rsidRPr="006C192E" w:rsidRDefault="006C79C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134" w:type="dxa"/>
          </w:tcPr>
          <w:p w:rsidR="00BA38BD" w:rsidRPr="006C192E" w:rsidRDefault="006C79C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+0,4</w:t>
            </w:r>
          </w:p>
        </w:tc>
        <w:tc>
          <w:tcPr>
            <w:tcW w:w="1134" w:type="dxa"/>
          </w:tcPr>
          <w:p w:rsidR="00BA38BD" w:rsidRPr="006C192E" w:rsidRDefault="006C79CC" w:rsidP="0019173A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+0,1</w:t>
            </w:r>
          </w:p>
        </w:tc>
      </w:tr>
      <w:tr w:rsidR="00BA38BD" w:rsidRPr="006C192E" w:rsidTr="009746F1">
        <w:tc>
          <w:tcPr>
            <w:tcW w:w="3227" w:type="dxa"/>
          </w:tcPr>
          <w:p w:rsidR="00BA38BD" w:rsidRPr="006C192E" w:rsidRDefault="00BA38BD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BA38BD" w:rsidRPr="006C192E" w:rsidRDefault="00BA38BD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992" w:type="dxa"/>
          </w:tcPr>
          <w:p w:rsidR="00BA38BD" w:rsidRPr="006C192E" w:rsidRDefault="006C79CC" w:rsidP="0044779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992" w:type="dxa"/>
          </w:tcPr>
          <w:p w:rsidR="00BA38BD" w:rsidRPr="006C192E" w:rsidRDefault="00BA38BD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1134" w:type="dxa"/>
          </w:tcPr>
          <w:p w:rsidR="00BA38BD" w:rsidRPr="006C192E" w:rsidRDefault="006C79C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53,8</w:t>
            </w:r>
          </w:p>
        </w:tc>
        <w:tc>
          <w:tcPr>
            <w:tcW w:w="1134" w:type="dxa"/>
          </w:tcPr>
          <w:p w:rsidR="00BA38BD" w:rsidRPr="006C192E" w:rsidRDefault="006C79C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+24,8</w:t>
            </w:r>
          </w:p>
        </w:tc>
        <w:tc>
          <w:tcPr>
            <w:tcW w:w="1134" w:type="dxa"/>
          </w:tcPr>
          <w:p w:rsidR="00BA38BD" w:rsidRPr="006C192E" w:rsidRDefault="006C79CC" w:rsidP="00191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+25,0</w:t>
            </w:r>
          </w:p>
        </w:tc>
      </w:tr>
      <w:tr w:rsidR="00BA38BD" w:rsidRPr="006C192E" w:rsidTr="009746F1">
        <w:tc>
          <w:tcPr>
            <w:tcW w:w="3227" w:type="dxa"/>
          </w:tcPr>
          <w:p w:rsidR="00BA38BD" w:rsidRPr="006C192E" w:rsidRDefault="00BA38BD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BA38BD" w:rsidRPr="006C192E" w:rsidRDefault="00BA38BD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992" w:type="dxa"/>
          </w:tcPr>
          <w:p w:rsidR="00BA38BD" w:rsidRPr="006C192E" w:rsidRDefault="006C79CC" w:rsidP="0044779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992" w:type="dxa"/>
          </w:tcPr>
          <w:p w:rsidR="00BA38BD" w:rsidRPr="006C192E" w:rsidRDefault="00BA38BD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1134" w:type="dxa"/>
          </w:tcPr>
          <w:p w:rsidR="00BA38BD" w:rsidRPr="006C192E" w:rsidRDefault="006C79C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134" w:type="dxa"/>
          </w:tcPr>
          <w:p w:rsidR="00BA38BD" w:rsidRPr="006C192E" w:rsidRDefault="006C79CC" w:rsidP="00201E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+0,7</w:t>
            </w:r>
          </w:p>
        </w:tc>
        <w:tc>
          <w:tcPr>
            <w:tcW w:w="1134" w:type="dxa"/>
          </w:tcPr>
          <w:p w:rsidR="00BA38BD" w:rsidRPr="006C192E" w:rsidRDefault="006C79CC" w:rsidP="00191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+1,8</w:t>
            </w:r>
          </w:p>
        </w:tc>
      </w:tr>
      <w:tr w:rsidR="00BA38BD" w:rsidRPr="006C192E" w:rsidTr="009746F1">
        <w:tc>
          <w:tcPr>
            <w:tcW w:w="3227" w:type="dxa"/>
          </w:tcPr>
          <w:p w:rsidR="00BA38BD" w:rsidRPr="006C192E" w:rsidRDefault="00BA38BD" w:rsidP="006C192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BA38BD" w:rsidRPr="006C192E" w:rsidRDefault="00BA38BD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992" w:type="dxa"/>
          </w:tcPr>
          <w:p w:rsidR="00BA38BD" w:rsidRPr="006C192E" w:rsidRDefault="006C79CC" w:rsidP="0044779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65,1</w:t>
            </w:r>
          </w:p>
        </w:tc>
        <w:tc>
          <w:tcPr>
            <w:tcW w:w="992" w:type="dxa"/>
          </w:tcPr>
          <w:p w:rsidR="00BA38BD" w:rsidRPr="006C192E" w:rsidRDefault="00BA38BD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134" w:type="dxa"/>
          </w:tcPr>
          <w:p w:rsidR="00BA38BD" w:rsidRPr="006C192E" w:rsidRDefault="006C79C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61,9</w:t>
            </w:r>
          </w:p>
        </w:tc>
        <w:tc>
          <w:tcPr>
            <w:tcW w:w="1134" w:type="dxa"/>
          </w:tcPr>
          <w:p w:rsidR="00BA38BD" w:rsidRPr="006C192E" w:rsidRDefault="006C79C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+25,9</w:t>
            </w:r>
          </w:p>
        </w:tc>
        <w:tc>
          <w:tcPr>
            <w:tcW w:w="1134" w:type="dxa"/>
          </w:tcPr>
          <w:p w:rsidR="00BA38BD" w:rsidRPr="006C192E" w:rsidRDefault="006C79CC" w:rsidP="00191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+26,9</w:t>
            </w:r>
          </w:p>
        </w:tc>
      </w:tr>
    </w:tbl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2E" w:rsidRDefault="003D1EF9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>В рамках вышеприведенного анализа  наблюдается  рост  задолженности плательщиков по платежам в бюджет  в сравнении задолженности на 01.01.201</w:t>
      </w:r>
      <w:r w:rsidR="001301C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года с аналогичным периодом прошлого года   на </w:t>
      </w:r>
      <w:r w:rsidR="001301CA">
        <w:rPr>
          <w:rFonts w:ascii="Times New Roman" w:hAnsi="Times New Roman" w:cs="Times New Roman"/>
          <w:color w:val="000000"/>
          <w:sz w:val="28"/>
          <w:szCs w:val="28"/>
        </w:rPr>
        <w:t>25,9</w:t>
      </w:r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в </w:t>
      </w:r>
      <w:r w:rsidR="001301CA">
        <w:rPr>
          <w:rFonts w:ascii="Times New Roman" w:hAnsi="Times New Roman" w:cs="Times New Roman"/>
          <w:color w:val="000000"/>
          <w:sz w:val="28"/>
          <w:szCs w:val="28"/>
        </w:rPr>
        <w:t>1,7</w:t>
      </w:r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раза, на 01.04.201</w:t>
      </w:r>
      <w:r w:rsidR="001301C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="001301CA">
        <w:rPr>
          <w:rFonts w:ascii="Times New Roman" w:hAnsi="Times New Roman" w:cs="Times New Roman"/>
          <w:color w:val="000000"/>
          <w:sz w:val="28"/>
          <w:szCs w:val="28"/>
        </w:rPr>
        <w:t xml:space="preserve">26,9 </w:t>
      </w:r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или в </w:t>
      </w:r>
      <w:r w:rsidR="001301CA">
        <w:rPr>
          <w:rFonts w:ascii="Times New Roman" w:hAnsi="Times New Roman" w:cs="Times New Roman"/>
          <w:color w:val="000000"/>
          <w:sz w:val="28"/>
          <w:szCs w:val="28"/>
        </w:rPr>
        <w:t>1,8</w:t>
      </w:r>
      <w:r w:rsidR="00BF0986">
        <w:rPr>
          <w:rFonts w:ascii="Times New Roman" w:hAnsi="Times New Roman" w:cs="Times New Roman"/>
          <w:color w:val="000000"/>
          <w:sz w:val="28"/>
          <w:szCs w:val="28"/>
        </w:rPr>
        <w:t xml:space="preserve"> раз</w:t>
      </w:r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</w:p>
    <w:p w:rsidR="001301CA" w:rsidRPr="006C192E" w:rsidRDefault="001301C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по налогу на доходы физических лиц на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color w:val="000000"/>
          <w:sz w:val="28"/>
          <w:szCs w:val="28"/>
        </w:rPr>
        <w:t>на 100 %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192E" w:rsidRPr="006C192E" w:rsidRDefault="006C192E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 w:rsidR="001301CA">
        <w:rPr>
          <w:rFonts w:ascii="Times New Roman" w:hAnsi="Times New Roman" w:cs="Times New Roman"/>
          <w:color w:val="000000"/>
          <w:sz w:val="28"/>
          <w:szCs w:val="28"/>
        </w:rPr>
        <w:t xml:space="preserve">25,0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 w:rsidR="001301CA">
        <w:rPr>
          <w:rFonts w:ascii="Times New Roman" w:hAnsi="Times New Roman" w:cs="Times New Roman"/>
          <w:color w:val="000000"/>
          <w:sz w:val="28"/>
          <w:szCs w:val="28"/>
        </w:rPr>
        <w:t>в 1,9 раза;</w:t>
      </w:r>
    </w:p>
    <w:p w:rsidR="006C192E" w:rsidRPr="006C192E" w:rsidRDefault="006C192E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- по земельному налогу</w:t>
      </w:r>
      <w:r w:rsidR="00AA4B3F">
        <w:rPr>
          <w:rFonts w:ascii="Times New Roman" w:hAnsi="Times New Roman" w:cs="Times New Roman"/>
          <w:sz w:val="28"/>
          <w:szCs w:val="28"/>
        </w:rPr>
        <w:t xml:space="preserve"> на</w:t>
      </w:r>
      <w:r w:rsidR="003D1EF9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3D1EF9">
        <w:rPr>
          <w:rFonts w:ascii="Times New Roman" w:hAnsi="Times New Roman" w:cs="Times New Roman"/>
          <w:sz w:val="28"/>
          <w:szCs w:val="28"/>
        </w:rPr>
        <w:t>1,8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301CA">
        <w:rPr>
          <w:rFonts w:ascii="Times New Roman" w:hAnsi="Times New Roman" w:cs="Times New Roman"/>
          <w:sz w:val="28"/>
          <w:szCs w:val="28"/>
        </w:rPr>
        <w:t xml:space="preserve">29,0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301CA">
        <w:rPr>
          <w:rFonts w:ascii="Times New Roman" w:hAnsi="Times New Roman" w:cs="Times New Roman"/>
          <w:sz w:val="28"/>
          <w:szCs w:val="28"/>
        </w:rPr>
        <w:t>ов</w:t>
      </w:r>
      <w:r w:rsidRPr="006C192E">
        <w:rPr>
          <w:rFonts w:ascii="Times New Roman" w:hAnsi="Times New Roman" w:cs="Times New Roman"/>
          <w:sz w:val="28"/>
          <w:szCs w:val="28"/>
        </w:rPr>
        <w:t>.</w:t>
      </w:r>
    </w:p>
    <w:p w:rsidR="00E95E9C" w:rsidRDefault="00BE78F3" w:rsidP="00E95E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5E9C" w:rsidRPr="00E95E9C">
        <w:rPr>
          <w:rFonts w:ascii="Times New Roman" w:eastAsia="Times New Roman" w:hAnsi="Times New Roman" w:cs="Times New Roman"/>
          <w:sz w:val="28"/>
          <w:szCs w:val="28"/>
        </w:rPr>
        <w:t xml:space="preserve">  Из имеющихся данных на 01.04.201</w:t>
      </w:r>
      <w:r w:rsidR="00E95E9C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E95E9C" w:rsidRPr="00E95E9C">
        <w:rPr>
          <w:rFonts w:ascii="Times New Roman" w:eastAsia="Times New Roman" w:hAnsi="Times New Roman" w:cs="Times New Roman"/>
          <w:sz w:val="28"/>
          <w:szCs w:val="28"/>
        </w:rPr>
        <w:t xml:space="preserve">года следует, что наибольший удельный вес в структуре недоимки по платежам  составляет налог на имущество  физических лиц – </w:t>
      </w:r>
      <w:r w:rsidR="00E95E9C">
        <w:rPr>
          <w:rFonts w:ascii="Times New Roman" w:eastAsia="Times New Roman" w:hAnsi="Times New Roman" w:cs="Times New Roman"/>
          <w:sz w:val="28"/>
          <w:szCs w:val="28"/>
        </w:rPr>
        <w:t>86,9</w:t>
      </w:r>
      <w:r w:rsidR="00E95E9C" w:rsidRPr="00E95E9C">
        <w:rPr>
          <w:rFonts w:ascii="Times New Roman" w:eastAsia="Times New Roman" w:hAnsi="Times New Roman" w:cs="Times New Roman"/>
          <w:sz w:val="28"/>
          <w:szCs w:val="28"/>
        </w:rPr>
        <w:t xml:space="preserve">  % от общей суммы недоимки, на втором месте  задолженность</w:t>
      </w:r>
      <w:r w:rsidR="00E95E9C" w:rsidRPr="00E9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земельному налогу –</w:t>
      </w:r>
      <w:r w:rsidR="00E95E9C" w:rsidRPr="00E95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9C">
        <w:rPr>
          <w:rFonts w:ascii="Times New Roman" w:eastAsia="Times New Roman" w:hAnsi="Times New Roman" w:cs="Times New Roman"/>
          <w:sz w:val="28"/>
          <w:szCs w:val="28"/>
        </w:rPr>
        <w:t xml:space="preserve">12,9 </w:t>
      </w:r>
      <w:r w:rsidR="00E95E9C" w:rsidRPr="00E95E9C">
        <w:rPr>
          <w:rFonts w:ascii="Times New Roman" w:eastAsia="Times New Roman" w:hAnsi="Times New Roman" w:cs="Times New Roman"/>
          <w:sz w:val="28"/>
          <w:szCs w:val="28"/>
        </w:rPr>
        <w:t xml:space="preserve"> процентов.</w:t>
      </w:r>
    </w:p>
    <w:p w:rsidR="00E95E9C" w:rsidRPr="00E95E9C" w:rsidRDefault="00E95E9C" w:rsidP="00E95E9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92E" w:rsidRPr="006C192E" w:rsidRDefault="006C192E" w:rsidP="00E95E9C">
      <w:pPr>
        <w:spacing w:after="0" w:line="240" w:lineRule="auto"/>
        <w:contextualSpacing/>
        <w:jc w:val="both"/>
        <w:rPr>
          <w:color w:val="FF0000"/>
          <w:sz w:val="28"/>
          <w:szCs w:val="28"/>
        </w:rPr>
      </w:pPr>
    </w:p>
    <w:p w:rsidR="006C192E" w:rsidRPr="00F37EB6" w:rsidRDefault="006C192E" w:rsidP="006C192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7EB6">
        <w:rPr>
          <w:rFonts w:ascii="Times New Roman" w:hAnsi="Times New Roman" w:cs="Times New Roman"/>
          <w:b/>
          <w:i/>
          <w:sz w:val="28"/>
          <w:szCs w:val="28"/>
        </w:rPr>
        <w:t>Расходы бюджета поселения</w:t>
      </w:r>
    </w:p>
    <w:p w:rsidR="006C192E" w:rsidRPr="00F37EB6" w:rsidRDefault="006C192E" w:rsidP="006C192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Pr="00F37EB6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EB6">
        <w:rPr>
          <w:rFonts w:ascii="Times New Roman" w:hAnsi="Times New Roman" w:cs="Times New Roman"/>
          <w:sz w:val="28"/>
          <w:szCs w:val="28"/>
        </w:rPr>
        <w:tab/>
        <w:t xml:space="preserve"> Расходы бюджета поселения за 1 квартал 201</w:t>
      </w:r>
      <w:r w:rsidR="00E95E9C">
        <w:rPr>
          <w:rFonts w:ascii="Times New Roman" w:hAnsi="Times New Roman" w:cs="Times New Roman"/>
          <w:sz w:val="28"/>
          <w:szCs w:val="28"/>
        </w:rPr>
        <w:t>7</w:t>
      </w:r>
      <w:r w:rsidRPr="00F37EB6">
        <w:rPr>
          <w:rFonts w:ascii="Times New Roman" w:hAnsi="Times New Roman" w:cs="Times New Roman"/>
          <w:sz w:val="28"/>
          <w:szCs w:val="28"/>
        </w:rPr>
        <w:t xml:space="preserve"> года исполнены в сумме</w:t>
      </w:r>
      <w:r w:rsidR="00BF7F3C" w:rsidRPr="00F37EB6">
        <w:rPr>
          <w:rFonts w:ascii="Times New Roman" w:hAnsi="Times New Roman" w:cs="Times New Roman"/>
          <w:sz w:val="28"/>
          <w:szCs w:val="28"/>
        </w:rPr>
        <w:t xml:space="preserve"> </w:t>
      </w:r>
      <w:r w:rsidR="00E95E9C">
        <w:rPr>
          <w:rFonts w:ascii="Times New Roman" w:hAnsi="Times New Roman" w:cs="Times New Roman"/>
          <w:sz w:val="28"/>
          <w:szCs w:val="28"/>
        </w:rPr>
        <w:t>944,4</w:t>
      </w:r>
      <w:r w:rsidRPr="00F37EB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95E9C">
        <w:rPr>
          <w:rFonts w:ascii="Times New Roman" w:hAnsi="Times New Roman" w:cs="Times New Roman"/>
          <w:sz w:val="28"/>
          <w:szCs w:val="28"/>
        </w:rPr>
        <w:t>21,2</w:t>
      </w:r>
      <w:r w:rsidRPr="00F37EB6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E95E9C">
        <w:rPr>
          <w:rFonts w:ascii="Times New Roman" w:hAnsi="Times New Roman" w:cs="Times New Roman"/>
          <w:sz w:val="28"/>
          <w:szCs w:val="28"/>
        </w:rPr>
        <w:t>4446,8</w:t>
      </w:r>
      <w:r w:rsidRPr="00F37EB6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 w:rsidR="00E95E9C">
        <w:rPr>
          <w:rFonts w:ascii="Times New Roman" w:hAnsi="Times New Roman" w:cs="Times New Roman"/>
          <w:sz w:val="28"/>
          <w:szCs w:val="28"/>
        </w:rPr>
        <w:t>6</w:t>
      </w:r>
      <w:r w:rsidRPr="00F37EB6">
        <w:rPr>
          <w:rFonts w:ascii="Times New Roman" w:hAnsi="Times New Roman" w:cs="Times New Roman"/>
          <w:sz w:val="28"/>
          <w:szCs w:val="28"/>
        </w:rPr>
        <w:t xml:space="preserve"> года  расходы у</w:t>
      </w:r>
      <w:r w:rsidR="00F37EB6" w:rsidRPr="00F37EB6">
        <w:rPr>
          <w:rFonts w:ascii="Times New Roman" w:hAnsi="Times New Roman" w:cs="Times New Roman"/>
          <w:sz w:val="28"/>
          <w:szCs w:val="28"/>
        </w:rPr>
        <w:t>меньшились</w:t>
      </w:r>
      <w:r w:rsidRPr="00F37EB6">
        <w:rPr>
          <w:rFonts w:ascii="Times New Roman" w:hAnsi="Times New Roman" w:cs="Times New Roman"/>
          <w:sz w:val="28"/>
          <w:szCs w:val="28"/>
        </w:rPr>
        <w:t xml:space="preserve"> на </w:t>
      </w:r>
      <w:r w:rsidR="00AA070A">
        <w:rPr>
          <w:rFonts w:ascii="Times New Roman" w:hAnsi="Times New Roman" w:cs="Times New Roman"/>
          <w:sz w:val="28"/>
          <w:szCs w:val="28"/>
        </w:rPr>
        <w:t>26,6</w:t>
      </w:r>
      <w:r w:rsidRPr="00F37EB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25CE4">
        <w:rPr>
          <w:rFonts w:ascii="Times New Roman" w:hAnsi="Times New Roman" w:cs="Times New Roman"/>
          <w:sz w:val="28"/>
          <w:szCs w:val="28"/>
        </w:rPr>
        <w:t xml:space="preserve"> (</w:t>
      </w:r>
      <w:r w:rsidR="00AA070A">
        <w:rPr>
          <w:rFonts w:ascii="Times New Roman" w:hAnsi="Times New Roman" w:cs="Times New Roman"/>
          <w:sz w:val="28"/>
          <w:szCs w:val="28"/>
        </w:rPr>
        <w:t>2,7%</w:t>
      </w:r>
      <w:r w:rsidRPr="00F37EB6">
        <w:rPr>
          <w:rFonts w:ascii="Times New Roman" w:hAnsi="Times New Roman" w:cs="Times New Roman"/>
          <w:sz w:val="28"/>
          <w:szCs w:val="28"/>
        </w:rPr>
        <w:t>).</w:t>
      </w:r>
    </w:p>
    <w:p w:rsidR="006C192E" w:rsidRPr="00F37EB6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F37E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F37EB6" w:rsidRPr="00F37E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F37E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Структура  исполнения бюджета поселения по расходам в сравнении с 1 кварталом 201</w:t>
      </w:r>
      <w:r w:rsidR="00AA070A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37E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F37EB6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</w:t>
      </w:r>
      <w:r w:rsidR="00F37EB6">
        <w:rPr>
          <w:rFonts w:ascii="Times New Roman" w:hAnsi="Times New Roman" w:cs="Times New Roman"/>
          <w:noProof/>
        </w:rPr>
        <w:t xml:space="preserve">                                </w:t>
      </w:r>
      <w:r w:rsidRPr="00F37EB6">
        <w:rPr>
          <w:rFonts w:ascii="Times New Roman" w:hAnsi="Times New Roman" w:cs="Times New Roman"/>
          <w:noProof/>
        </w:rPr>
        <w:t xml:space="preserve">     тыс. руб.</w:t>
      </w:r>
    </w:p>
    <w:p w:rsidR="00F37EB6" w:rsidRDefault="00F37EB6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F37EB6" w:rsidRDefault="00833397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77DA0315" wp14:editId="01B5398A">
            <wp:extent cx="6220178" cy="3556000"/>
            <wp:effectExtent l="0" t="0" r="9525" b="2540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7EB6" w:rsidRDefault="00F37EB6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C192E" w:rsidRPr="006C192E" w:rsidRDefault="007C6236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Бюджет поселения за 1 квартал 201</w:t>
      </w:r>
      <w:r w:rsidR="00833397">
        <w:rPr>
          <w:rFonts w:ascii="Times New Roman" w:hAnsi="Times New Roman" w:cs="Times New Roman"/>
          <w:sz w:val="28"/>
          <w:szCs w:val="28"/>
        </w:rPr>
        <w:t>7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года сохранил социальную  направленность. Расходы бюджета поселения на социальную сферу составили </w:t>
      </w:r>
      <w:r w:rsidR="00833397">
        <w:rPr>
          <w:rFonts w:ascii="Times New Roman" w:hAnsi="Times New Roman" w:cs="Times New Roman"/>
          <w:sz w:val="28"/>
          <w:szCs w:val="28"/>
        </w:rPr>
        <w:t>416,1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33397">
        <w:rPr>
          <w:rFonts w:ascii="Times New Roman" w:hAnsi="Times New Roman" w:cs="Times New Roman"/>
          <w:sz w:val="28"/>
          <w:szCs w:val="28"/>
        </w:rPr>
        <w:t>20,9</w:t>
      </w:r>
      <w:r w:rsidR="006C192E" w:rsidRPr="006C192E">
        <w:rPr>
          <w:rFonts w:ascii="Times New Roman" w:hAnsi="Times New Roman" w:cs="Times New Roman"/>
          <w:sz w:val="28"/>
          <w:szCs w:val="28"/>
        </w:rPr>
        <w:t>% к утвержденным годовым назначениям. По сравнению с 1 кварталом 201</w:t>
      </w:r>
      <w:r w:rsidR="00833397">
        <w:rPr>
          <w:rFonts w:ascii="Times New Roman" w:hAnsi="Times New Roman" w:cs="Times New Roman"/>
          <w:sz w:val="28"/>
          <w:szCs w:val="28"/>
        </w:rPr>
        <w:t>6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года расходы на социальную сферу  </w:t>
      </w:r>
      <w:r w:rsidR="00833397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на </w:t>
      </w:r>
      <w:r w:rsidR="00833397">
        <w:rPr>
          <w:rFonts w:ascii="Times New Roman" w:hAnsi="Times New Roman" w:cs="Times New Roman"/>
          <w:sz w:val="28"/>
          <w:szCs w:val="28"/>
        </w:rPr>
        <w:t>61,2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33397">
        <w:rPr>
          <w:rFonts w:ascii="Times New Roman" w:hAnsi="Times New Roman" w:cs="Times New Roman"/>
          <w:sz w:val="28"/>
          <w:szCs w:val="28"/>
        </w:rPr>
        <w:t>17,2</w:t>
      </w:r>
      <w:r w:rsidR="006C192E" w:rsidRPr="006C192E">
        <w:rPr>
          <w:rFonts w:ascii="Times New Roman" w:hAnsi="Times New Roman" w:cs="Times New Roman"/>
          <w:sz w:val="28"/>
          <w:szCs w:val="28"/>
        </w:rPr>
        <w:t>%),   их доля  в расходах бюджета поселения</w:t>
      </w:r>
      <w:r w:rsidR="007A238E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833397">
        <w:rPr>
          <w:rFonts w:ascii="Times New Roman" w:hAnsi="Times New Roman" w:cs="Times New Roman"/>
          <w:sz w:val="28"/>
          <w:szCs w:val="28"/>
        </w:rPr>
        <w:t>увеличилась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с</w:t>
      </w:r>
      <w:r w:rsidR="007A238E">
        <w:rPr>
          <w:rFonts w:ascii="Times New Roman" w:hAnsi="Times New Roman" w:cs="Times New Roman"/>
          <w:sz w:val="28"/>
          <w:szCs w:val="28"/>
        </w:rPr>
        <w:t xml:space="preserve"> </w:t>
      </w:r>
      <w:r w:rsidR="00833397">
        <w:rPr>
          <w:rFonts w:ascii="Times New Roman" w:hAnsi="Times New Roman" w:cs="Times New Roman"/>
          <w:sz w:val="28"/>
          <w:szCs w:val="28"/>
        </w:rPr>
        <w:t>36,5</w:t>
      </w:r>
      <w:r w:rsidR="007A238E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до </w:t>
      </w:r>
      <w:r w:rsidR="00833397">
        <w:rPr>
          <w:rFonts w:ascii="Times New Roman" w:hAnsi="Times New Roman" w:cs="Times New Roman"/>
          <w:sz w:val="28"/>
          <w:szCs w:val="28"/>
        </w:rPr>
        <w:t>44,1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6C192E" w:rsidRPr="006C192E" w:rsidRDefault="007A238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>Наибольший удельный вес в расходах бюджета поселения занимают расходы  по разделу «Общегосударственные вопросы»</w:t>
      </w:r>
      <w:r w:rsidR="00BE78F3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-</w:t>
      </w:r>
      <w:r w:rsidR="00BE78F3">
        <w:rPr>
          <w:rFonts w:ascii="Times New Roman" w:hAnsi="Times New Roman" w:cs="Times New Roman"/>
          <w:sz w:val="28"/>
          <w:szCs w:val="28"/>
        </w:rPr>
        <w:t xml:space="preserve"> </w:t>
      </w:r>
      <w:r w:rsidR="00833397">
        <w:rPr>
          <w:rFonts w:ascii="Times New Roman" w:hAnsi="Times New Roman" w:cs="Times New Roman"/>
          <w:sz w:val="28"/>
          <w:szCs w:val="28"/>
        </w:rPr>
        <w:t>48,5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%, «Физическая культура и спорт» - </w:t>
      </w:r>
      <w:r w:rsidR="00833397">
        <w:rPr>
          <w:rFonts w:ascii="Times New Roman" w:hAnsi="Times New Roman" w:cs="Times New Roman"/>
          <w:sz w:val="28"/>
          <w:szCs w:val="28"/>
        </w:rPr>
        <w:t>24,4</w:t>
      </w:r>
      <w:r w:rsidR="006C192E" w:rsidRPr="006C192E">
        <w:rPr>
          <w:rFonts w:ascii="Times New Roman" w:hAnsi="Times New Roman" w:cs="Times New Roman"/>
          <w:sz w:val="28"/>
          <w:szCs w:val="28"/>
        </w:rPr>
        <w:t>%,</w:t>
      </w:r>
      <w:r w:rsidR="00BE78F3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«Культура и кинематография» - </w:t>
      </w:r>
      <w:r w:rsidR="00833397">
        <w:rPr>
          <w:rFonts w:ascii="Times New Roman" w:hAnsi="Times New Roman" w:cs="Times New Roman"/>
          <w:sz w:val="28"/>
          <w:szCs w:val="28"/>
        </w:rPr>
        <w:t>19,7</w:t>
      </w:r>
      <w:r w:rsidR="006C192E" w:rsidRPr="006C192E">
        <w:rPr>
          <w:rFonts w:ascii="Times New Roman" w:hAnsi="Times New Roman" w:cs="Times New Roman"/>
          <w:sz w:val="28"/>
          <w:szCs w:val="28"/>
        </w:rPr>
        <w:t>%,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397">
        <w:rPr>
          <w:rFonts w:ascii="Times New Roman" w:hAnsi="Times New Roman" w:cs="Times New Roman"/>
          <w:sz w:val="28"/>
          <w:szCs w:val="28"/>
        </w:rPr>
        <w:t>5,3</w:t>
      </w:r>
      <w:r w:rsidR="006C192E" w:rsidRPr="006C192E">
        <w:rPr>
          <w:rFonts w:ascii="Times New Roman" w:hAnsi="Times New Roman" w:cs="Times New Roman"/>
          <w:sz w:val="28"/>
          <w:szCs w:val="28"/>
        </w:rPr>
        <w:t>%. На долю расходов по раздел</w:t>
      </w:r>
      <w:r>
        <w:rPr>
          <w:rFonts w:ascii="Times New Roman" w:hAnsi="Times New Roman" w:cs="Times New Roman"/>
          <w:sz w:val="28"/>
          <w:szCs w:val="28"/>
        </w:rPr>
        <w:t xml:space="preserve">у «Национальная оборона»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833397">
        <w:rPr>
          <w:rFonts w:ascii="Times New Roman" w:hAnsi="Times New Roman" w:cs="Times New Roman"/>
          <w:sz w:val="28"/>
          <w:szCs w:val="28"/>
        </w:rPr>
        <w:t>2,1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F48BA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 Структура  расходов бюджета поселения за 1 квартал 201</w:t>
      </w:r>
      <w:r w:rsidR="00833397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отражена на диаграмме:</w:t>
      </w:r>
    </w:p>
    <w:p w:rsidR="00B25CE4" w:rsidRDefault="00B25CE4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8BA" w:rsidRDefault="006F48B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8BA" w:rsidRPr="006C192E" w:rsidRDefault="00833397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D60D2C7" wp14:editId="5682E63F">
            <wp:extent cx="6050845" cy="4921955"/>
            <wp:effectExtent l="38100" t="0" r="64770" b="1206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C192E" w:rsidRPr="006C192E" w:rsidRDefault="006F48B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>В течение отчетного периода не производились расходы, предусмотренные решением о бюдж</w:t>
      </w:r>
      <w:r>
        <w:rPr>
          <w:rFonts w:ascii="Times New Roman" w:hAnsi="Times New Roman" w:cs="Times New Roman"/>
          <w:sz w:val="28"/>
          <w:szCs w:val="28"/>
        </w:rPr>
        <w:t>ете, по разделам «Образование»,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>, «Национальная экономика» и «Социальная политика»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По данным разделам предусмотрены бюджетные ассигнования на проведение мероприятий по молодежной </w:t>
      </w:r>
      <w:r w:rsidR="00AA4B3F">
        <w:rPr>
          <w:rFonts w:ascii="Times New Roman" w:hAnsi="Times New Roman" w:cs="Times New Roman"/>
          <w:sz w:val="28"/>
          <w:szCs w:val="28"/>
        </w:rPr>
        <w:t>политике и оздоровлению детей,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проведение мероприятий пожарной безопасности</w:t>
      </w:r>
      <w:r w:rsidR="006C4D36">
        <w:rPr>
          <w:rFonts w:ascii="Times New Roman" w:hAnsi="Times New Roman" w:cs="Times New Roman"/>
          <w:sz w:val="28"/>
          <w:szCs w:val="28"/>
        </w:rPr>
        <w:t xml:space="preserve">, на содержание дорог, на выплаты муниципальных пенсий и </w:t>
      </w:r>
      <w:r w:rsidR="00046315">
        <w:rPr>
          <w:rFonts w:ascii="Times New Roman" w:hAnsi="Times New Roman" w:cs="Times New Roman"/>
          <w:sz w:val="28"/>
          <w:szCs w:val="28"/>
        </w:rPr>
        <w:t>ЕДК</w:t>
      </w:r>
      <w:r w:rsidRPr="006C192E">
        <w:rPr>
          <w:rFonts w:ascii="Times New Roman" w:hAnsi="Times New Roman" w:cs="Times New Roman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По разделам классификации расходов</w:t>
      </w:r>
      <w:r w:rsidR="006C4D36"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вопросы», </w:t>
      </w:r>
      <w:r w:rsidRPr="006C192E">
        <w:rPr>
          <w:rFonts w:ascii="Times New Roman" w:hAnsi="Times New Roman" w:cs="Times New Roman"/>
          <w:sz w:val="28"/>
          <w:szCs w:val="28"/>
        </w:rPr>
        <w:t xml:space="preserve">«Физическая культура и спорт» </w:t>
      </w:r>
      <w:r w:rsidR="006C4D36">
        <w:rPr>
          <w:rFonts w:ascii="Times New Roman" w:hAnsi="Times New Roman" w:cs="Times New Roman"/>
          <w:sz w:val="28"/>
          <w:szCs w:val="28"/>
        </w:rPr>
        <w:t xml:space="preserve">и «Национальная оборона» </w:t>
      </w:r>
      <w:r w:rsidRPr="006C192E">
        <w:rPr>
          <w:rFonts w:ascii="Times New Roman" w:hAnsi="Times New Roman" w:cs="Times New Roman"/>
          <w:sz w:val="28"/>
          <w:szCs w:val="28"/>
        </w:rPr>
        <w:t xml:space="preserve">уровень исполнения к годовым назначениям выше 25 процентов, по  остальным </w:t>
      </w:r>
      <w:r w:rsidR="006C4D36">
        <w:rPr>
          <w:rFonts w:ascii="Times New Roman" w:hAnsi="Times New Roman" w:cs="Times New Roman"/>
          <w:sz w:val="28"/>
          <w:szCs w:val="28"/>
        </w:rPr>
        <w:t>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разделам классификации расходов уровень исполнения значительно ниже 25 процентов.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315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046315" w:rsidRDefault="00046315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315" w:rsidRPr="006C192E" w:rsidRDefault="00046315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</w:rPr>
        <w:lastRenderedPageBreak/>
        <w:t>Таблица 5</w:t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="00CF3210">
        <w:rPr>
          <w:rFonts w:ascii="Times New Roman" w:hAnsi="Times New Roman" w:cs="Times New Roman"/>
        </w:rPr>
        <w:t xml:space="preserve">                           </w:t>
      </w:r>
      <w:r w:rsidRPr="006C192E">
        <w:rPr>
          <w:rFonts w:ascii="Times New Roman" w:hAnsi="Times New Roman" w:cs="Times New Roman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B25CE4" w:rsidRPr="006C192E" w:rsidTr="00B25CE4">
        <w:trPr>
          <w:trHeight w:val="970"/>
        </w:trPr>
        <w:tc>
          <w:tcPr>
            <w:tcW w:w="105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622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 xml:space="preserve">Исполнено в   1 квартале </w:t>
            </w:r>
          </w:p>
          <w:p w:rsidR="006C192E" w:rsidRPr="006C192E" w:rsidRDefault="006C192E" w:rsidP="00E95E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201</w:t>
            </w:r>
            <w:r w:rsidR="00E95E9C">
              <w:rPr>
                <w:rFonts w:ascii="Times New Roman" w:eastAsia="Calibri" w:hAnsi="Times New Roman" w:cs="Times New Roman"/>
              </w:rPr>
              <w:t>6</w:t>
            </w:r>
            <w:r w:rsidRPr="006C192E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667" w:type="dxa"/>
          </w:tcPr>
          <w:p w:rsidR="006C192E" w:rsidRPr="006C192E" w:rsidRDefault="006C192E" w:rsidP="00E95E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Утверждено в бюджете на 201</w:t>
            </w:r>
            <w:r w:rsidR="00E95E9C">
              <w:rPr>
                <w:rFonts w:ascii="Times New Roman" w:hAnsi="Times New Roman" w:cs="Times New Roman"/>
              </w:rPr>
              <w:t xml:space="preserve">7 </w:t>
            </w:r>
            <w:r w:rsidRPr="006C192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22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Исполнено в 1</w:t>
            </w:r>
          </w:p>
          <w:p w:rsidR="006C192E" w:rsidRPr="006C192E" w:rsidRDefault="00E95E9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квартале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2017</w:t>
            </w:r>
            <w:r w:rsidR="006C192E" w:rsidRPr="006C192E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64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 xml:space="preserve">Процент 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676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отклонение 1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квартала 201</w:t>
            </w:r>
            <w:r w:rsidR="00E95E9C">
              <w:rPr>
                <w:rFonts w:ascii="Times New Roman" w:eastAsia="Calibri" w:hAnsi="Times New Roman" w:cs="Times New Roman"/>
              </w:rPr>
              <w:t>7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года от 1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квартала 20</w:t>
            </w:r>
            <w:r w:rsidR="00E95E9C">
              <w:rPr>
                <w:rFonts w:ascii="Times New Roman" w:eastAsia="Calibri" w:hAnsi="Times New Roman" w:cs="Times New Roman"/>
              </w:rPr>
              <w:t>16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Исполнено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к уровню 1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квартала</w:t>
            </w:r>
          </w:p>
          <w:p w:rsidR="006C192E" w:rsidRPr="006C192E" w:rsidRDefault="006C192E" w:rsidP="00E95E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201</w:t>
            </w:r>
            <w:r w:rsidR="00E95E9C">
              <w:rPr>
                <w:rFonts w:ascii="Times New Roman" w:eastAsia="Calibri" w:hAnsi="Times New Roman" w:cs="Times New Roman"/>
              </w:rPr>
              <w:t>6</w:t>
            </w:r>
            <w:r w:rsidRPr="006C192E">
              <w:rPr>
                <w:rFonts w:ascii="Times New Roman" w:eastAsia="Calibri" w:hAnsi="Times New Roman" w:cs="Times New Roman"/>
              </w:rPr>
              <w:t xml:space="preserve"> года,%</w:t>
            </w:r>
          </w:p>
        </w:tc>
      </w:tr>
      <w:tr w:rsidR="00B25CE4" w:rsidRPr="006C192E" w:rsidTr="00B25CE4">
        <w:tc>
          <w:tcPr>
            <w:tcW w:w="1056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22" w:type="dxa"/>
          </w:tcPr>
          <w:p w:rsidR="00E95E9C" w:rsidRPr="006C192E" w:rsidRDefault="00E95E9C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551,1</w:t>
            </w:r>
          </w:p>
        </w:tc>
        <w:tc>
          <w:tcPr>
            <w:tcW w:w="667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1823,1</w:t>
            </w:r>
          </w:p>
        </w:tc>
        <w:tc>
          <w:tcPr>
            <w:tcW w:w="622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458,5</w:t>
            </w:r>
          </w:p>
        </w:tc>
        <w:tc>
          <w:tcPr>
            <w:tcW w:w="649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676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-92,6</w:t>
            </w:r>
          </w:p>
        </w:tc>
        <w:tc>
          <w:tcPr>
            <w:tcW w:w="3613" w:type="dxa"/>
          </w:tcPr>
          <w:p w:rsidR="00E95E9C" w:rsidRPr="006C192E" w:rsidRDefault="00AA070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</w:tr>
      <w:tr w:rsidR="00B25CE4" w:rsidRPr="006C192E" w:rsidTr="00B25CE4">
        <w:tc>
          <w:tcPr>
            <w:tcW w:w="1056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622" w:type="dxa"/>
          </w:tcPr>
          <w:p w:rsidR="00E95E9C" w:rsidRPr="006C192E" w:rsidRDefault="00E95E9C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667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622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649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76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-2,7</w:t>
            </w:r>
          </w:p>
        </w:tc>
        <w:tc>
          <w:tcPr>
            <w:tcW w:w="3613" w:type="dxa"/>
          </w:tcPr>
          <w:p w:rsidR="00E95E9C" w:rsidRPr="006C192E" w:rsidRDefault="00AA070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</w:tr>
      <w:tr w:rsidR="00B25CE4" w:rsidRPr="006C192E" w:rsidTr="00B25CE4">
        <w:tc>
          <w:tcPr>
            <w:tcW w:w="1056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22" w:type="dxa"/>
          </w:tcPr>
          <w:p w:rsidR="00E95E9C" w:rsidRPr="006C192E" w:rsidRDefault="00E95E9C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7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622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9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6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13" w:type="dxa"/>
          </w:tcPr>
          <w:p w:rsidR="00E95E9C" w:rsidRPr="006C192E" w:rsidRDefault="00AA070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5CE4" w:rsidRPr="006C192E" w:rsidTr="00B25CE4">
        <w:tc>
          <w:tcPr>
            <w:tcW w:w="1056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22" w:type="dxa"/>
          </w:tcPr>
          <w:p w:rsidR="00E95E9C" w:rsidRPr="006C192E" w:rsidRDefault="00E95E9C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7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</w:t>
            </w:r>
          </w:p>
        </w:tc>
        <w:tc>
          <w:tcPr>
            <w:tcW w:w="622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9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6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13" w:type="dxa"/>
          </w:tcPr>
          <w:p w:rsidR="00E95E9C" w:rsidRPr="006C192E" w:rsidRDefault="00AA070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5CE4" w:rsidRPr="006C192E" w:rsidTr="00B25CE4">
        <w:tc>
          <w:tcPr>
            <w:tcW w:w="1056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22" w:type="dxa"/>
          </w:tcPr>
          <w:p w:rsidR="00E95E9C" w:rsidRPr="006C192E" w:rsidRDefault="00E95E9C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667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622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649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676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3613" w:type="dxa"/>
          </w:tcPr>
          <w:p w:rsidR="00E95E9C" w:rsidRPr="006C192E" w:rsidRDefault="00AA070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118,0</w:t>
            </w:r>
          </w:p>
        </w:tc>
      </w:tr>
      <w:tr w:rsidR="00B25CE4" w:rsidRPr="006C192E" w:rsidTr="00B25CE4">
        <w:tc>
          <w:tcPr>
            <w:tcW w:w="1056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22" w:type="dxa"/>
          </w:tcPr>
          <w:p w:rsidR="00E95E9C" w:rsidRPr="006C192E" w:rsidRDefault="00E95E9C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7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22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9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6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13" w:type="dxa"/>
          </w:tcPr>
          <w:p w:rsidR="00E95E9C" w:rsidRPr="006C192E" w:rsidRDefault="00AA070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5CE4" w:rsidRPr="006C192E" w:rsidTr="00B25CE4">
        <w:tc>
          <w:tcPr>
            <w:tcW w:w="1056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622" w:type="dxa"/>
          </w:tcPr>
          <w:p w:rsidR="00E95E9C" w:rsidRPr="006C192E" w:rsidRDefault="00E95E9C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667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1275,0</w:t>
            </w:r>
          </w:p>
        </w:tc>
        <w:tc>
          <w:tcPr>
            <w:tcW w:w="622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185,7</w:t>
            </w:r>
          </w:p>
        </w:tc>
        <w:tc>
          <w:tcPr>
            <w:tcW w:w="649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676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3613" w:type="dxa"/>
          </w:tcPr>
          <w:p w:rsidR="00E95E9C" w:rsidRPr="006C192E" w:rsidRDefault="00AA070A" w:rsidP="00D671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141,3</w:t>
            </w:r>
          </w:p>
        </w:tc>
      </w:tr>
      <w:tr w:rsidR="00B25CE4" w:rsidRPr="006C192E" w:rsidTr="00B25CE4">
        <w:tc>
          <w:tcPr>
            <w:tcW w:w="1056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22" w:type="dxa"/>
          </w:tcPr>
          <w:p w:rsidR="00E95E9C" w:rsidRPr="006C192E" w:rsidRDefault="00E95E9C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67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622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9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76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13" w:type="dxa"/>
          </w:tcPr>
          <w:p w:rsidR="00E95E9C" w:rsidRPr="006C192E" w:rsidRDefault="00AA070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25CE4" w:rsidRPr="006C192E" w:rsidTr="00B25CE4">
        <w:trPr>
          <w:trHeight w:val="540"/>
        </w:trPr>
        <w:tc>
          <w:tcPr>
            <w:tcW w:w="1056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22" w:type="dxa"/>
          </w:tcPr>
          <w:p w:rsidR="00E95E9C" w:rsidRPr="006C192E" w:rsidRDefault="00E95E9C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223,5</w:t>
            </w:r>
          </w:p>
        </w:tc>
        <w:tc>
          <w:tcPr>
            <w:tcW w:w="667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622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</w:t>
            </w:r>
          </w:p>
        </w:tc>
        <w:tc>
          <w:tcPr>
            <w:tcW w:w="649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76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3613" w:type="dxa"/>
          </w:tcPr>
          <w:p w:rsidR="00E95E9C" w:rsidRPr="006C192E" w:rsidRDefault="00AA070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</w:t>
            </w:r>
          </w:p>
        </w:tc>
      </w:tr>
      <w:tr w:rsidR="00B25CE4" w:rsidRPr="006C192E" w:rsidTr="00B25CE4">
        <w:tc>
          <w:tcPr>
            <w:tcW w:w="1056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622" w:type="dxa"/>
          </w:tcPr>
          <w:p w:rsidR="00E95E9C" w:rsidRPr="006C192E" w:rsidRDefault="00E95E9C" w:rsidP="0092559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971,0</w:t>
            </w:r>
          </w:p>
        </w:tc>
        <w:tc>
          <w:tcPr>
            <w:tcW w:w="667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4446,8</w:t>
            </w:r>
          </w:p>
        </w:tc>
        <w:tc>
          <w:tcPr>
            <w:tcW w:w="622" w:type="dxa"/>
          </w:tcPr>
          <w:p w:rsidR="00E95E9C" w:rsidRPr="006C192E" w:rsidRDefault="00E95E9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944,4</w:t>
            </w:r>
          </w:p>
        </w:tc>
        <w:tc>
          <w:tcPr>
            <w:tcW w:w="649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21,2</w:t>
            </w:r>
          </w:p>
        </w:tc>
        <w:tc>
          <w:tcPr>
            <w:tcW w:w="676" w:type="dxa"/>
          </w:tcPr>
          <w:p w:rsidR="00E95E9C" w:rsidRPr="006C192E" w:rsidRDefault="00694DF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-26,6</w:t>
            </w:r>
          </w:p>
        </w:tc>
        <w:tc>
          <w:tcPr>
            <w:tcW w:w="3613" w:type="dxa"/>
          </w:tcPr>
          <w:p w:rsidR="00E95E9C" w:rsidRPr="006C192E" w:rsidRDefault="00AA070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97,3</w:t>
            </w:r>
          </w:p>
        </w:tc>
      </w:tr>
    </w:tbl>
    <w:p w:rsidR="006C192E" w:rsidRPr="00072BF8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072BF8" w:rsidRDefault="00046315" w:rsidP="00BE7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BF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6C192E" w:rsidRPr="00072BF8">
        <w:rPr>
          <w:rFonts w:ascii="Times New Roman" w:hAnsi="Times New Roman" w:cs="Times New Roman"/>
          <w:i/>
          <w:sz w:val="28"/>
          <w:szCs w:val="28"/>
        </w:rPr>
        <w:t>«Общегосударственные вопросы»</w:t>
      </w:r>
      <w:r w:rsidR="006C192E" w:rsidRPr="00072BF8">
        <w:rPr>
          <w:rFonts w:ascii="Times New Roman" w:hAnsi="Times New Roman" w:cs="Times New Roman"/>
          <w:sz w:val="28"/>
          <w:szCs w:val="28"/>
        </w:rPr>
        <w:t xml:space="preserve"> -  исполнены  в сумме</w:t>
      </w:r>
      <w:r w:rsidRPr="00072BF8">
        <w:rPr>
          <w:rFonts w:ascii="Times New Roman" w:hAnsi="Times New Roman" w:cs="Times New Roman"/>
          <w:sz w:val="28"/>
          <w:szCs w:val="28"/>
        </w:rPr>
        <w:t xml:space="preserve"> </w:t>
      </w:r>
      <w:r w:rsidR="00833397" w:rsidRPr="00072BF8">
        <w:rPr>
          <w:rFonts w:ascii="Times New Roman" w:hAnsi="Times New Roman" w:cs="Times New Roman"/>
          <w:sz w:val="28"/>
          <w:szCs w:val="28"/>
        </w:rPr>
        <w:t>458,5</w:t>
      </w:r>
      <w:r w:rsidR="006C192E" w:rsidRPr="00072BF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33397" w:rsidRPr="00072BF8">
        <w:rPr>
          <w:rFonts w:ascii="Times New Roman" w:hAnsi="Times New Roman" w:cs="Times New Roman"/>
          <w:sz w:val="28"/>
          <w:szCs w:val="28"/>
        </w:rPr>
        <w:t>25,1</w:t>
      </w:r>
      <w:r w:rsidR="006C192E" w:rsidRPr="00072BF8">
        <w:rPr>
          <w:rFonts w:ascii="Times New Roman" w:hAnsi="Times New Roman" w:cs="Times New Roman"/>
          <w:sz w:val="28"/>
          <w:szCs w:val="28"/>
        </w:rPr>
        <w:t>% к годовым назначениям. По сравнению с 1 кварталом 201</w:t>
      </w:r>
      <w:r w:rsidR="00833397" w:rsidRPr="00072BF8">
        <w:rPr>
          <w:rFonts w:ascii="Times New Roman" w:hAnsi="Times New Roman" w:cs="Times New Roman"/>
          <w:sz w:val="28"/>
          <w:szCs w:val="28"/>
        </w:rPr>
        <w:t>6</w:t>
      </w:r>
      <w:r w:rsidR="006C192E" w:rsidRPr="00072BF8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 w:rsidRPr="00072BF8">
        <w:rPr>
          <w:rFonts w:ascii="Times New Roman" w:hAnsi="Times New Roman" w:cs="Times New Roman"/>
          <w:sz w:val="28"/>
          <w:szCs w:val="28"/>
        </w:rPr>
        <w:t>меньши</w:t>
      </w:r>
      <w:r w:rsidR="006C192E" w:rsidRPr="00072BF8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833397" w:rsidRPr="00072BF8">
        <w:rPr>
          <w:rFonts w:ascii="Times New Roman" w:hAnsi="Times New Roman" w:cs="Times New Roman"/>
          <w:sz w:val="28"/>
          <w:szCs w:val="28"/>
        </w:rPr>
        <w:t>92,6</w:t>
      </w:r>
      <w:r w:rsidR="006C192E" w:rsidRPr="00072BF8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833397" w:rsidRPr="00072BF8">
        <w:rPr>
          <w:rFonts w:ascii="Times New Roman" w:hAnsi="Times New Roman" w:cs="Times New Roman"/>
          <w:sz w:val="28"/>
          <w:szCs w:val="28"/>
        </w:rPr>
        <w:t>16,8</w:t>
      </w:r>
      <w:r w:rsidR="006C192E" w:rsidRPr="00072BF8">
        <w:rPr>
          <w:rFonts w:ascii="Times New Roman" w:hAnsi="Times New Roman" w:cs="Times New Roman"/>
          <w:sz w:val="28"/>
          <w:szCs w:val="28"/>
        </w:rPr>
        <w:t>%). Средства направлены:</w:t>
      </w:r>
    </w:p>
    <w:p w:rsidR="006C192E" w:rsidRPr="00072BF8" w:rsidRDefault="006C192E" w:rsidP="00BE7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BF8">
        <w:rPr>
          <w:rFonts w:ascii="Times New Roman" w:hAnsi="Times New Roman" w:cs="Times New Roman"/>
          <w:sz w:val="28"/>
          <w:szCs w:val="28"/>
        </w:rPr>
        <w:t>- на функционирование высшего должностного лица -</w:t>
      </w:r>
      <w:r w:rsidR="00072BF8" w:rsidRPr="00072BF8">
        <w:rPr>
          <w:rFonts w:ascii="Times New Roman" w:hAnsi="Times New Roman" w:cs="Times New Roman"/>
          <w:sz w:val="28"/>
          <w:szCs w:val="28"/>
        </w:rPr>
        <w:t>86,8</w:t>
      </w:r>
      <w:r w:rsidRPr="00072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92E" w:rsidRDefault="006C192E" w:rsidP="00BE7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BF8">
        <w:rPr>
          <w:rFonts w:ascii="Times New Roman" w:hAnsi="Times New Roman" w:cs="Times New Roman"/>
          <w:sz w:val="28"/>
          <w:szCs w:val="28"/>
        </w:rPr>
        <w:t>- на функц</w:t>
      </w:r>
      <w:r w:rsidR="00C51475" w:rsidRPr="00072BF8">
        <w:rPr>
          <w:rFonts w:ascii="Times New Roman" w:hAnsi="Times New Roman" w:cs="Times New Roman"/>
          <w:sz w:val="28"/>
          <w:szCs w:val="28"/>
        </w:rPr>
        <w:t xml:space="preserve">ионирование администрации -  </w:t>
      </w:r>
      <w:r w:rsidR="00072BF8" w:rsidRPr="00072BF8">
        <w:rPr>
          <w:rFonts w:ascii="Times New Roman" w:hAnsi="Times New Roman" w:cs="Times New Roman"/>
          <w:sz w:val="28"/>
          <w:szCs w:val="28"/>
        </w:rPr>
        <w:t>371,6</w:t>
      </w:r>
      <w:r w:rsidRPr="00072BF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2BF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E78F3" w:rsidRDefault="00072BF8" w:rsidP="00BE78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7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00A" w:rsidRPr="0037000A">
        <w:rPr>
          <w:rFonts w:ascii="Times New Roman" w:eastAsia="Times New Roman" w:hAnsi="Times New Roman" w:cs="Times New Roman"/>
          <w:sz w:val="28"/>
          <w:szCs w:val="28"/>
        </w:rPr>
        <w:t xml:space="preserve"> на межбюджетные трансферты по осуществлению  полномочий по внешнему муниципальному финансовому контролю – </w:t>
      </w:r>
      <w:r w:rsidR="0037000A">
        <w:rPr>
          <w:rFonts w:ascii="Times New Roman" w:eastAsia="Times New Roman" w:hAnsi="Times New Roman" w:cs="Times New Roman"/>
          <w:sz w:val="28"/>
          <w:szCs w:val="28"/>
        </w:rPr>
        <w:t>7,8</w:t>
      </w:r>
      <w:r w:rsidR="0037000A" w:rsidRPr="0037000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3700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000A" w:rsidRDefault="006C192E" w:rsidP="00BE7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Default="006C192E" w:rsidP="00BE7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</w:t>
      </w:r>
      <w:r w:rsidR="0037000A">
        <w:rPr>
          <w:rFonts w:ascii="Times New Roman" w:hAnsi="Times New Roman" w:cs="Times New Roman"/>
          <w:sz w:val="28"/>
          <w:szCs w:val="28"/>
        </w:rPr>
        <w:t xml:space="preserve">   </w:t>
      </w:r>
      <w:r w:rsidRPr="006C192E">
        <w:rPr>
          <w:rFonts w:ascii="Times New Roman" w:hAnsi="Times New Roman" w:cs="Times New Roman"/>
          <w:sz w:val="28"/>
          <w:szCs w:val="28"/>
        </w:rPr>
        <w:t>«</w:t>
      </w:r>
      <w:r w:rsidRPr="006C192E">
        <w:rPr>
          <w:rFonts w:ascii="Times New Roman" w:hAnsi="Times New Roman" w:cs="Times New Roman"/>
          <w:i/>
          <w:sz w:val="28"/>
          <w:szCs w:val="28"/>
        </w:rPr>
        <w:t>Национальная оборона</w:t>
      </w:r>
      <w:r w:rsidRPr="006C192E">
        <w:rPr>
          <w:rFonts w:ascii="Times New Roman" w:hAnsi="Times New Roman" w:cs="Times New Roman"/>
          <w:sz w:val="28"/>
          <w:szCs w:val="28"/>
        </w:rPr>
        <w:t xml:space="preserve">» - </w:t>
      </w:r>
      <w:r w:rsidR="002B2901">
        <w:rPr>
          <w:rFonts w:ascii="Times New Roman" w:hAnsi="Times New Roman" w:cs="Times New Roman"/>
          <w:sz w:val="28"/>
          <w:szCs w:val="28"/>
        </w:rPr>
        <w:t>20,0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B2901">
        <w:rPr>
          <w:rFonts w:ascii="Times New Roman" w:hAnsi="Times New Roman" w:cs="Times New Roman"/>
          <w:sz w:val="28"/>
          <w:szCs w:val="28"/>
        </w:rPr>
        <w:t>25,0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годовым бюджетным назначениям. По сравнению с 1 кварталом 201</w:t>
      </w:r>
      <w:r w:rsidR="002B2901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 w:rsidR="002B2901">
        <w:rPr>
          <w:rFonts w:ascii="Times New Roman" w:hAnsi="Times New Roman" w:cs="Times New Roman"/>
          <w:sz w:val="28"/>
          <w:szCs w:val="28"/>
        </w:rPr>
        <w:t>меньшились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2B2901">
        <w:rPr>
          <w:rFonts w:ascii="Times New Roman" w:hAnsi="Times New Roman" w:cs="Times New Roman"/>
          <w:sz w:val="28"/>
          <w:szCs w:val="28"/>
        </w:rPr>
        <w:t>2,7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B2901">
        <w:rPr>
          <w:rFonts w:ascii="Times New Roman" w:hAnsi="Times New Roman" w:cs="Times New Roman"/>
          <w:sz w:val="28"/>
          <w:szCs w:val="28"/>
        </w:rPr>
        <w:t>11,9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%). Средства направлены на осуществление первичного воинского учета в поселении.</w:t>
      </w:r>
    </w:p>
    <w:p w:rsidR="00BE78F3" w:rsidRPr="006C192E" w:rsidRDefault="00BE78F3" w:rsidP="00BE7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Default="006C192E" w:rsidP="00BE78F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«Национальная безопасность и правоохранительная деятельность»</w:t>
      </w:r>
      <w:r w:rsidR="008C06CE">
        <w:rPr>
          <w:rFonts w:ascii="Times New Roman" w:hAnsi="Times New Roman" w:cs="Times New Roman"/>
          <w:sz w:val="28"/>
          <w:szCs w:val="28"/>
        </w:rPr>
        <w:t>- расходы в 1 квартале 2017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не осуществлялись.</w:t>
      </w:r>
    </w:p>
    <w:p w:rsidR="00BE78F3" w:rsidRPr="006C192E" w:rsidRDefault="00BE78F3" w:rsidP="00BE78F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6A7" w:rsidRDefault="006C192E" w:rsidP="00BE78F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«Национальная экономика» -</w:t>
      </w:r>
      <w:r w:rsidR="008916A7" w:rsidRPr="008916A7">
        <w:rPr>
          <w:rFonts w:ascii="Times New Roman" w:hAnsi="Times New Roman" w:cs="Times New Roman"/>
          <w:sz w:val="28"/>
          <w:szCs w:val="28"/>
        </w:rPr>
        <w:t xml:space="preserve"> </w:t>
      </w:r>
      <w:r w:rsidR="008916A7" w:rsidRPr="006C192E">
        <w:rPr>
          <w:rFonts w:ascii="Times New Roman" w:hAnsi="Times New Roman" w:cs="Times New Roman"/>
          <w:sz w:val="28"/>
          <w:szCs w:val="28"/>
        </w:rPr>
        <w:t>расходы в 1 квартале 201</w:t>
      </w:r>
      <w:r w:rsidR="008C06CE">
        <w:rPr>
          <w:rFonts w:ascii="Times New Roman" w:hAnsi="Times New Roman" w:cs="Times New Roman"/>
          <w:sz w:val="28"/>
          <w:szCs w:val="28"/>
        </w:rPr>
        <w:t>7</w:t>
      </w:r>
      <w:r w:rsidR="008916A7" w:rsidRPr="006C192E">
        <w:rPr>
          <w:rFonts w:ascii="Times New Roman" w:hAnsi="Times New Roman" w:cs="Times New Roman"/>
          <w:sz w:val="28"/>
          <w:szCs w:val="28"/>
        </w:rPr>
        <w:t xml:space="preserve"> года не осуществлялись</w:t>
      </w:r>
      <w:r w:rsidR="008916A7">
        <w:rPr>
          <w:rFonts w:ascii="Times New Roman" w:hAnsi="Times New Roman" w:cs="Times New Roman"/>
          <w:sz w:val="28"/>
          <w:szCs w:val="28"/>
        </w:rPr>
        <w:t>.</w:t>
      </w:r>
    </w:p>
    <w:p w:rsidR="006C192E" w:rsidRDefault="008916A7" w:rsidP="00BE78F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6C192E" w:rsidRPr="006C192E">
        <w:rPr>
          <w:rFonts w:ascii="Times New Roman" w:hAnsi="Times New Roman" w:cs="Times New Roman"/>
          <w:i/>
          <w:sz w:val="28"/>
          <w:szCs w:val="28"/>
        </w:rPr>
        <w:t>«Жилищно-коммунальное хозяйство»</w:t>
      </w:r>
      <w:r w:rsidR="00BE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- расходы составили </w:t>
      </w:r>
      <w:r w:rsidR="008C06CE">
        <w:rPr>
          <w:rFonts w:ascii="Times New Roman" w:hAnsi="Times New Roman" w:cs="Times New Roman"/>
          <w:sz w:val="28"/>
          <w:szCs w:val="28"/>
        </w:rPr>
        <w:t>49,9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C06CE">
        <w:rPr>
          <w:rFonts w:ascii="Times New Roman" w:hAnsi="Times New Roman" w:cs="Times New Roman"/>
          <w:sz w:val="28"/>
          <w:szCs w:val="28"/>
        </w:rPr>
        <w:t xml:space="preserve">19,8 </w:t>
      </w:r>
      <w:r w:rsidR="006C192E" w:rsidRPr="006C192E">
        <w:rPr>
          <w:rFonts w:ascii="Times New Roman" w:hAnsi="Times New Roman" w:cs="Times New Roman"/>
          <w:sz w:val="28"/>
          <w:szCs w:val="28"/>
        </w:rPr>
        <w:t>% к годовым назначениям, в том числе  по подразделу «</w:t>
      </w:r>
      <w:r w:rsidR="00712A69">
        <w:rPr>
          <w:rFonts w:ascii="Times New Roman" w:hAnsi="Times New Roman" w:cs="Times New Roman"/>
          <w:sz w:val="28"/>
          <w:szCs w:val="28"/>
        </w:rPr>
        <w:t>Благоустройств</w:t>
      </w:r>
      <w:r w:rsidR="00BE78F3">
        <w:rPr>
          <w:rFonts w:ascii="Times New Roman" w:hAnsi="Times New Roman" w:cs="Times New Roman"/>
          <w:sz w:val="28"/>
          <w:szCs w:val="28"/>
        </w:rPr>
        <w:t>о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» - </w:t>
      </w:r>
      <w:r w:rsidR="008C06CE">
        <w:rPr>
          <w:rFonts w:ascii="Times New Roman" w:hAnsi="Times New Roman" w:cs="Times New Roman"/>
          <w:sz w:val="28"/>
          <w:szCs w:val="28"/>
        </w:rPr>
        <w:t xml:space="preserve">49,9 </w:t>
      </w:r>
      <w:r w:rsidR="006C192E" w:rsidRPr="006C192E">
        <w:rPr>
          <w:rFonts w:ascii="Times New Roman" w:hAnsi="Times New Roman" w:cs="Times New Roman"/>
          <w:sz w:val="28"/>
          <w:szCs w:val="28"/>
        </w:rPr>
        <w:t>тыс. рублей на оплату уличного освещения на территории поселения.</w:t>
      </w:r>
      <w:r w:rsidR="00712A69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По сравнению с 1</w:t>
      </w:r>
      <w:r w:rsidR="00712A69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кварталом 201</w:t>
      </w:r>
      <w:r w:rsidR="008C06CE">
        <w:rPr>
          <w:rFonts w:ascii="Times New Roman" w:hAnsi="Times New Roman" w:cs="Times New Roman"/>
          <w:sz w:val="28"/>
          <w:szCs w:val="28"/>
        </w:rPr>
        <w:t>6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712A69">
        <w:rPr>
          <w:rFonts w:ascii="Times New Roman" w:hAnsi="Times New Roman" w:cs="Times New Roman"/>
          <w:sz w:val="28"/>
          <w:szCs w:val="28"/>
        </w:rPr>
        <w:t xml:space="preserve">года расходы </w:t>
      </w:r>
      <w:r w:rsidR="008C06CE">
        <w:rPr>
          <w:rFonts w:ascii="Times New Roman" w:hAnsi="Times New Roman" w:cs="Times New Roman"/>
          <w:sz w:val="28"/>
          <w:szCs w:val="28"/>
        </w:rPr>
        <w:t>увеличились</w:t>
      </w:r>
      <w:r w:rsidR="00712A69">
        <w:rPr>
          <w:rFonts w:ascii="Times New Roman" w:hAnsi="Times New Roman" w:cs="Times New Roman"/>
          <w:sz w:val="28"/>
          <w:szCs w:val="28"/>
        </w:rPr>
        <w:t xml:space="preserve"> на  </w:t>
      </w:r>
      <w:r w:rsidR="002B2901">
        <w:rPr>
          <w:rFonts w:ascii="Times New Roman" w:hAnsi="Times New Roman" w:cs="Times New Roman"/>
          <w:sz w:val="28"/>
          <w:szCs w:val="28"/>
        </w:rPr>
        <w:t>7,6</w:t>
      </w:r>
      <w:r w:rsidR="00712A69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тыс. рублей (</w:t>
      </w:r>
      <w:r w:rsidR="002B2901">
        <w:rPr>
          <w:rFonts w:ascii="Times New Roman" w:hAnsi="Times New Roman" w:cs="Times New Roman"/>
          <w:sz w:val="28"/>
          <w:szCs w:val="28"/>
        </w:rPr>
        <w:t xml:space="preserve">18,0 </w:t>
      </w:r>
      <w:r w:rsidR="006C192E" w:rsidRPr="006C192E">
        <w:rPr>
          <w:rFonts w:ascii="Times New Roman" w:hAnsi="Times New Roman" w:cs="Times New Roman"/>
          <w:sz w:val="28"/>
          <w:szCs w:val="28"/>
        </w:rPr>
        <w:t>%).</w:t>
      </w:r>
    </w:p>
    <w:p w:rsidR="00BE78F3" w:rsidRPr="006C192E" w:rsidRDefault="00BE78F3" w:rsidP="00BE78F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Default="006C192E" w:rsidP="00BE78F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«Образование»</w:t>
      </w:r>
      <w:r w:rsidRPr="006C192E">
        <w:rPr>
          <w:rFonts w:ascii="Times New Roman" w:hAnsi="Times New Roman" w:cs="Times New Roman"/>
          <w:sz w:val="28"/>
          <w:szCs w:val="28"/>
        </w:rPr>
        <w:t xml:space="preserve"> - расходы в 1 квартале 201</w:t>
      </w:r>
      <w:r w:rsidR="002B2901">
        <w:rPr>
          <w:rFonts w:ascii="Times New Roman" w:hAnsi="Times New Roman" w:cs="Times New Roman"/>
          <w:sz w:val="28"/>
          <w:szCs w:val="28"/>
        </w:rPr>
        <w:t xml:space="preserve">7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не осуществлялись.</w:t>
      </w:r>
    </w:p>
    <w:p w:rsidR="00BE78F3" w:rsidRPr="006C192E" w:rsidRDefault="00BE78F3" w:rsidP="00BE78F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BE78F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«Культура и  кинематография»</w:t>
      </w:r>
      <w:r w:rsidR="00BE7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-</w:t>
      </w:r>
      <w:r w:rsidR="002B2901">
        <w:rPr>
          <w:rFonts w:ascii="Times New Roman" w:hAnsi="Times New Roman" w:cs="Times New Roman"/>
          <w:sz w:val="28"/>
          <w:szCs w:val="28"/>
        </w:rPr>
        <w:t>185,7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712A69">
        <w:rPr>
          <w:rFonts w:ascii="Times New Roman" w:hAnsi="Times New Roman" w:cs="Times New Roman"/>
          <w:sz w:val="28"/>
          <w:szCs w:val="28"/>
        </w:rPr>
        <w:t>14,</w:t>
      </w:r>
      <w:r w:rsidR="002B2901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кварталом 201</w:t>
      </w:r>
      <w:r w:rsidR="002B2901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712A69">
        <w:rPr>
          <w:rFonts w:ascii="Times New Roman" w:hAnsi="Times New Roman" w:cs="Times New Roman"/>
          <w:sz w:val="28"/>
          <w:szCs w:val="28"/>
        </w:rPr>
        <w:t>у</w:t>
      </w:r>
      <w:r w:rsidR="002B2901">
        <w:rPr>
          <w:rFonts w:ascii="Times New Roman" w:hAnsi="Times New Roman" w:cs="Times New Roman"/>
          <w:sz w:val="28"/>
          <w:szCs w:val="28"/>
        </w:rPr>
        <w:t>величились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 </w:t>
      </w:r>
      <w:r w:rsidR="002B2901">
        <w:rPr>
          <w:rFonts w:ascii="Times New Roman" w:hAnsi="Times New Roman" w:cs="Times New Roman"/>
          <w:sz w:val="28"/>
          <w:szCs w:val="28"/>
        </w:rPr>
        <w:t>54,3</w:t>
      </w:r>
      <w:r w:rsidR="009B0A3B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B2901">
        <w:rPr>
          <w:rFonts w:ascii="Times New Roman" w:hAnsi="Times New Roman" w:cs="Times New Roman"/>
          <w:sz w:val="28"/>
          <w:szCs w:val="28"/>
        </w:rPr>
        <w:t>41,3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6C192E" w:rsidRDefault="006C192E" w:rsidP="00BE78F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Расходы по подразделу «Культура» составили </w:t>
      </w:r>
      <w:r w:rsidR="002B2901">
        <w:rPr>
          <w:rFonts w:ascii="Times New Roman" w:hAnsi="Times New Roman" w:cs="Times New Roman"/>
          <w:sz w:val="28"/>
          <w:szCs w:val="28"/>
        </w:rPr>
        <w:t>185,7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B0A3B">
        <w:rPr>
          <w:rFonts w:ascii="Times New Roman" w:hAnsi="Times New Roman" w:cs="Times New Roman"/>
          <w:sz w:val="28"/>
          <w:szCs w:val="28"/>
        </w:rPr>
        <w:t>14,</w:t>
      </w:r>
      <w:r w:rsidR="002B2901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>%), или  100 % от общих расходов раздела «Культура и кинематография». Расходы производились на финансовое обеспечение муниципального задания МБУК «</w:t>
      </w:r>
      <w:r w:rsidR="009B0A3B">
        <w:rPr>
          <w:rFonts w:ascii="Times New Roman" w:hAnsi="Times New Roman" w:cs="Times New Roman"/>
          <w:sz w:val="28"/>
          <w:szCs w:val="28"/>
        </w:rPr>
        <w:t>Туровецк</w:t>
      </w:r>
      <w:r w:rsidR="002677E6">
        <w:rPr>
          <w:rFonts w:ascii="Times New Roman" w:hAnsi="Times New Roman" w:cs="Times New Roman"/>
          <w:sz w:val="28"/>
          <w:szCs w:val="28"/>
        </w:rPr>
        <w:t>ий</w:t>
      </w:r>
      <w:r w:rsidRPr="006C192E">
        <w:rPr>
          <w:rFonts w:ascii="Times New Roman" w:hAnsi="Times New Roman" w:cs="Times New Roman"/>
          <w:sz w:val="28"/>
          <w:szCs w:val="28"/>
        </w:rPr>
        <w:t xml:space="preserve"> Дом культуры» в сумме </w:t>
      </w:r>
      <w:r w:rsidR="002B2901">
        <w:rPr>
          <w:rFonts w:ascii="Times New Roman" w:hAnsi="Times New Roman" w:cs="Times New Roman"/>
          <w:sz w:val="28"/>
          <w:szCs w:val="28"/>
        </w:rPr>
        <w:t xml:space="preserve">185,7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78F3" w:rsidRPr="006C192E" w:rsidRDefault="00BE78F3" w:rsidP="00BE78F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Default="006C192E" w:rsidP="00BE78F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«Социальная политика»</w:t>
      </w:r>
      <w:r w:rsidR="009B0A3B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9B0A3B" w:rsidRPr="006C192E">
        <w:rPr>
          <w:rFonts w:ascii="Times New Roman" w:hAnsi="Times New Roman" w:cs="Times New Roman"/>
          <w:sz w:val="28"/>
          <w:szCs w:val="28"/>
        </w:rPr>
        <w:t>- расходы в 1 квартале 201</w:t>
      </w:r>
      <w:r w:rsidR="002B2901">
        <w:rPr>
          <w:rFonts w:ascii="Times New Roman" w:hAnsi="Times New Roman" w:cs="Times New Roman"/>
          <w:sz w:val="28"/>
          <w:szCs w:val="28"/>
        </w:rPr>
        <w:t xml:space="preserve">7 </w:t>
      </w:r>
      <w:r w:rsidR="009B0A3B" w:rsidRPr="006C192E">
        <w:rPr>
          <w:rFonts w:ascii="Times New Roman" w:hAnsi="Times New Roman" w:cs="Times New Roman"/>
          <w:sz w:val="28"/>
          <w:szCs w:val="28"/>
        </w:rPr>
        <w:t>года не осуществлялись.</w:t>
      </w:r>
    </w:p>
    <w:p w:rsidR="00BE78F3" w:rsidRPr="006C192E" w:rsidRDefault="00BE78F3" w:rsidP="00BE78F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Default="006C192E" w:rsidP="00BE7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 xml:space="preserve">         «Физическая культура и спорт»</w:t>
      </w:r>
      <w:r w:rsidRPr="006C192E">
        <w:rPr>
          <w:rFonts w:ascii="Times New Roman" w:hAnsi="Times New Roman" w:cs="Times New Roman"/>
          <w:sz w:val="28"/>
          <w:szCs w:val="28"/>
        </w:rPr>
        <w:t xml:space="preserve"> - </w:t>
      </w:r>
      <w:r w:rsidR="002B2901">
        <w:rPr>
          <w:rFonts w:ascii="Times New Roman" w:hAnsi="Times New Roman" w:cs="Times New Roman"/>
          <w:sz w:val="28"/>
          <w:szCs w:val="28"/>
        </w:rPr>
        <w:t xml:space="preserve">230,4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</w:t>
      </w:r>
      <w:r w:rsidR="002B2901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рублей, или  </w:t>
      </w:r>
      <w:r w:rsidR="009B0A3B">
        <w:rPr>
          <w:rFonts w:ascii="Times New Roman" w:hAnsi="Times New Roman" w:cs="Times New Roman"/>
          <w:sz w:val="28"/>
          <w:szCs w:val="28"/>
        </w:rPr>
        <w:t>32,</w:t>
      </w:r>
      <w:r w:rsidR="002B2901">
        <w:rPr>
          <w:rFonts w:ascii="Times New Roman" w:hAnsi="Times New Roman" w:cs="Times New Roman"/>
          <w:sz w:val="28"/>
          <w:szCs w:val="28"/>
        </w:rPr>
        <w:t>0</w:t>
      </w:r>
      <w:r w:rsidRPr="006C192E">
        <w:rPr>
          <w:rFonts w:ascii="Times New Roman" w:hAnsi="Times New Roman" w:cs="Times New Roman"/>
          <w:sz w:val="28"/>
          <w:szCs w:val="28"/>
        </w:rPr>
        <w:t>% к годовым назначениям.  По сравнению с 1 кварталом 201</w:t>
      </w:r>
      <w:r w:rsidR="002B2901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 года расходы </w:t>
      </w:r>
      <w:r w:rsidR="002B2901">
        <w:rPr>
          <w:rFonts w:ascii="Times New Roman" w:hAnsi="Times New Roman" w:cs="Times New Roman"/>
          <w:sz w:val="28"/>
          <w:szCs w:val="28"/>
        </w:rPr>
        <w:t>выросли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2B2901">
        <w:rPr>
          <w:rFonts w:ascii="Times New Roman" w:hAnsi="Times New Roman" w:cs="Times New Roman"/>
          <w:sz w:val="28"/>
          <w:szCs w:val="28"/>
        </w:rPr>
        <w:t>6,9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B2901">
        <w:rPr>
          <w:rFonts w:ascii="Times New Roman" w:hAnsi="Times New Roman" w:cs="Times New Roman"/>
          <w:sz w:val="28"/>
          <w:szCs w:val="28"/>
        </w:rPr>
        <w:t xml:space="preserve"> (3,1</w:t>
      </w:r>
      <w:r w:rsidRPr="006C192E">
        <w:rPr>
          <w:rFonts w:ascii="Times New Roman" w:hAnsi="Times New Roman" w:cs="Times New Roman"/>
          <w:sz w:val="28"/>
          <w:szCs w:val="28"/>
        </w:rPr>
        <w:t>%).  Расходы производились на  финансовое обеспечение выполнения муниципального задания МБУ ФОК «</w:t>
      </w:r>
      <w:r w:rsidR="009B0A3B">
        <w:rPr>
          <w:rFonts w:ascii="Times New Roman" w:hAnsi="Times New Roman" w:cs="Times New Roman"/>
          <w:sz w:val="28"/>
          <w:szCs w:val="28"/>
        </w:rPr>
        <w:t>Олимп</w:t>
      </w:r>
      <w:r w:rsidRPr="006C192E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2B2901">
        <w:rPr>
          <w:rFonts w:ascii="Times New Roman" w:hAnsi="Times New Roman" w:cs="Times New Roman"/>
          <w:sz w:val="28"/>
          <w:szCs w:val="28"/>
        </w:rPr>
        <w:t>230,4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B0A3B">
        <w:rPr>
          <w:rFonts w:ascii="Times New Roman" w:hAnsi="Times New Roman" w:cs="Times New Roman"/>
          <w:sz w:val="28"/>
          <w:szCs w:val="28"/>
        </w:rPr>
        <w:t xml:space="preserve">, на проведение мероприятий по физической культуре и спорту </w:t>
      </w:r>
      <w:r w:rsidR="002B2901">
        <w:rPr>
          <w:rFonts w:ascii="Times New Roman" w:hAnsi="Times New Roman" w:cs="Times New Roman"/>
          <w:sz w:val="28"/>
          <w:szCs w:val="28"/>
        </w:rPr>
        <w:t xml:space="preserve"> средства не выделялись.</w:t>
      </w:r>
    </w:p>
    <w:p w:rsidR="00BE78F3" w:rsidRDefault="00BE78F3" w:rsidP="00BE78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E4" w:rsidRDefault="00B25CE4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78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Приложении 2 к постановлению допущены опечатки в </w:t>
      </w:r>
      <w:r w:rsidR="00BE78F3">
        <w:rPr>
          <w:rFonts w:ascii="Times New Roman" w:hAnsi="Times New Roman" w:cs="Times New Roman"/>
          <w:i/>
          <w:sz w:val="28"/>
          <w:szCs w:val="28"/>
        </w:rPr>
        <w:t>таблице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E78F3">
        <w:rPr>
          <w:rFonts w:ascii="Times New Roman" w:hAnsi="Times New Roman" w:cs="Times New Roman"/>
          <w:i/>
          <w:sz w:val="28"/>
          <w:szCs w:val="28"/>
        </w:rPr>
        <w:t>И так, следует в графе «</w:t>
      </w:r>
      <w:r>
        <w:rPr>
          <w:rFonts w:ascii="Times New Roman" w:hAnsi="Times New Roman" w:cs="Times New Roman"/>
          <w:i/>
          <w:sz w:val="28"/>
          <w:szCs w:val="28"/>
        </w:rPr>
        <w:t>Годовой план в соответствии с решением о бюджете поселения на 2016 год»  2016 год заменить на 2017 год. Графу «Фактическое исполнение за 9 месяцев 2016 года» заменить на «Фактическое исполнение за 1 квартал 2017 года».</w:t>
      </w:r>
    </w:p>
    <w:p w:rsidR="00A71D1E" w:rsidRPr="00B25CE4" w:rsidRDefault="00A71D1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92E">
        <w:rPr>
          <w:rFonts w:ascii="Times New Roman" w:hAnsi="Times New Roman" w:cs="Times New Roman"/>
          <w:sz w:val="28"/>
          <w:szCs w:val="28"/>
        </w:rPr>
        <w:t>В рамках проведения анализа исполнения бюджета поселения  за 1 квартал 201</w:t>
      </w:r>
      <w:r w:rsidR="002B2901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Информация в отношении органов местного самоуправления предоставлена следующими данными: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апреля  201</w:t>
      </w:r>
      <w:r w:rsidR="002B2901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2B2901">
        <w:rPr>
          <w:rFonts w:ascii="Times New Roman" w:hAnsi="Times New Roman" w:cs="Times New Roman"/>
          <w:sz w:val="28"/>
          <w:szCs w:val="28"/>
        </w:rPr>
        <w:t>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шт. единиц, на 01 апреля 201</w:t>
      </w:r>
      <w:r w:rsidR="002B2901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8600E">
        <w:rPr>
          <w:rFonts w:ascii="Times New Roman" w:hAnsi="Times New Roman" w:cs="Times New Roman"/>
          <w:sz w:val="28"/>
          <w:szCs w:val="28"/>
        </w:rPr>
        <w:t>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lastRenderedPageBreak/>
        <w:t>2. Фактический объем расходов на оплату труда работников органов местного самоуправления составил:</w:t>
      </w:r>
    </w:p>
    <w:p w:rsidR="006C192E" w:rsidRPr="0092559C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9C">
        <w:rPr>
          <w:rFonts w:ascii="Times New Roman" w:hAnsi="Times New Roman" w:cs="Times New Roman"/>
          <w:sz w:val="28"/>
          <w:szCs w:val="28"/>
        </w:rPr>
        <w:t>- за 1 квартал 201</w:t>
      </w:r>
      <w:r w:rsidR="002B2901" w:rsidRPr="0092559C">
        <w:rPr>
          <w:rFonts w:ascii="Times New Roman" w:hAnsi="Times New Roman" w:cs="Times New Roman"/>
          <w:sz w:val="28"/>
          <w:szCs w:val="28"/>
        </w:rPr>
        <w:t>6</w:t>
      </w:r>
      <w:r w:rsidRPr="0092559C">
        <w:rPr>
          <w:rFonts w:ascii="Times New Roman" w:hAnsi="Times New Roman" w:cs="Times New Roman"/>
          <w:sz w:val="28"/>
          <w:szCs w:val="28"/>
        </w:rPr>
        <w:t xml:space="preserve"> год</w:t>
      </w:r>
      <w:r w:rsidR="002B2901" w:rsidRPr="0092559C">
        <w:rPr>
          <w:rFonts w:ascii="Times New Roman" w:hAnsi="Times New Roman" w:cs="Times New Roman"/>
          <w:sz w:val="28"/>
          <w:szCs w:val="28"/>
        </w:rPr>
        <w:t>а</w:t>
      </w:r>
      <w:r w:rsidRPr="0092559C">
        <w:rPr>
          <w:rFonts w:ascii="Times New Roman" w:hAnsi="Times New Roman" w:cs="Times New Roman"/>
          <w:sz w:val="28"/>
          <w:szCs w:val="28"/>
        </w:rPr>
        <w:t xml:space="preserve"> –</w:t>
      </w:r>
      <w:r w:rsidR="002B2901" w:rsidRPr="0092559C">
        <w:rPr>
          <w:rFonts w:ascii="Times New Roman" w:hAnsi="Times New Roman" w:cs="Times New Roman"/>
          <w:sz w:val="28"/>
          <w:szCs w:val="28"/>
        </w:rPr>
        <w:t>263,9</w:t>
      </w:r>
      <w:r w:rsidR="007D0D68" w:rsidRPr="0092559C">
        <w:rPr>
          <w:rFonts w:ascii="Times New Roman" w:hAnsi="Times New Roman" w:cs="Times New Roman"/>
          <w:sz w:val="28"/>
          <w:szCs w:val="28"/>
        </w:rPr>
        <w:t xml:space="preserve"> тыс</w:t>
      </w:r>
      <w:r w:rsidRPr="0092559C">
        <w:rPr>
          <w:rFonts w:ascii="Times New Roman" w:hAnsi="Times New Roman" w:cs="Times New Roman"/>
          <w:sz w:val="28"/>
          <w:szCs w:val="28"/>
        </w:rPr>
        <w:t>. рублей;</w:t>
      </w:r>
    </w:p>
    <w:p w:rsidR="006C192E" w:rsidRPr="0092559C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9C">
        <w:rPr>
          <w:rFonts w:ascii="Times New Roman" w:hAnsi="Times New Roman" w:cs="Times New Roman"/>
          <w:sz w:val="28"/>
          <w:szCs w:val="28"/>
        </w:rPr>
        <w:t>- за 1 квартал 201</w:t>
      </w:r>
      <w:r w:rsidR="002B2901" w:rsidRPr="0092559C">
        <w:rPr>
          <w:rFonts w:ascii="Times New Roman" w:hAnsi="Times New Roman" w:cs="Times New Roman"/>
          <w:sz w:val="28"/>
          <w:szCs w:val="28"/>
        </w:rPr>
        <w:t>7</w:t>
      </w:r>
      <w:r w:rsidRPr="0092559C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B2901" w:rsidRPr="0092559C">
        <w:rPr>
          <w:rFonts w:ascii="Times New Roman" w:hAnsi="Times New Roman" w:cs="Times New Roman"/>
          <w:sz w:val="28"/>
          <w:szCs w:val="28"/>
        </w:rPr>
        <w:t>189,5</w:t>
      </w:r>
      <w:r w:rsidRPr="009255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71D1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9C">
        <w:rPr>
          <w:rFonts w:ascii="Times New Roman" w:hAnsi="Times New Roman" w:cs="Times New Roman"/>
          <w:sz w:val="28"/>
          <w:szCs w:val="28"/>
        </w:rPr>
        <w:t>3. Доля расходов на оплату труда работников аппарата управления в общей сумме расходов бюджета поселения за 1 квартал  201</w:t>
      </w:r>
      <w:r w:rsidR="007D0D68" w:rsidRPr="0092559C">
        <w:rPr>
          <w:rFonts w:ascii="Times New Roman" w:hAnsi="Times New Roman" w:cs="Times New Roman"/>
          <w:sz w:val="28"/>
          <w:szCs w:val="28"/>
        </w:rPr>
        <w:t>7</w:t>
      </w:r>
      <w:r w:rsidRPr="0092559C">
        <w:rPr>
          <w:rFonts w:ascii="Times New Roman" w:hAnsi="Times New Roman" w:cs="Times New Roman"/>
          <w:sz w:val="28"/>
          <w:szCs w:val="28"/>
        </w:rPr>
        <w:t xml:space="preserve"> года составила  </w:t>
      </w:r>
      <w:r w:rsidR="0092559C">
        <w:rPr>
          <w:rFonts w:ascii="Times New Roman" w:hAnsi="Times New Roman" w:cs="Times New Roman"/>
          <w:sz w:val="28"/>
          <w:szCs w:val="28"/>
        </w:rPr>
        <w:t>20,1</w:t>
      </w:r>
      <w:r w:rsidRPr="0092559C">
        <w:rPr>
          <w:rFonts w:ascii="Times New Roman" w:hAnsi="Times New Roman" w:cs="Times New Roman"/>
          <w:sz w:val="28"/>
          <w:szCs w:val="28"/>
        </w:rPr>
        <w:t xml:space="preserve"> процента от общего объема расходов.</w:t>
      </w:r>
    </w:p>
    <w:p w:rsidR="00A71D1E" w:rsidRDefault="0038600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59C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92559C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A71D1E">
        <w:rPr>
          <w:rFonts w:ascii="Times New Roman" w:hAnsi="Times New Roman" w:cs="Times New Roman"/>
          <w:sz w:val="28"/>
          <w:szCs w:val="28"/>
        </w:rPr>
        <w:t xml:space="preserve">существенное </w:t>
      </w:r>
      <w:r w:rsidRPr="0092559C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="006C192E" w:rsidRPr="0092559C">
        <w:rPr>
          <w:rFonts w:ascii="Times New Roman" w:hAnsi="Times New Roman" w:cs="Times New Roman"/>
          <w:sz w:val="28"/>
          <w:szCs w:val="28"/>
        </w:rPr>
        <w:t xml:space="preserve"> расходов на оплату труда</w:t>
      </w:r>
      <w:r w:rsidRPr="0092559C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92559C">
        <w:rPr>
          <w:rFonts w:ascii="Times New Roman" w:hAnsi="Times New Roman" w:cs="Times New Roman"/>
          <w:sz w:val="28"/>
          <w:szCs w:val="28"/>
        </w:rPr>
        <w:t xml:space="preserve">работников органа местного самоуправления </w:t>
      </w:r>
      <w:r w:rsidR="00A71D1E">
        <w:rPr>
          <w:rFonts w:ascii="Times New Roman" w:hAnsi="Times New Roman" w:cs="Times New Roman"/>
          <w:sz w:val="28"/>
          <w:szCs w:val="28"/>
        </w:rPr>
        <w:t xml:space="preserve">в </w:t>
      </w:r>
      <w:r w:rsidR="006C192E" w:rsidRPr="0092559C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="00A71D1E">
        <w:rPr>
          <w:rFonts w:ascii="Times New Roman" w:hAnsi="Times New Roman" w:cs="Times New Roman"/>
          <w:sz w:val="28"/>
          <w:szCs w:val="28"/>
        </w:rPr>
        <w:t xml:space="preserve">е </w:t>
      </w:r>
      <w:r w:rsidR="006C192E" w:rsidRPr="0092559C">
        <w:rPr>
          <w:rFonts w:ascii="Times New Roman" w:hAnsi="Times New Roman" w:cs="Times New Roman"/>
          <w:sz w:val="28"/>
          <w:szCs w:val="28"/>
        </w:rPr>
        <w:t xml:space="preserve"> 201</w:t>
      </w:r>
      <w:r w:rsidR="0092559C">
        <w:rPr>
          <w:rFonts w:ascii="Times New Roman" w:hAnsi="Times New Roman" w:cs="Times New Roman"/>
          <w:sz w:val="28"/>
          <w:szCs w:val="28"/>
        </w:rPr>
        <w:t xml:space="preserve">7 </w:t>
      </w:r>
      <w:r w:rsidR="006C192E" w:rsidRPr="0092559C">
        <w:rPr>
          <w:rFonts w:ascii="Times New Roman" w:hAnsi="Times New Roman" w:cs="Times New Roman"/>
          <w:sz w:val="28"/>
          <w:szCs w:val="28"/>
        </w:rPr>
        <w:t xml:space="preserve">года по сравнению с аналогичным периодом прошлого года на </w:t>
      </w:r>
      <w:r w:rsidR="0092559C">
        <w:rPr>
          <w:rFonts w:ascii="Times New Roman" w:hAnsi="Times New Roman" w:cs="Times New Roman"/>
          <w:sz w:val="28"/>
          <w:szCs w:val="28"/>
        </w:rPr>
        <w:t>74,4</w:t>
      </w:r>
      <w:r w:rsidR="006C192E" w:rsidRPr="0092559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2559C">
        <w:rPr>
          <w:rFonts w:ascii="Times New Roman" w:hAnsi="Times New Roman" w:cs="Times New Roman"/>
          <w:sz w:val="28"/>
          <w:szCs w:val="28"/>
        </w:rPr>
        <w:t>28,2</w:t>
      </w:r>
      <w:r w:rsidR="006C192E" w:rsidRPr="0092559C">
        <w:rPr>
          <w:rFonts w:ascii="Times New Roman" w:hAnsi="Times New Roman" w:cs="Times New Roman"/>
          <w:sz w:val="28"/>
          <w:szCs w:val="28"/>
        </w:rPr>
        <w:t xml:space="preserve"> </w:t>
      </w:r>
      <w:r w:rsidR="00A71D1E">
        <w:rPr>
          <w:rFonts w:ascii="Times New Roman" w:hAnsi="Times New Roman" w:cs="Times New Roman"/>
          <w:sz w:val="28"/>
          <w:szCs w:val="28"/>
        </w:rPr>
        <w:t xml:space="preserve">%.  Данное снижение </w:t>
      </w:r>
      <w:r w:rsidR="006C192E" w:rsidRPr="0092559C"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Pr="0092559C">
        <w:rPr>
          <w:rFonts w:ascii="Times New Roman" w:hAnsi="Times New Roman" w:cs="Times New Roman"/>
          <w:sz w:val="28"/>
          <w:szCs w:val="28"/>
        </w:rPr>
        <w:t xml:space="preserve"> </w:t>
      </w:r>
      <w:r w:rsidR="0092559C">
        <w:rPr>
          <w:rFonts w:ascii="Times New Roman" w:hAnsi="Times New Roman" w:cs="Times New Roman"/>
          <w:sz w:val="28"/>
          <w:szCs w:val="28"/>
        </w:rPr>
        <w:t>тем, что в</w:t>
      </w:r>
      <w:r w:rsidR="00A71D1E">
        <w:rPr>
          <w:rFonts w:ascii="Times New Roman" w:hAnsi="Times New Roman" w:cs="Times New Roman"/>
          <w:sz w:val="28"/>
          <w:szCs w:val="28"/>
        </w:rPr>
        <w:t xml:space="preserve"> 1 квартале 2016 года были проведены  расходы по выплате  отпускных 2 - м работникам, в то время</w:t>
      </w:r>
      <w:proofErr w:type="gramStart"/>
      <w:r w:rsidR="00A71D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1D1E">
        <w:rPr>
          <w:rFonts w:ascii="Times New Roman" w:hAnsi="Times New Roman" w:cs="Times New Roman"/>
          <w:sz w:val="28"/>
          <w:szCs w:val="28"/>
        </w:rPr>
        <w:t xml:space="preserve">  как в 1 квартале 2017 года  такие выплаты не проводились.</w:t>
      </w:r>
    </w:p>
    <w:p w:rsidR="006C192E" w:rsidRPr="006C192E" w:rsidRDefault="0092559C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Число бюджетных организаций по состоянию на 01 апреля 201</w:t>
      </w:r>
      <w:r w:rsidR="0092559C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составило  2 (в т.</w:t>
      </w:r>
      <w:r w:rsidR="003E5655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ч. финансируемых за счет собственных доходов  – 2), на 01 апреля  201</w:t>
      </w:r>
      <w:r w:rsidR="0092559C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– 2 (в т.</w:t>
      </w:r>
      <w:r w:rsidR="003E5655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ч. финансируемых за счет собственных доходов – 2).</w:t>
      </w:r>
    </w:p>
    <w:p w:rsidR="0038600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1. Количество работников муниципальных учреждений по состоянию на 01 апреля 201</w:t>
      </w:r>
      <w:r w:rsidR="0092559C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составило</w:t>
      </w:r>
      <w:r w:rsidR="0038600E">
        <w:rPr>
          <w:rFonts w:ascii="Times New Roman" w:hAnsi="Times New Roman" w:cs="Times New Roman"/>
          <w:sz w:val="28"/>
          <w:szCs w:val="28"/>
        </w:rPr>
        <w:t xml:space="preserve"> 11 </w:t>
      </w:r>
      <w:r w:rsidRPr="006C192E">
        <w:rPr>
          <w:rFonts w:ascii="Times New Roman" w:hAnsi="Times New Roman" w:cs="Times New Roman"/>
          <w:sz w:val="28"/>
          <w:szCs w:val="28"/>
        </w:rPr>
        <w:t>шт. единиц, на 01 апреля 201</w:t>
      </w:r>
      <w:r w:rsidR="0092559C">
        <w:rPr>
          <w:rFonts w:ascii="Times New Roman" w:hAnsi="Times New Roman" w:cs="Times New Roman"/>
          <w:sz w:val="28"/>
          <w:szCs w:val="28"/>
        </w:rPr>
        <w:t>7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="0092559C">
        <w:rPr>
          <w:rFonts w:ascii="Times New Roman" w:hAnsi="Times New Roman" w:cs="Times New Roman"/>
          <w:sz w:val="28"/>
          <w:szCs w:val="28"/>
        </w:rPr>
        <w:t>года –10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шт. единиц. Штатная численность работников муниципальных учреждений поселения на 01.04.201</w:t>
      </w:r>
      <w:r w:rsidR="0092559C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в сравнении с 01.04.201</w:t>
      </w:r>
      <w:r w:rsidR="0092559C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2559C">
        <w:rPr>
          <w:rFonts w:ascii="Times New Roman" w:hAnsi="Times New Roman" w:cs="Times New Roman"/>
          <w:sz w:val="28"/>
          <w:szCs w:val="28"/>
        </w:rPr>
        <w:t>снизилась на 1 шт. единицу.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муниципальных учреждений составил: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- за 1 квартал 201</w:t>
      </w:r>
      <w:r w:rsidR="0092559C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2559C">
        <w:rPr>
          <w:rFonts w:ascii="Times New Roman" w:hAnsi="Times New Roman" w:cs="Times New Roman"/>
          <w:sz w:val="28"/>
          <w:szCs w:val="28"/>
        </w:rPr>
        <w:t>254,9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- за 1 квартал 201</w:t>
      </w:r>
      <w:r w:rsidR="0092559C">
        <w:rPr>
          <w:rFonts w:ascii="Times New Roman" w:hAnsi="Times New Roman" w:cs="Times New Roman"/>
          <w:sz w:val="28"/>
          <w:szCs w:val="28"/>
        </w:rPr>
        <w:t xml:space="preserve">7 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92559C">
        <w:rPr>
          <w:rFonts w:ascii="Times New Roman" w:hAnsi="Times New Roman" w:cs="Times New Roman"/>
          <w:sz w:val="28"/>
          <w:szCs w:val="28"/>
        </w:rPr>
        <w:t>289,8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3. Доля расходов на оплату труда работников муниципальных учреждений  в общей сумме расходов бюджета поселения  за 1 квартал  201</w:t>
      </w:r>
      <w:r w:rsidR="0092559C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составила  </w:t>
      </w:r>
      <w:r w:rsidR="0092559C">
        <w:rPr>
          <w:rFonts w:ascii="Times New Roman" w:hAnsi="Times New Roman" w:cs="Times New Roman"/>
          <w:sz w:val="28"/>
          <w:szCs w:val="28"/>
        </w:rPr>
        <w:t xml:space="preserve">30,7 </w:t>
      </w:r>
      <w:r w:rsidRPr="006C192E">
        <w:rPr>
          <w:rFonts w:ascii="Times New Roman" w:hAnsi="Times New Roman" w:cs="Times New Roman"/>
          <w:sz w:val="28"/>
          <w:szCs w:val="28"/>
        </w:rPr>
        <w:t>процента.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Наблюдается </w:t>
      </w:r>
      <w:r w:rsidR="0092559C">
        <w:rPr>
          <w:rFonts w:ascii="Times New Roman" w:hAnsi="Times New Roman" w:cs="Times New Roman"/>
          <w:sz w:val="28"/>
          <w:szCs w:val="28"/>
        </w:rPr>
        <w:t>увеличение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   расходов на оплату труда работников муниципальных учреждений  на </w:t>
      </w:r>
      <w:r w:rsidR="003E5655">
        <w:rPr>
          <w:rFonts w:ascii="Times New Roman" w:hAnsi="Times New Roman" w:cs="Times New Roman"/>
          <w:sz w:val="28"/>
          <w:szCs w:val="28"/>
        </w:rPr>
        <w:t>34,9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3E5655">
        <w:rPr>
          <w:rFonts w:ascii="Times New Roman" w:hAnsi="Times New Roman" w:cs="Times New Roman"/>
          <w:sz w:val="28"/>
          <w:szCs w:val="28"/>
        </w:rPr>
        <w:t>13,7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1D1E" w:rsidRPr="006C192E" w:rsidRDefault="00A71D1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797">
        <w:rPr>
          <w:rFonts w:ascii="Times New Roman" w:hAnsi="Times New Roman" w:cs="Times New Roman"/>
          <w:b/>
          <w:i/>
          <w:sz w:val="28"/>
          <w:szCs w:val="28"/>
        </w:rPr>
        <w:t>Дефицит бюджета поселения.</w:t>
      </w:r>
      <w:r w:rsidR="003E565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3E5655" w:rsidRPr="00447797" w:rsidRDefault="003E5655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Pr="00447797" w:rsidRDefault="006C192E" w:rsidP="006C192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7">
        <w:rPr>
          <w:rFonts w:ascii="Times New Roman" w:hAnsi="Times New Roman" w:cs="Times New Roman"/>
          <w:sz w:val="28"/>
          <w:szCs w:val="28"/>
        </w:rPr>
        <w:t xml:space="preserve"> Первоначальный бюджет поселения на 201</w:t>
      </w:r>
      <w:r w:rsidR="003E5655">
        <w:rPr>
          <w:rFonts w:ascii="Times New Roman" w:hAnsi="Times New Roman" w:cs="Times New Roman"/>
          <w:sz w:val="28"/>
          <w:szCs w:val="28"/>
        </w:rPr>
        <w:t xml:space="preserve">7 </w:t>
      </w:r>
      <w:r w:rsidRPr="00447797">
        <w:rPr>
          <w:rFonts w:ascii="Times New Roman" w:hAnsi="Times New Roman" w:cs="Times New Roman"/>
          <w:sz w:val="28"/>
          <w:szCs w:val="28"/>
        </w:rPr>
        <w:t xml:space="preserve"> год принят без дефицита. В течение 1 квартала 201</w:t>
      </w:r>
      <w:r w:rsidR="003E5655">
        <w:rPr>
          <w:rFonts w:ascii="Times New Roman" w:hAnsi="Times New Roman" w:cs="Times New Roman"/>
          <w:sz w:val="28"/>
          <w:szCs w:val="28"/>
        </w:rPr>
        <w:t>7</w:t>
      </w:r>
      <w:r w:rsidRPr="00447797">
        <w:rPr>
          <w:rFonts w:ascii="Times New Roman" w:hAnsi="Times New Roman" w:cs="Times New Roman"/>
          <w:sz w:val="28"/>
          <w:szCs w:val="28"/>
        </w:rPr>
        <w:t xml:space="preserve"> года изменения в бюджет поселения </w:t>
      </w:r>
      <w:r w:rsidR="003E5655">
        <w:rPr>
          <w:rFonts w:ascii="Times New Roman" w:hAnsi="Times New Roman" w:cs="Times New Roman"/>
          <w:sz w:val="28"/>
          <w:szCs w:val="28"/>
        </w:rPr>
        <w:t>вносились один раз, бюджет принят без дефицита.</w:t>
      </w:r>
    </w:p>
    <w:p w:rsidR="006C192E" w:rsidRPr="009E58D8" w:rsidRDefault="006C192E" w:rsidP="006C19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7">
        <w:rPr>
          <w:rFonts w:ascii="Times New Roman" w:hAnsi="Times New Roman" w:cs="Times New Roman"/>
          <w:sz w:val="28"/>
          <w:szCs w:val="28"/>
        </w:rPr>
        <w:t>Бюджет поселения за 1 квартал  201</w:t>
      </w:r>
      <w:r w:rsidR="003E5655">
        <w:rPr>
          <w:rFonts w:ascii="Times New Roman" w:hAnsi="Times New Roman" w:cs="Times New Roman"/>
          <w:sz w:val="28"/>
          <w:szCs w:val="28"/>
        </w:rPr>
        <w:t xml:space="preserve">7  года исполнен с профицитом </w:t>
      </w:r>
      <w:r w:rsidRPr="0044779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E5655">
        <w:rPr>
          <w:rFonts w:ascii="Times New Roman" w:hAnsi="Times New Roman" w:cs="Times New Roman"/>
          <w:sz w:val="28"/>
          <w:szCs w:val="28"/>
        </w:rPr>
        <w:t>15,0</w:t>
      </w:r>
      <w:r w:rsidRPr="0044779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25CE4" w:rsidRDefault="001747DD" w:rsidP="00B25CE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7DD">
        <w:rPr>
          <w:rFonts w:ascii="Times New Roman" w:hAnsi="Times New Roman" w:cs="Times New Roman"/>
          <w:i/>
          <w:sz w:val="28"/>
          <w:szCs w:val="28"/>
        </w:rPr>
        <w:t xml:space="preserve">В приложении 3 к постановлению сумму дефицита </w:t>
      </w:r>
      <w:r w:rsidR="00B25CE4">
        <w:rPr>
          <w:rFonts w:ascii="Times New Roman" w:hAnsi="Times New Roman" w:cs="Times New Roman"/>
          <w:i/>
          <w:sz w:val="28"/>
          <w:szCs w:val="28"/>
        </w:rPr>
        <w:t xml:space="preserve">– 15,0 тыс. рублей следует </w:t>
      </w:r>
      <w:proofErr w:type="gramStart"/>
      <w:r w:rsidR="00B25CE4">
        <w:rPr>
          <w:rFonts w:ascii="Times New Roman" w:hAnsi="Times New Roman" w:cs="Times New Roman"/>
          <w:i/>
          <w:sz w:val="28"/>
          <w:szCs w:val="28"/>
        </w:rPr>
        <w:t>заменить на сумму</w:t>
      </w:r>
      <w:proofErr w:type="gramEnd"/>
      <w:r w:rsidR="00B25CE4">
        <w:rPr>
          <w:rFonts w:ascii="Times New Roman" w:hAnsi="Times New Roman" w:cs="Times New Roman"/>
          <w:i/>
          <w:sz w:val="28"/>
          <w:szCs w:val="28"/>
        </w:rPr>
        <w:t xml:space="preserve"> профицита - + 15,0 тыс. рублей.</w:t>
      </w:r>
    </w:p>
    <w:p w:rsidR="00B25CE4" w:rsidRDefault="00B25CE4" w:rsidP="00B25CE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1D1E" w:rsidRDefault="00A71D1E" w:rsidP="00B25CE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1D1E" w:rsidRDefault="00A71D1E" w:rsidP="00B25CE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1D1E" w:rsidRDefault="00A71D1E" w:rsidP="00B25CE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192E" w:rsidRPr="006C192E" w:rsidRDefault="006C192E" w:rsidP="00B25CE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192E">
        <w:rPr>
          <w:rFonts w:ascii="Times New Roman" w:hAnsi="Times New Roman" w:cs="Times New Roman"/>
          <w:b/>
          <w:bCs/>
          <w:i/>
          <w:sz w:val="28"/>
          <w:szCs w:val="28"/>
        </w:rPr>
        <w:t>Долговые обязательства бюджета поселения.</w:t>
      </w:r>
    </w:p>
    <w:p w:rsidR="006C192E" w:rsidRPr="006C192E" w:rsidRDefault="006C192E" w:rsidP="006C192E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Pr="006C192E" w:rsidRDefault="006C192E" w:rsidP="006C192E">
      <w:pPr>
        <w:pStyle w:val="1"/>
        <w:ind w:firstLine="709"/>
        <w:contextualSpacing/>
        <w:jc w:val="both"/>
        <w:rPr>
          <w:sz w:val="28"/>
          <w:szCs w:val="28"/>
        </w:rPr>
      </w:pPr>
      <w:r w:rsidRPr="006C192E">
        <w:rPr>
          <w:sz w:val="28"/>
          <w:szCs w:val="28"/>
        </w:rPr>
        <w:t xml:space="preserve">Решением Совета поселения </w:t>
      </w:r>
      <w:r w:rsidR="009E58D8">
        <w:rPr>
          <w:sz w:val="28"/>
          <w:szCs w:val="28"/>
        </w:rPr>
        <w:t>Туровецкое</w:t>
      </w:r>
      <w:r w:rsidRPr="006C192E">
        <w:rPr>
          <w:sz w:val="28"/>
          <w:szCs w:val="28"/>
        </w:rPr>
        <w:t xml:space="preserve"> от 2</w:t>
      </w:r>
      <w:r w:rsidR="00C01E73">
        <w:rPr>
          <w:sz w:val="28"/>
          <w:szCs w:val="28"/>
        </w:rPr>
        <w:t>6</w:t>
      </w:r>
      <w:r w:rsidRPr="006C192E">
        <w:rPr>
          <w:sz w:val="28"/>
          <w:szCs w:val="28"/>
        </w:rPr>
        <w:t xml:space="preserve"> декабря 201</w:t>
      </w:r>
      <w:r w:rsidR="00C01E73">
        <w:rPr>
          <w:sz w:val="28"/>
          <w:szCs w:val="28"/>
        </w:rPr>
        <w:t>6</w:t>
      </w:r>
      <w:r w:rsidR="009E58D8">
        <w:rPr>
          <w:sz w:val="28"/>
          <w:szCs w:val="28"/>
        </w:rPr>
        <w:t xml:space="preserve"> </w:t>
      </w:r>
      <w:r w:rsidRPr="006C192E">
        <w:rPr>
          <w:sz w:val="28"/>
          <w:szCs w:val="28"/>
        </w:rPr>
        <w:t xml:space="preserve">года № </w:t>
      </w:r>
      <w:r w:rsidR="00C01E73">
        <w:rPr>
          <w:sz w:val="28"/>
          <w:szCs w:val="28"/>
        </w:rPr>
        <w:t>78</w:t>
      </w:r>
      <w:r w:rsidRPr="006C192E">
        <w:rPr>
          <w:sz w:val="28"/>
          <w:szCs w:val="28"/>
        </w:rPr>
        <w:t xml:space="preserve"> установлен верхний предел муниципального внутреннего долга поселения по состоянию на 1 января 201</w:t>
      </w:r>
      <w:r w:rsidR="00C01E73">
        <w:rPr>
          <w:sz w:val="28"/>
          <w:szCs w:val="28"/>
        </w:rPr>
        <w:t>8</w:t>
      </w:r>
      <w:r w:rsidRPr="006C192E">
        <w:rPr>
          <w:sz w:val="28"/>
          <w:szCs w:val="28"/>
        </w:rPr>
        <w:t xml:space="preserve"> года в сумме </w:t>
      </w:r>
      <w:r w:rsidR="00767BF3">
        <w:rPr>
          <w:sz w:val="28"/>
          <w:szCs w:val="28"/>
        </w:rPr>
        <w:t>0,0</w:t>
      </w:r>
      <w:r w:rsidRPr="006C192E">
        <w:rPr>
          <w:sz w:val="28"/>
          <w:szCs w:val="28"/>
        </w:rPr>
        <w:t xml:space="preserve"> тыс. рублей.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В соответствии со статьей 107 Бюджетного кодекса Российской Федерации предельный объем муниципального внутреннего долга поселения</w:t>
      </w:r>
      <w:r w:rsidR="00816367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6C192E" w:rsidRDefault="006C192E" w:rsidP="006C19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C192E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рамках утвержденного бюджета предоставление муниципальных гарантий в 201</w:t>
      </w:r>
      <w:r w:rsidR="00C01E73"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6C19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году не запланировано.</w:t>
      </w:r>
    </w:p>
    <w:p w:rsidR="006C192E" w:rsidRPr="006C192E" w:rsidRDefault="006C192E" w:rsidP="006C19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C192E" w:rsidRPr="006C192E" w:rsidRDefault="006C192E" w:rsidP="006C19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C192E" w:rsidRPr="006C192E" w:rsidRDefault="006C192E" w:rsidP="006C192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C192E">
        <w:rPr>
          <w:rFonts w:ascii="Times New Roman" w:hAnsi="Times New Roman" w:cs="Times New Roman"/>
          <w:b/>
          <w:i/>
          <w:spacing w:val="1"/>
          <w:sz w:val="28"/>
          <w:szCs w:val="28"/>
        </w:rPr>
        <w:t>Кредиторская, дебиторская задолженность</w:t>
      </w:r>
      <w:r w:rsidRPr="006C192E">
        <w:rPr>
          <w:rFonts w:ascii="Times New Roman" w:hAnsi="Times New Roman" w:cs="Times New Roman"/>
          <w:spacing w:val="1"/>
          <w:sz w:val="28"/>
          <w:szCs w:val="28"/>
        </w:rPr>
        <w:tab/>
        <w:t>.</w:t>
      </w:r>
    </w:p>
    <w:p w:rsidR="006C192E" w:rsidRPr="006C192E" w:rsidRDefault="006C192E" w:rsidP="006C192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C192E">
        <w:rPr>
          <w:rFonts w:ascii="Times New Roman" w:hAnsi="Times New Roman" w:cs="Times New Roman"/>
          <w:sz w:val="28"/>
          <w:szCs w:val="28"/>
        </w:rPr>
        <w:t>Объем кредиторской задолженности по состоянию на 01 января 201</w:t>
      </w:r>
      <w:r w:rsidR="00C01E73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C01E73">
        <w:rPr>
          <w:rFonts w:ascii="Times New Roman" w:hAnsi="Times New Roman" w:cs="Times New Roman"/>
          <w:sz w:val="28"/>
          <w:szCs w:val="28"/>
        </w:rPr>
        <w:t>170,2</w:t>
      </w:r>
      <w:r w:rsidR="00767BF3" w:rsidRPr="008C5B1E">
        <w:rPr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тыс. рублей, на 01  апреля  201</w:t>
      </w:r>
      <w:r w:rsidR="00C01E73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767BF3">
        <w:rPr>
          <w:rFonts w:ascii="Times New Roman" w:hAnsi="Times New Roman" w:cs="Times New Roman"/>
          <w:sz w:val="28"/>
          <w:szCs w:val="28"/>
        </w:rPr>
        <w:t xml:space="preserve">  </w:t>
      </w:r>
      <w:r w:rsidR="00C01E73">
        <w:rPr>
          <w:rFonts w:ascii="Times New Roman" w:hAnsi="Times New Roman" w:cs="Times New Roman"/>
          <w:sz w:val="28"/>
          <w:szCs w:val="28"/>
        </w:rPr>
        <w:t>166,2 тыс. рублей</w:t>
      </w:r>
      <w:r w:rsidRPr="006C192E">
        <w:rPr>
          <w:rFonts w:ascii="Times New Roman" w:hAnsi="Times New Roman" w:cs="Times New Roman"/>
          <w:sz w:val="28"/>
          <w:szCs w:val="28"/>
        </w:rPr>
        <w:t>, на 01 января 201</w:t>
      </w:r>
      <w:r w:rsidR="00C01E73">
        <w:rPr>
          <w:rFonts w:ascii="Times New Roman" w:hAnsi="Times New Roman" w:cs="Times New Roman"/>
          <w:sz w:val="28"/>
          <w:szCs w:val="28"/>
        </w:rPr>
        <w:t xml:space="preserve">7 </w:t>
      </w:r>
      <w:r w:rsidRPr="006C192E">
        <w:rPr>
          <w:rFonts w:ascii="Times New Roman" w:hAnsi="Times New Roman" w:cs="Times New Roman"/>
          <w:sz w:val="28"/>
          <w:szCs w:val="28"/>
        </w:rPr>
        <w:t>года –</w:t>
      </w:r>
      <w:r w:rsidR="00514FDC">
        <w:rPr>
          <w:rFonts w:ascii="Times New Roman" w:hAnsi="Times New Roman" w:cs="Times New Roman"/>
          <w:sz w:val="28"/>
          <w:szCs w:val="28"/>
        </w:rPr>
        <w:t xml:space="preserve"> </w:t>
      </w:r>
      <w:r w:rsidR="005A5910">
        <w:rPr>
          <w:rFonts w:ascii="Times New Roman" w:hAnsi="Times New Roman" w:cs="Times New Roman"/>
          <w:sz w:val="28"/>
          <w:szCs w:val="28"/>
        </w:rPr>
        <w:t xml:space="preserve">269,4 </w:t>
      </w:r>
      <w:r w:rsidRPr="006C192E">
        <w:rPr>
          <w:rFonts w:ascii="Times New Roman" w:hAnsi="Times New Roman" w:cs="Times New Roman"/>
          <w:sz w:val="28"/>
          <w:szCs w:val="28"/>
        </w:rPr>
        <w:t>тыс. рублей (в том числе просроченной -</w:t>
      </w:r>
      <w:r w:rsidR="005A5910">
        <w:rPr>
          <w:rFonts w:ascii="Times New Roman" w:hAnsi="Times New Roman" w:cs="Times New Roman"/>
          <w:sz w:val="28"/>
          <w:szCs w:val="28"/>
        </w:rPr>
        <w:t>61,5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рублей), на 01 апреля 201</w:t>
      </w:r>
      <w:r w:rsidR="00C01E73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01E73">
        <w:rPr>
          <w:rFonts w:ascii="Times New Roman" w:hAnsi="Times New Roman" w:cs="Times New Roman"/>
          <w:sz w:val="28"/>
          <w:szCs w:val="28"/>
        </w:rPr>
        <w:t>381,7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(в том числе просроченной -</w:t>
      </w:r>
      <w:r w:rsidR="00514FDC">
        <w:rPr>
          <w:rFonts w:ascii="Times New Roman" w:hAnsi="Times New Roman" w:cs="Times New Roman"/>
          <w:sz w:val="28"/>
          <w:szCs w:val="28"/>
        </w:rPr>
        <w:t>138,7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рублей). </w:t>
      </w:r>
      <w:proofErr w:type="gramEnd"/>
    </w:p>
    <w:p w:rsidR="00FD5F32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92E">
        <w:rPr>
          <w:rFonts w:ascii="Times New Roman" w:hAnsi="Times New Roman" w:cs="Times New Roman"/>
          <w:sz w:val="28"/>
          <w:szCs w:val="28"/>
        </w:rPr>
        <w:t>Объем кредиторской задолженности на начало 201</w:t>
      </w:r>
      <w:r w:rsidR="005A5910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по сравнению с началом прошлого года </w:t>
      </w:r>
      <w:r w:rsidR="00FD5F32">
        <w:rPr>
          <w:rFonts w:ascii="Times New Roman" w:hAnsi="Times New Roman" w:cs="Times New Roman"/>
          <w:sz w:val="28"/>
          <w:szCs w:val="28"/>
        </w:rPr>
        <w:t>у</w:t>
      </w:r>
      <w:r w:rsidR="005A5910">
        <w:rPr>
          <w:rFonts w:ascii="Times New Roman" w:hAnsi="Times New Roman" w:cs="Times New Roman"/>
          <w:sz w:val="28"/>
          <w:szCs w:val="28"/>
        </w:rPr>
        <w:t>величился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5A5910">
        <w:rPr>
          <w:rFonts w:ascii="Times New Roman" w:hAnsi="Times New Roman" w:cs="Times New Roman"/>
          <w:sz w:val="28"/>
          <w:szCs w:val="28"/>
        </w:rPr>
        <w:t>99,2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5F32">
        <w:rPr>
          <w:rFonts w:ascii="Times New Roman" w:hAnsi="Times New Roman" w:cs="Times New Roman"/>
          <w:sz w:val="28"/>
          <w:szCs w:val="28"/>
        </w:rPr>
        <w:t xml:space="preserve">на </w:t>
      </w:r>
      <w:r w:rsidR="005A5910">
        <w:rPr>
          <w:rFonts w:ascii="Times New Roman" w:hAnsi="Times New Roman" w:cs="Times New Roman"/>
          <w:sz w:val="28"/>
          <w:szCs w:val="28"/>
        </w:rPr>
        <w:t>58,3</w:t>
      </w:r>
      <w:r w:rsidR="00FD5F32">
        <w:rPr>
          <w:rFonts w:ascii="Times New Roman" w:hAnsi="Times New Roman" w:cs="Times New Roman"/>
          <w:sz w:val="28"/>
          <w:szCs w:val="28"/>
        </w:rPr>
        <w:t>%</w:t>
      </w:r>
      <w:r w:rsidRPr="006C192E">
        <w:rPr>
          <w:rFonts w:ascii="Times New Roman" w:hAnsi="Times New Roman" w:cs="Times New Roman"/>
          <w:sz w:val="28"/>
          <w:szCs w:val="28"/>
        </w:rPr>
        <w:t>. В ходе исполнения бюджета поселения за 1</w:t>
      </w:r>
      <w:r w:rsidR="00FD5F32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квартал текущего года объем кредиторской задолженности составил</w:t>
      </w:r>
      <w:r w:rsidR="002677E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– </w:t>
      </w:r>
      <w:r w:rsidR="005A5910">
        <w:rPr>
          <w:rFonts w:ascii="Times New Roman" w:hAnsi="Times New Roman" w:cs="Times New Roman"/>
          <w:sz w:val="28"/>
          <w:szCs w:val="28"/>
        </w:rPr>
        <w:t>381,7</w:t>
      </w:r>
      <w:r w:rsidR="00FD5F32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</w:t>
      </w:r>
      <w:r w:rsidR="00FD5F32">
        <w:rPr>
          <w:rFonts w:ascii="Times New Roman" w:hAnsi="Times New Roman" w:cs="Times New Roman"/>
          <w:sz w:val="28"/>
          <w:szCs w:val="28"/>
        </w:rPr>
        <w:t xml:space="preserve">составила  </w:t>
      </w:r>
      <w:r w:rsidR="005A5910">
        <w:rPr>
          <w:rFonts w:ascii="Times New Roman" w:hAnsi="Times New Roman" w:cs="Times New Roman"/>
          <w:sz w:val="28"/>
          <w:szCs w:val="28"/>
        </w:rPr>
        <w:t xml:space="preserve">138,7 </w:t>
      </w:r>
      <w:r w:rsidRPr="006C192E">
        <w:rPr>
          <w:rFonts w:ascii="Times New Roman" w:hAnsi="Times New Roman" w:cs="Times New Roman"/>
          <w:sz w:val="28"/>
          <w:szCs w:val="28"/>
        </w:rPr>
        <w:t>тыс. рублей</w:t>
      </w:r>
      <w:r w:rsidR="005A5910">
        <w:rPr>
          <w:rFonts w:ascii="Times New Roman" w:hAnsi="Times New Roman" w:cs="Times New Roman"/>
          <w:sz w:val="28"/>
          <w:szCs w:val="28"/>
        </w:rPr>
        <w:t>, то есть выросла с начала года на  112,3 тыс. рублей, или на  41,7 процента.</w:t>
      </w:r>
      <w:proofErr w:type="gramEnd"/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92E">
        <w:rPr>
          <w:rFonts w:ascii="Times New Roman" w:hAnsi="Times New Roman" w:cs="Times New Roman"/>
          <w:sz w:val="28"/>
          <w:szCs w:val="28"/>
        </w:rPr>
        <w:t>Наиболее значительная по объему задолженность за коммунальные услуги -</w:t>
      </w:r>
      <w:r w:rsidR="005A5910">
        <w:rPr>
          <w:rFonts w:ascii="Times New Roman" w:hAnsi="Times New Roman" w:cs="Times New Roman"/>
          <w:sz w:val="28"/>
          <w:szCs w:val="28"/>
        </w:rPr>
        <w:t>311,8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D5F32">
        <w:rPr>
          <w:rFonts w:ascii="Times New Roman" w:hAnsi="Times New Roman" w:cs="Times New Roman"/>
          <w:sz w:val="28"/>
          <w:szCs w:val="28"/>
        </w:rPr>
        <w:t xml:space="preserve">прочие услуги – </w:t>
      </w:r>
      <w:r w:rsidR="005A5910">
        <w:rPr>
          <w:rFonts w:ascii="Times New Roman" w:hAnsi="Times New Roman" w:cs="Times New Roman"/>
          <w:sz w:val="28"/>
          <w:szCs w:val="28"/>
        </w:rPr>
        <w:t>18,6</w:t>
      </w:r>
      <w:r w:rsidR="00FD5F32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808A9">
        <w:rPr>
          <w:rFonts w:ascii="Times New Roman" w:hAnsi="Times New Roman" w:cs="Times New Roman"/>
          <w:sz w:val="28"/>
          <w:szCs w:val="28"/>
        </w:rPr>
        <w:t xml:space="preserve"> </w:t>
      </w:r>
      <w:r w:rsidR="00FD5F32">
        <w:rPr>
          <w:rFonts w:ascii="Times New Roman" w:hAnsi="Times New Roman" w:cs="Times New Roman"/>
          <w:sz w:val="28"/>
          <w:szCs w:val="28"/>
        </w:rPr>
        <w:t xml:space="preserve">услуги по содержанию имущества- </w:t>
      </w:r>
      <w:r w:rsidR="005A5910">
        <w:rPr>
          <w:rFonts w:ascii="Times New Roman" w:hAnsi="Times New Roman" w:cs="Times New Roman"/>
          <w:sz w:val="28"/>
          <w:szCs w:val="28"/>
        </w:rPr>
        <w:t>25,2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A5910">
        <w:rPr>
          <w:rFonts w:ascii="Times New Roman" w:hAnsi="Times New Roman" w:cs="Times New Roman"/>
          <w:sz w:val="28"/>
          <w:szCs w:val="28"/>
        </w:rPr>
        <w:t>за материальные запасы -26,1 тыс. рублей.</w:t>
      </w:r>
      <w:proofErr w:type="gramEnd"/>
    </w:p>
    <w:p w:rsidR="000726C8" w:rsidRPr="000726C8" w:rsidRDefault="000726C8" w:rsidP="000726C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>Объем дебиторской задолженности по состоянию  на 01 января 201</w:t>
      </w:r>
      <w:r w:rsidR="005A5910">
        <w:rPr>
          <w:rFonts w:ascii="Times New Roman" w:hAnsi="Times New Roman" w:cs="Times New Roman"/>
          <w:sz w:val="28"/>
          <w:szCs w:val="28"/>
        </w:rPr>
        <w:t>7</w:t>
      </w:r>
      <w:r w:rsidR="00FD5F32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года  составил </w:t>
      </w:r>
      <w:r w:rsidR="005A5910">
        <w:rPr>
          <w:rFonts w:ascii="Times New Roman" w:hAnsi="Times New Roman" w:cs="Times New Roman"/>
          <w:sz w:val="28"/>
          <w:szCs w:val="28"/>
        </w:rPr>
        <w:t>7,6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D5F32">
        <w:rPr>
          <w:rFonts w:ascii="Times New Roman" w:hAnsi="Times New Roman" w:cs="Times New Roman"/>
          <w:sz w:val="28"/>
          <w:szCs w:val="28"/>
        </w:rPr>
        <w:t xml:space="preserve">  </w:t>
      </w:r>
      <w:r w:rsidR="00FD5F32" w:rsidRPr="00470445">
        <w:rPr>
          <w:rFonts w:ascii="Times New Roman" w:hAnsi="Times New Roman" w:cs="Times New Roman"/>
          <w:sz w:val="28"/>
          <w:szCs w:val="28"/>
        </w:rPr>
        <w:t xml:space="preserve">По сравнению с отчетным периодом прошлого года дебиторская задолженность </w:t>
      </w:r>
      <w:r w:rsidR="005A5910"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="00FD5F32" w:rsidRPr="00470445">
        <w:rPr>
          <w:rFonts w:ascii="Times New Roman" w:hAnsi="Times New Roman" w:cs="Times New Roman"/>
          <w:sz w:val="28"/>
          <w:szCs w:val="28"/>
        </w:rPr>
        <w:t xml:space="preserve"> на </w:t>
      </w:r>
      <w:r w:rsidR="005A5910">
        <w:rPr>
          <w:rFonts w:ascii="Times New Roman" w:hAnsi="Times New Roman" w:cs="Times New Roman"/>
          <w:sz w:val="28"/>
          <w:szCs w:val="28"/>
        </w:rPr>
        <w:t>7,6</w:t>
      </w:r>
      <w:r w:rsidR="00FD5F32"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D5F3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F32">
        <w:rPr>
          <w:rFonts w:ascii="Times New Roman" w:hAnsi="Times New Roman" w:cs="Times New Roman"/>
          <w:sz w:val="28"/>
          <w:szCs w:val="28"/>
        </w:rPr>
        <w:t>процент</w:t>
      </w:r>
      <w:r w:rsidR="005A5910">
        <w:rPr>
          <w:rFonts w:ascii="Times New Roman" w:hAnsi="Times New Roman" w:cs="Times New Roman"/>
          <w:sz w:val="28"/>
          <w:szCs w:val="28"/>
        </w:rPr>
        <w:t>ов</w:t>
      </w:r>
      <w:r w:rsidR="00FD5F32" w:rsidRPr="00470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Дебиторская задолженность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на 01</w:t>
      </w:r>
      <w:r w:rsidR="005A5910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апреля  201</w:t>
      </w:r>
      <w:r w:rsidR="0051351F">
        <w:rPr>
          <w:rFonts w:ascii="Times New Roman" w:hAnsi="Times New Roman" w:cs="Times New Roman"/>
          <w:sz w:val="28"/>
          <w:szCs w:val="28"/>
        </w:rPr>
        <w:t>6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351F">
        <w:rPr>
          <w:rFonts w:ascii="Times New Roman" w:hAnsi="Times New Roman" w:cs="Times New Roman"/>
          <w:sz w:val="28"/>
          <w:szCs w:val="28"/>
        </w:rPr>
        <w:t xml:space="preserve"> отсутствовала,  </w:t>
      </w:r>
      <w:r>
        <w:rPr>
          <w:rFonts w:ascii="Times New Roman" w:hAnsi="Times New Roman" w:cs="Times New Roman"/>
          <w:sz w:val="28"/>
          <w:szCs w:val="28"/>
        </w:rPr>
        <w:t>на 01 апреля 201</w:t>
      </w:r>
      <w:r w:rsidR="005135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351F">
        <w:rPr>
          <w:rFonts w:ascii="Times New Roman" w:hAnsi="Times New Roman" w:cs="Times New Roman"/>
          <w:sz w:val="28"/>
          <w:szCs w:val="28"/>
        </w:rPr>
        <w:t>составила 3,0 тыс. рублей, то есть выросла на 3,0 тыс. рублей, или на 100 процентов.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0726C8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Выводы:</w:t>
      </w:r>
      <w:r w:rsidR="00FD5F32" w:rsidRPr="00FD5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1. Изменения в реше</w:t>
      </w:r>
      <w:r w:rsidR="004279D7">
        <w:rPr>
          <w:rFonts w:ascii="Times New Roman" w:hAnsi="Times New Roman" w:cs="Times New Roman"/>
          <w:sz w:val="28"/>
          <w:szCs w:val="28"/>
        </w:rPr>
        <w:t>ние «О бюджете поселения на 2017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</w:t>
      </w:r>
      <w:r w:rsidR="004279D7">
        <w:rPr>
          <w:rFonts w:ascii="Times New Roman" w:hAnsi="Times New Roman" w:cs="Times New Roman"/>
          <w:sz w:val="28"/>
          <w:szCs w:val="28"/>
        </w:rPr>
        <w:t xml:space="preserve"> и плановый</w:t>
      </w:r>
      <w:r w:rsidR="004279D7">
        <w:rPr>
          <w:rFonts w:ascii="Times New Roman" w:hAnsi="Times New Roman" w:cs="Times New Roman"/>
          <w:sz w:val="28"/>
          <w:szCs w:val="28"/>
        </w:rPr>
        <w:tab/>
        <w:t xml:space="preserve">период  2018 и 2019 годов </w:t>
      </w:r>
      <w:r w:rsidRPr="006C192E">
        <w:rPr>
          <w:rFonts w:ascii="Times New Roman" w:hAnsi="Times New Roman" w:cs="Times New Roman"/>
          <w:sz w:val="28"/>
          <w:szCs w:val="28"/>
        </w:rPr>
        <w:t>» в 1 квартале  201</w:t>
      </w:r>
      <w:r w:rsidR="004279D7">
        <w:rPr>
          <w:rFonts w:ascii="Times New Roman" w:hAnsi="Times New Roman" w:cs="Times New Roman"/>
          <w:sz w:val="28"/>
          <w:szCs w:val="28"/>
        </w:rPr>
        <w:t xml:space="preserve">7 </w:t>
      </w:r>
      <w:r w:rsidRPr="006C192E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4279D7" w:rsidRPr="006C192E">
        <w:rPr>
          <w:rFonts w:ascii="Times New Roman" w:hAnsi="Times New Roman" w:cs="Times New Roman"/>
          <w:sz w:val="28"/>
          <w:szCs w:val="28"/>
        </w:rPr>
        <w:t>вносились</w:t>
      </w:r>
      <w:r w:rsidR="004279D7">
        <w:rPr>
          <w:rFonts w:ascii="Times New Roman" w:hAnsi="Times New Roman" w:cs="Times New Roman"/>
          <w:sz w:val="28"/>
          <w:szCs w:val="28"/>
        </w:rPr>
        <w:t xml:space="preserve"> 1 раз решением Совета поселения  от 03.04.2017 года № 85.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2. За 1 квартал  201</w:t>
      </w:r>
      <w:r w:rsidR="004279D7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доходы бюджета поселения составили </w:t>
      </w:r>
      <w:r w:rsidR="004279D7">
        <w:rPr>
          <w:rFonts w:ascii="Times New Roman" w:hAnsi="Times New Roman" w:cs="Times New Roman"/>
          <w:sz w:val="28"/>
          <w:szCs w:val="28"/>
        </w:rPr>
        <w:t>959,4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279D7">
        <w:rPr>
          <w:rFonts w:ascii="Times New Roman" w:hAnsi="Times New Roman" w:cs="Times New Roman"/>
          <w:sz w:val="28"/>
          <w:szCs w:val="28"/>
        </w:rPr>
        <w:t>21,6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4279D7">
        <w:rPr>
          <w:rFonts w:ascii="Times New Roman" w:hAnsi="Times New Roman" w:cs="Times New Roman"/>
          <w:sz w:val="28"/>
          <w:szCs w:val="28"/>
        </w:rPr>
        <w:t>4446,8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в том числе налоговые и неналоговые доходы – </w:t>
      </w:r>
      <w:r w:rsidR="004279D7">
        <w:rPr>
          <w:rFonts w:ascii="Times New Roman" w:hAnsi="Times New Roman" w:cs="Times New Roman"/>
          <w:sz w:val="28"/>
          <w:szCs w:val="28"/>
        </w:rPr>
        <w:t xml:space="preserve">44,4 </w:t>
      </w:r>
      <w:r w:rsidRPr="006C192E">
        <w:rPr>
          <w:rFonts w:ascii="Times New Roman" w:hAnsi="Times New Roman" w:cs="Times New Roman"/>
          <w:sz w:val="28"/>
          <w:szCs w:val="28"/>
        </w:rPr>
        <w:t>тыс. рублей (</w:t>
      </w:r>
      <w:r w:rsidR="004279D7">
        <w:rPr>
          <w:rFonts w:ascii="Times New Roman" w:hAnsi="Times New Roman" w:cs="Times New Roman"/>
          <w:sz w:val="28"/>
          <w:szCs w:val="28"/>
        </w:rPr>
        <w:t>19,2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4279D7">
        <w:rPr>
          <w:rFonts w:ascii="Times New Roman" w:hAnsi="Times New Roman" w:cs="Times New Roman"/>
          <w:sz w:val="28"/>
          <w:szCs w:val="28"/>
        </w:rPr>
        <w:t xml:space="preserve">915,0 </w:t>
      </w:r>
      <w:r w:rsidRPr="006C192E">
        <w:rPr>
          <w:rFonts w:ascii="Times New Roman" w:hAnsi="Times New Roman" w:cs="Times New Roman"/>
          <w:sz w:val="28"/>
          <w:szCs w:val="28"/>
        </w:rPr>
        <w:t>тыс. рублей (</w:t>
      </w:r>
      <w:r w:rsidR="00BF0986">
        <w:rPr>
          <w:rFonts w:ascii="Times New Roman" w:hAnsi="Times New Roman" w:cs="Times New Roman"/>
          <w:sz w:val="28"/>
          <w:szCs w:val="28"/>
        </w:rPr>
        <w:t>2</w:t>
      </w:r>
      <w:r w:rsidR="004279D7">
        <w:rPr>
          <w:rFonts w:ascii="Times New Roman" w:hAnsi="Times New Roman" w:cs="Times New Roman"/>
          <w:sz w:val="28"/>
          <w:szCs w:val="28"/>
        </w:rPr>
        <w:t>1</w:t>
      </w:r>
      <w:r w:rsidR="00BF0986">
        <w:rPr>
          <w:rFonts w:ascii="Times New Roman" w:hAnsi="Times New Roman" w:cs="Times New Roman"/>
          <w:sz w:val="28"/>
          <w:szCs w:val="28"/>
        </w:rPr>
        <w:t>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Основными источниками налоговых и неналоговых доходов бюджета поселения является налог на доходы физических лиц</w:t>
      </w:r>
      <w:r w:rsidR="004279D7">
        <w:rPr>
          <w:rFonts w:ascii="Times New Roman" w:hAnsi="Times New Roman" w:cs="Times New Roman"/>
          <w:sz w:val="28"/>
          <w:szCs w:val="28"/>
        </w:rPr>
        <w:t xml:space="preserve"> и</w:t>
      </w:r>
      <w:r w:rsidRPr="006C192E">
        <w:rPr>
          <w:rFonts w:ascii="Times New Roman" w:hAnsi="Times New Roman" w:cs="Times New Roman"/>
          <w:sz w:val="28"/>
          <w:szCs w:val="28"/>
        </w:rPr>
        <w:t xml:space="preserve"> земельный налог,</w:t>
      </w:r>
      <w:r w:rsidR="00BF098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доля которых в объеме налоговых и неналоговых доходов бюджета поселения составила </w:t>
      </w:r>
      <w:r w:rsidR="004279D7">
        <w:rPr>
          <w:rFonts w:ascii="Times New Roman" w:hAnsi="Times New Roman" w:cs="Times New Roman"/>
          <w:sz w:val="28"/>
          <w:szCs w:val="28"/>
        </w:rPr>
        <w:t>88,1</w:t>
      </w:r>
      <w:r w:rsidR="00BF098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процента.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поселения доля налоговых и неналоговых доходов составила </w:t>
      </w:r>
      <w:r w:rsidR="004279D7">
        <w:rPr>
          <w:rFonts w:ascii="Times New Roman" w:hAnsi="Times New Roman" w:cs="Times New Roman"/>
          <w:sz w:val="28"/>
          <w:szCs w:val="28"/>
        </w:rPr>
        <w:t>4,6</w:t>
      </w:r>
      <w:r w:rsidRPr="006C192E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 w:rsidR="004279D7">
        <w:rPr>
          <w:rFonts w:ascii="Times New Roman" w:hAnsi="Times New Roman" w:cs="Times New Roman"/>
          <w:sz w:val="28"/>
          <w:szCs w:val="28"/>
        </w:rPr>
        <w:t>95,4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3. Расходы бюджета поселения исполнены в сумме  </w:t>
      </w:r>
      <w:r w:rsidR="004279D7">
        <w:rPr>
          <w:rFonts w:ascii="Times New Roman" w:hAnsi="Times New Roman" w:cs="Times New Roman"/>
          <w:sz w:val="28"/>
          <w:szCs w:val="28"/>
        </w:rPr>
        <w:t>944,4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4279D7">
        <w:rPr>
          <w:rFonts w:ascii="Times New Roman" w:hAnsi="Times New Roman" w:cs="Times New Roman"/>
          <w:sz w:val="28"/>
          <w:szCs w:val="28"/>
        </w:rPr>
        <w:t>21,2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4279D7">
        <w:rPr>
          <w:rFonts w:ascii="Times New Roman" w:hAnsi="Times New Roman" w:cs="Times New Roman"/>
          <w:sz w:val="28"/>
          <w:szCs w:val="28"/>
        </w:rPr>
        <w:t>4446,8</w:t>
      </w:r>
      <w:r w:rsidR="00BF098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Бюджет поселения в 1 квартале 201</w:t>
      </w:r>
      <w:r w:rsidR="004279D7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сохранил социальную направленность – на указанные цели израсходовано </w:t>
      </w:r>
      <w:r w:rsidR="004279D7">
        <w:rPr>
          <w:rFonts w:ascii="Times New Roman" w:hAnsi="Times New Roman" w:cs="Times New Roman"/>
          <w:sz w:val="28"/>
          <w:szCs w:val="28"/>
        </w:rPr>
        <w:t>416,1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4279D7">
        <w:rPr>
          <w:rFonts w:ascii="Times New Roman" w:hAnsi="Times New Roman" w:cs="Times New Roman"/>
          <w:sz w:val="28"/>
          <w:szCs w:val="28"/>
        </w:rPr>
        <w:t>44,1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от всех расходов бюджета поселения.</w:t>
      </w:r>
    </w:p>
    <w:p w:rsidR="00BF0986" w:rsidRPr="006C192E" w:rsidRDefault="006C192E" w:rsidP="00BF098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разделам  «Национальная безопасность и правоохранительная деятельность», «Образование»</w:t>
      </w:r>
      <w:r w:rsidR="00BF0986">
        <w:rPr>
          <w:rFonts w:ascii="Times New Roman" w:hAnsi="Times New Roman" w:cs="Times New Roman"/>
          <w:sz w:val="28"/>
          <w:szCs w:val="28"/>
        </w:rPr>
        <w:t>, «Национальная экономика» и «Социальная политика»</w:t>
      </w:r>
      <w:r w:rsidRPr="006C192E">
        <w:rPr>
          <w:rFonts w:ascii="Times New Roman" w:hAnsi="Times New Roman" w:cs="Times New Roman"/>
          <w:sz w:val="28"/>
          <w:szCs w:val="28"/>
        </w:rPr>
        <w:t>.</w:t>
      </w:r>
    </w:p>
    <w:p w:rsid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По разделам классификации расходов «Общегосударственные вопросы», «</w:t>
      </w:r>
      <w:r w:rsidR="004279D7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6C192E">
        <w:rPr>
          <w:rFonts w:ascii="Times New Roman" w:hAnsi="Times New Roman" w:cs="Times New Roman"/>
          <w:sz w:val="28"/>
          <w:szCs w:val="28"/>
        </w:rPr>
        <w:t>» уровень исполнения к годовым назначениям составил более</w:t>
      </w:r>
      <w:r w:rsidR="00BF098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25,0 процентов, по остальным  разделам классификации расходов  уровень исполнения значительно ниже 25 процентов.</w:t>
      </w:r>
    </w:p>
    <w:p w:rsidR="004279D7" w:rsidRDefault="006C192E" w:rsidP="004279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4. При  сравнении задолженности по  налоговым платежам  по состоянию </w:t>
      </w:r>
      <w:r w:rsidR="004279D7" w:rsidRPr="006C192E">
        <w:rPr>
          <w:rFonts w:ascii="Times New Roman" w:hAnsi="Times New Roman" w:cs="Times New Roman"/>
          <w:color w:val="000000"/>
          <w:sz w:val="28"/>
          <w:szCs w:val="28"/>
        </w:rPr>
        <w:t>на 01.04.201</w:t>
      </w:r>
      <w:r w:rsidR="004279D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279D7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4279D7">
        <w:rPr>
          <w:rFonts w:ascii="Times New Roman" w:hAnsi="Times New Roman" w:cs="Times New Roman"/>
          <w:color w:val="000000"/>
          <w:sz w:val="28"/>
          <w:szCs w:val="28"/>
        </w:rPr>
        <w:t xml:space="preserve"> с аналогичным периодом прошлого года  произошло увеличение на </w:t>
      </w:r>
      <w:r w:rsidR="004279D7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9D7">
        <w:rPr>
          <w:rFonts w:ascii="Times New Roman" w:hAnsi="Times New Roman" w:cs="Times New Roman"/>
          <w:color w:val="000000"/>
          <w:sz w:val="28"/>
          <w:szCs w:val="28"/>
        </w:rPr>
        <w:t xml:space="preserve">26,9 </w:t>
      </w:r>
      <w:r w:rsidR="004279D7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или в </w:t>
      </w:r>
      <w:r w:rsidR="004279D7">
        <w:rPr>
          <w:rFonts w:ascii="Times New Roman" w:hAnsi="Times New Roman" w:cs="Times New Roman"/>
          <w:color w:val="000000"/>
          <w:sz w:val="28"/>
          <w:szCs w:val="28"/>
        </w:rPr>
        <w:t>1,8 раза</w:t>
      </w:r>
      <w:r w:rsidR="004279D7" w:rsidRPr="006C192E">
        <w:rPr>
          <w:rFonts w:ascii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</w:p>
    <w:p w:rsidR="004279D7" w:rsidRPr="006C192E" w:rsidRDefault="004279D7" w:rsidP="004279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по налогу на доходы физических лиц на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color w:val="000000"/>
          <w:sz w:val="28"/>
          <w:szCs w:val="28"/>
        </w:rPr>
        <w:t>на 100 %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79D7" w:rsidRPr="006C192E" w:rsidRDefault="004279D7" w:rsidP="004279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25,0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color w:val="000000"/>
          <w:sz w:val="28"/>
          <w:szCs w:val="28"/>
        </w:rPr>
        <w:t>в 1,9 раза;</w:t>
      </w:r>
    </w:p>
    <w:p w:rsidR="004279D7" w:rsidRDefault="004279D7" w:rsidP="004279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- по 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 xml:space="preserve">29,0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C19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Pr="00E95E9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95E9C">
        <w:rPr>
          <w:rFonts w:ascii="Times New Roman" w:eastAsia="Times New Roman" w:hAnsi="Times New Roman" w:cs="Times New Roman"/>
          <w:sz w:val="28"/>
          <w:szCs w:val="28"/>
        </w:rPr>
        <w:t>Из имеющихся данных на 01.04.201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E95E9C">
        <w:rPr>
          <w:rFonts w:ascii="Times New Roman" w:eastAsia="Times New Roman" w:hAnsi="Times New Roman" w:cs="Times New Roman"/>
          <w:sz w:val="28"/>
          <w:szCs w:val="28"/>
        </w:rPr>
        <w:t xml:space="preserve">года следует, что наибольший удельный вес в структуре недоимки по платежам  составляет налог на имущество  физических лиц – </w:t>
      </w:r>
      <w:r>
        <w:rPr>
          <w:rFonts w:ascii="Times New Roman" w:eastAsia="Times New Roman" w:hAnsi="Times New Roman" w:cs="Times New Roman"/>
          <w:sz w:val="28"/>
          <w:szCs w:val="28"/>
        </w:rPr>
        <w:t>86,9</w:t>
      </w:r>
      <w:r w:rsidRPr="00E95E9C">
        <w:rPr>
          <w:rFonts w:ascii="Times New Roman" w:eastAsia="Times New Roman" w:hAnsi="Times New Roman" w:cs="Times New Roman"/>
          <w:sz w:val="28"/>
          <w:szCs w:val="28"/>
        </w:rPr>
        <w:t xml:space="preserve">  % от общей суммы недоимки, на втором месте  задолженность</w:t>
      </w:r>
      <w:r w:rsidRPr="00E9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земельному налогу –</w:t>
      </w:r>
      <w:r w:rsidRPr="00E95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12,9 </w:t>
      </w:r>
      <w:r w:rsidRPr="00E95E9C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192E" w:rsidRPr="004279D7" w:rsidRDefault="006C192E" w:rsidP="004279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5. За 1 квартал 201</w:t>
      </w:r>
      <w:r w:rsidR="004279D7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бюдж</w:t>
      </w:r>
      <w:r w:rsidR="004279D7">
        <w:rPr>
          <w:rFonts w:ascii="Times New Roman" w:hAnsi="Times New Roman" w:cs="Times New Roman"/>
          <w:sz w:val="28"/>
          <w:szCs w:val="28"/>
        </w:rPr>
        <w:t>ет поселения исполнен с профицитом</w:t>
      </w:r>
      <w:r w:rsidRPr="006C192E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4279D7">
        <w:rPr>
          <w:rFonts w:ascii="Times New Roman" w:hAnsi="Times New Roman" w:cs="Times New Roman"/>
          <w:sz w:val="28"/>
          <w:szCs w:val="28"/>
        </w:rPr>
        <w:t>15,0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F1E20" w:rsidRDefault="006C192E" w:rsidP="009F1E20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6.</w:t>
      </w:r>
      <w:r w:rsidR="006808A9" w:rsidRPr="006C192E">
        <w:rPr>
          <w:rFonts w:ascii="Times New Roman" w:hAnsi="Times New Roman" w:cs="Times New Roman"/>
          <w:sz w:val="28"/>
          <w:szCs w:val="28"/>
        </w:rPr>
        <w:t xml:space="preserve"> В ходе исполнения бюджета поселения за 1</w:t>
      </w:r>
      <w:r w:rsidR="006808A9">
        <w:rPr>
          <w:rFonts w:ascii="Times New Roman" w:hAnsi="Times New Roman" w:cs="Times New Roman"/>
          <w:sz w:val="28"/>
          <w:szCs w:val="28"/>
        </w:rPr>
        <w:t xml:space="preserve"> </w:t>
      </w:r>
      <w:r w:rsidR="006808A9" w:rsidRPr="006C192E">
        <w:rPr>
          <w:rFonts w:ascii="Times New Roman" w:hAnsi="Times New Roman" w:cs="Times New Roman"/>
          <w:sz w:val="28"/>
          <w:szCs w:val="28"/>
        </w:rPr>
        <w:t>квартал текущего года объем кредиторской задолженности составил</w:t>
      </w:r>
      <w:r w:rsidR="002677E6">
        <w:rPr>
          <w:rFonts w:ascii="Times New Roman" w:hAnsi="Times New Roman" w:cs="Times New Roman"/>
          <w:sz w:val="28"/>
          <w:szCs w:val="28"/>
        </w:rPr>
        <w:t xml:space="preserve"> </w:t>
      </w:r>
      <w:r w:rsidR="006808A9">
        <w:rPr>
          <w:rFonts w:ascii="Times New Roman" w:hAnsi="Times New Roman" w:cs="Times New Roman"/>
          <w:sz w:val="28"/>
          <w:szCs w:val="28"/>
        </w:rPr>
        <w:t xml:space="preserve"> </w:t>
      </w:r>
      <w:r w:rsidR="006808A9" w:rsidRPr="006C192E">
        <w:rPr>
          <w:rFonts w:ascii="Times New Roman" w:hAnsi="Times New Roman" w:cs="Times New Roman"/>
          <w:sz w:val="28"/>
          <w:szCs w:val="28"/>
        </w:rPr>
        <w:t xml:space="preserve">– </w:t>
      </w:r>
      <w:r w:rsidR="009F1E20">
        <w:rPr>
          <w:rFonts w:ascii="Times New Roman" w:hAnsi="Times New Roman" w:cs="Times New Roman"/>
          <w:sz w:val="28"/>
          <w:szCs w:val="28"/>
        </w:rPr>
        <w:t>381,7</w:t>
      </w:r>
      <w:r w:rsidR="006808A9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6808A9" w:rsidRPr="006C192E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</w:t>
      </w:r>
      <w:r w:rsidR="006808A9">
        <w:rPr>
          <w:rFonts w:ascii="Times New Roman" w:hAnsi="Times New Roman" w:cs="Times New Roman"/>
          <w:sz w:val="28"/>
          <w:szCs w:val="28"/>
        </w:rPr>
        <w:t xml:space="preserve">составила  </w:t>
      </w:r>
      <w:r w:rsidR="009F1E20">
        <w:rPr>
          <w:rFonts w:ascii="Times New Roman" w:hAnsi="Times New Roman" w:cs="Times New Roman"/>
          <w:sz w:val="28"/>
          <w:szCs w:val="28"/>
        </w:rPr>
        <w:t xml:space="preserve">138,7 тыс. рублей. </w:t>
      </w:r>
      <w:proofErr w:type="gramStart"/>
      <w:r w:rsidR="009F1E20" w:rsidRPr="006C192E">
        <w:rPr>
          <w:rFonts w:ascii="Times New Roman" w:hAnsi="Times New Roman" w:cs="Times New Roman"/>
          <w:sz w:val="28"/>
          <w:szCs w:val="28"/>
        </w:rPr>
        <w:t>Наиболее значительная по объему задолженность за коммунальные услуги -</w:t>
      </w:r>
      <w:r w:rsidR="00E703D7">
        <w:rPr>
          <w:rFonts w:ascii="Times New Roman" w:hAnsi="Times New Roman" w:cs="Times New Roman"/>
          <w:sz w:val="28"/>
          <w:szCs w:val="28"/>
        </w:rPr>
        <w:t xml:space="preserve"> </w:t>
      </w:r>
      <w:r w:rsidR="009F1E20">
        <w:rPr>
          <w:rFonts w:ascii="Times New Roman" w:hAnsi="Times New Roman" w:cs="Times New Roman"/>
          <w:sz w:val="28"/>
          <w:szCs w:val="28"/>
        </w:rPr>
        <w:t>311,8</w:t>
      </w:r>
      <w:r w:rsidR="009F1E20" w:rsidRPr="006C192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F1E20">
        <w:rPr>
          <w:rFonts w:ascii="Times New Roman" w:hAnsi="Times New Roman" w:cs="Times New Roman"/>
          <w:sz w:val="28"/>
          <w:szCs w:val="28"/>
        </w:rPr>
        <w:t>прочие услуги – 18,6 тыс. рублей,  услуги по содержанию имущества- 25,2</w:t>
      </w:r>
      <w:r w:rsidR="009F1E20" w:rsidRPr="006C192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F1E20">
        <w:rPr>
          <w:rFonts w:ascii="Times New Roman" w:hAnsi="Times New Roman" w:cs="Times New Roman"/>
          <w:sz w:val="28"/>
          <w:szCs w:val="28"/>
        </w:rPr>
        <w:t xml:space="preserve"> за материальные запасы</w:t>
      </w:r>
      <w:r w:rsidR="00A53818">
        <w:rPr>
          <w:rFonts w:ascii="Times New Roman" w:hAnsi="Times New Roman" w:cs="Times New Roman"/>
          <w:sz w:val="28"/>
          <w:szCs w:val="28"/>
        </w:rPr>
        <w:t xml:space="preserve"> </w:t>
      </w:r>
      <w:r w:rsidR="009F1E20">
        <w:rPr>
          <w:rFonts w:ascii="Times New Roman" w:hAnsi="Times New Roman" w:cs="Times New Roman"/>
          <w:sz w:val="28"/>
          <w:szCs w:val="28"/>
        </w:rPr>
        <w:t xml:space="preserve"> -26,1 тыс. рублей.</w:t>
      </w:r>
      <w:proofErr w:type="gramEnd"/>
    </w:p>
    <w:p w:rsidR="00A53818" w:rsidRDefault="00A53818" w:rsidP="009F1E20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818" w:rsidRDefault="00A53818" w:rsidP="009F1E20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818" w:rsidRDefault="00A53818" w:rsidP="009F1E20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818" w:rsidRDefault="00A53818" w:rsidP="009F1E20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818" w:rsidRDefault="00A53818" w:rsidP="009F1E20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CE4" w:rsidRDefault="006C192E" w:rsidP="00B25CE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Рекомендации администрации поселения:</w:t>
      </w:r>
    </w:p>
    <w:p w:rsidR="00A53818" w:rsidRDefault="00A53818" w:rsidP="00B25CE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CE4" w:rsidRPr="00B25CE4" w:rsidRDefault="00A53818" w:rsidP="00B25C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5CE4" w:rsidRPr="00B25CE4">
        <w:rPr>
          <w:rFonts w:ascii="Times New Roman" w:hAnsi="Times New Roman" w:cs="Times New Roman"/>
          <w:sz w:val="28"/>
          <w:szCs w:val="28"/>
        </w:rPr>
        <w:t xml:space="preserve">1. </w:t>
      </w:r>
      <w:r w:rsidR="00B25CE4">
        <w:rPr>
          <w:rFonts w:ascii="Times New Roman" w:hAnsi="Times New Roman" w:cs="Times New Roman"/>
          <w:sz w:val="28"/>
          <w:szCs w:val="28"/>
        </w:rPr>
        <w:t xml:space="preserve">Устранить </w:t>
      </w:r>
      <w:r>
        <w:rPr>
          <w:rFonts w:ascii="Times New Roman" w:hAnsi="Times New Roman" w:cs="Times New Roman"/>
          <w:sz w:val="28"/>
          <w:szCs w:val="28"/>
        </w:rPr>
        <w:t>ошибки</w:t>
      </w:r>
      <w:r w:rsidR="00B25CE4">
        <w:rPr>
          <w:rFonts w:ascii="Times New Roman" w:hAnsi="Times New Roman" w:cs="Times New Roman"/>
          <w:sz w:val="28"/>
          <w:szCs w:val="28"/>
        </w:rPr>
        <w:t xml:space="preserve"> в Приложениях 1,2, и 3 к постановлению, указанные в тексте заключения.</w:t>
      </w:r>
    </w:p>
    <w:p w:rsidR="001A0077" w:rsidRPr="00F55FD7" w:rsidRDefault="00A53818" w:rsidP="001A0077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5CE4">
        <w:rPr>
          <w:rFonts w:ascii="Times New Roman" w:hAnsi="Times New Roman" w:cs="Times New Roman"/>
          <w:sz w:val="28"/>
          <w:szCs w:val="28"/>
        </w:rPr>
        <w:t>2</w:t>
      </w:r>
      <w:r w:rsidR="001A0077" w:rsidRPr="00F55FD7">
        <w:rPr>
          <w:rFonts w:ascii="Times New Roman" w:hAnsi="Times New Roman" w:cs="Times New Roman"/>
          <w:sz w:val="28"/>
          <w:szCs w:val="28"/>
        </w:rPr>
        <w:t>.В целях пополнения доходной части  бюджета поселения  рекомендуем принять</w:t>
      </w:r>
      <w:r w:rsidR="001A0077">
        <w:rPr>
          <w:rFonts w:ascii="Times New Roman" w:hAnsi="Times New Roman" w:cs="Times New Roman"/>
          <w:sz w:val="28"/>
          <w:szCs w:val="28"/>
        </w:rPr>
        <w:t xml:space="preserve"> </w:t>
      </w:r>
      <w:r w:rsidR="001A0077" w:rsidRPr="00F55FD7">
        <w:rPr>
          <w:rFonts w:ascii="Times New Roman" w:hAnsi="Times New Roman" w:cs="Times New Roman"/>
          <w:sz w:val="28"/>
          <w:szCs w:val="28"/>
        </w:rPr>
        <w:t xml:space="preserve">все необходимые меры по сокращению задолженности по налоговым доходам. </w:t>
      </w:r>
    </w:p>
    <w:p w:rsidR="006C192E" w:rsidRPr="006C192E" w:rsidRDefault="00A53818" w:rsidP="004C1E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5CE4">
        <w:rPr>
          <w:rFonts w:ascii="Times New Roman" w:hAnsi="Times New Roman" w:cs="Times New Roman"/>
          <w:sz w:val="28"/>
          <w:szCs w:val="28"/>
        </w:rPr>
        <w:t>3</w:t>
      </w:r>
      <w:r w:rsidR="001A0077">
        <w:rPr>
          <w:rFonts w:ascii="Times New Roman" w:hAnsi="Times New Roman" w:cs="Times New Roman"/>
          <w:sz w:val="28"/>
          <w:szCs w:val="28"/>
        </w:rPr>
        <w:t>.В связи с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 ростом кредиторской задолженности, принять все  необходимые меры по  ее сокращению.</w:t>
      </w:r>
    </w:p>
    <w:p w:rsidR="001A0077" w:rsidRPr="001A0077" w:rsidRDefault="001A0077" w:rsidP="001A0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="001A007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="001A00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381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192E">
        <w:rPr>
          <w:rFonts w:ascii="Times New Roman" w:hAnsi="Times New Roman" w:cs="Times New Roman"/>
          <w:sz w:val="28"/>
          <w:szCs w:val="28"/>
        </w:rPr>
        <w:t>М.И.</w:t>
      </w:r>
      <w:r w:rsidR="009F1E20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Шестакова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90C79" w:rsidRDefault="00390C79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40246" w:rsidSect="00390C79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51" w:rsidRDefault="00D01F51" w:rsidP="00A136A8">
      <w:pPr>
        <w:spacing w:after="0" w:line="240" w:lineRule="auto"/>
      </w:pPr>
      <w:r>
        <w:separator/>
      </w:r>
    </w:p>
  </w:endnote>
  <w:endnote w:type="continuationSeparator" w:id="0">
    <w:p w:rsidR="00D01F51" w:rsidRDefault="00D01F51" w:rsidP="00A1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51" w:rsidRDefault="00D01F51" w:rsidP="00A136A8">
      <w:pPr>
        <w:spacing w:after="0" w:line="240" w:lineRule="auto"/>
      </w:pPr>
      <w:r>
        <w:separator/>
      </w:r>
    </w:p>
  </w:footnote>
  <w:footnote w:type="continuationSeparator" w:id="0">
    <w:p w:rsidR="00D01F51" w:rsidRDefault="00D01F51" w:rsidP="00A1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52" w:rsidRDefault="000C0F52" w:rsidP="00390C7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0F52" w:rsidRDefault="000C0F5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F52" w:rsidRDefault="000C0F52" w:rsidP="00390C7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75D0">
      <w:rPr>
        <w:rStyle w:val="a8"/>
        <w:noProof/>
      </w:rPr>
      <w:t>15</w:t>
    </w:r>
    <w:r>
      <w:rPr>
        <w:rStyle w:val="a8"/>
      </w:rPr>
      <w:fldChar w:fldCharType="end"/>
    </w:r>
  </w:p>
  <w:p w:rsidR="000C0F52" w:rsidRDefault="000C0F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2E"/>
    <w:rsid w:val="00011048"/>
    <w:rsid w:val="00016D64"/>
    <w:rsid w:val="00046315"/>
    <w:rsid w:val="000726C8"/>
    <w:rsid w:val="00072BF8"/>
    <w:rsid w:val="000A100F"/>
    <w:rsid w:val="000C0F52"/>
    <w:rsid w:val="000C21A2"/>
    <w:rsid w:val="000C7163"/>
    <w:rsid w:val="00103274"/>
    <w:rsid w:val="001301CA"/>
    <w:rsid w:val="00163F2A"/>
    <w:rsid w:val="001747DD"/>
    <w:rsid w:val="0019173A"/>
    <w:rsid w:val="001A0077"/>
    <w:rsid w:val="001A096D"/>
    <w:rsid w:val="00201E23"/>
    <w:rsid w:val="00202417"/>
    <w:rsid w:val="002677E6"/>
    <w:rsid w:val="002B2016"/>
    <w:rsid w:val="002B2901"/>
    <w:rsid w:val="002C051C"/>
    <w:rsid w:val="00305F91"/>
    <w:rsid w:val="0031301D"/>
    <w:rsid w:val="00343FB8"/>
    <w:rsid w:val="0036750B"/>
    <w:rsid w:val="0037000A"/>
    <w:rsid w:val="0038600E"/>
    <w:rsid w:val="00387E1C"/>
    <w:rsid w:val="00390C79"/>
    <w:rsid w:val="003D1EF9"/>
    <w:rsid w:val="003E5655"/>
    <w:rsid w:val="003F07EA"/>
    <w:rsid w:val="003F75D0"/>
    <w:rsid w:val="004279D7"/>
    <w:rsid w:val="00447797"/>
    <w:rsid w:val="00476845"/>
    <w:rsid w:val="00490711"/>
    <w:rsid w:val="0049603B"/>
    <w:rsid w:val="004C1E53"/>
    <w:rsid w:val="004C5FEB"/>
    <w:rsid w:val="004D1A68"/>
    <w:rsid w:val="0051351F"/>
    <w:rsid w:val="00514FDC"/>
    <w:rsid w:val="00572AD0"/>
    <w:rsid w:val="00573488"/>
    <w:rsid w:val="00583DDD"/>
    <w:rsid w:val="005A1204"/>
    <w:rsid w:val="005A5910"/>
    <w:rsid w:val="005B73FA"/>
    <w:rsid w:val="005C04EC"/>
    <w:rsid w:val="005C2B48"/>
    <w:rsid w:val="005C6942"/>
    <w:rsid w:val="005D7D27"/>
    <w:rsid w:val="005F0644"/>
    <w:rsid w:val="00612AC6"/>
    <w:rsid w:val="006808A9"/>
    <w:rsid w:val="00694DFA"/>
    <w:rsid w:val="00697F47"/>
    <w:rsid w:val="006A7D49"/>
    <w:rsid w:val="006C111D"/>
    <w:rsid w:val="006C192E"/>
    <w:rsid w:val="006C4D36"/>
    <w:rsid w:val="006C79CC"/>
    <w:rsid w:val="006F48BA"/>
    <w:rsid w:val="00704D62"/>
    <w:rsid w:val="00712A69"/>
    <w:rsid w:val="0075329D"/>
    <w:rsid w:val="00755149"/>
    <w:rsid w:val="0076797A"/>
    <w:rsid w:val="00767BF3"/>
    <w:rsid w:val="007A238E"/>
    <w:rsid w:val="007C6236"/>
    <w:rsid w:val="007D0D68"/>
    <w:rsid w:val="00816367"/>
    <w:rsid w:val="00833397"/>
    <w:rsid w:val="00845E77"/>
    <w:rsid w:val="00857C8B"/>
    <w:rsid w:val="008809CE"/>
    <w:rsid w:val="008916A7"/>
    <w:rsid w:val="008C06CE"/>
    <w:rsid w:val="008C4083"/>
    <w:rsid w:val="008F521A"/>
    <w:rsid w:val="0092559C"/>
    <w:rsid w:val="00940246"/>
    <w:rsid w:val="009746F1"/>
    <w:rsid w:val="009B0A3B"/>
    <w:rsid w:val="009C4395"/>
    <w:rsid w:val="009E58D8"/>
    <w:rsid w:val="009F1E20"/>
    <w:rsid w:val="00A032BF"/>
    <w:rsid w:val="00A136A8"/>
    <w:rsid w:val="00A22597"/>
    <w:rsid w:val="00A53818"/>
    <w:rsid w:val="00A715B6"/>
    <w:rsid w:val="00A71D1E"/>
    <w:rsid w:val="00A84D66"/>
    <w:rsid w:val="00AA070A"/>
    <w:rsid w:val="00AA4B3F"/>
    <w:rsid w:val="00B012A4"/>
    <w:rsid w:val="00B23027"/>
    <w:rsid w:val="00B25CE4"/>
    <w:rsid w:val="00B36491"/>
    <w:rsid w:val="00B87606"/>
    <w:rsid w:val="00BA38BD"/>
    <w:rsid w:val="00BA4FA5"/>
    <w:rsid w:val="00BE78F3"/>
    <w:rsid w:val="00BF0986"/>
    <w:rsid w:val="00BF7F3C"/>
    <w:rsid w:val="00C01E73"/>
    <w:rsid w:val="00C51475"/>
    <w:rsid w:val="00C63429"/>
    <w:rsid w:val="00CF3210"/>
    <w:rsid w:val="00D01F51"/>
    <w:rsid w:val="00D671E2"/>
    <w:rsid w:val="00D82570"/>
    <w:rsid w:val="00D858DD"/>
    <w:rsid w:val="00E25939"/>
    <w:rsid w:val="00E37E01"/>
    <w:rsid w:val="00E5055F"/>
    <w:rsid w:val="00E703D7"/>
    <w:rsid w:val="00E95E9C"/>
    <w:rsid w:val="00EA53DB"/>
    <w:rsid w:val="00EE71AB"/>
    <w:rsid w:val="00F01D1B"/>
    <w:rsid w:val="00F37EB6"/>
    <w:rsid w:val="00F5615E"/>
    <w:rsid w:val="00F71CEB"/>
    <w:rsid w:val="00FD5F32"/>
    <w:rsid w:val="00F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C19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C1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C19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6C192E"/>
  </w:style>
  <w:style w:type="paragraph" w:customStyle="1" w:styleId="ConsPlusTitle">
    <w:name w:val="ConsPlusTitle"/>
    <w:rsid w:val="006C1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6C19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C1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6C192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"/>
    <w:rsid w:val="006C192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C19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192E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6C192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C192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C1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C19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C1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C19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6C192E"/>
  </w:style>
  <w:style w:type="paragraph" w:customStyle="1" w:styleId="ConsPlusTitle">
    <w:name w:val="ConsPlusTitle"/>
    <w:rsid w:val="006C1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6C19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C1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6C192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"/>
    <w:rsid w:val="006C192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C19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192E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6C192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C192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C1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Лист1!$B$446</c:f>
              <c:strCache>
                <c:ptCount val="1"/>
                <c:pt idx="0">
                  <c:v>факт 1 квартал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Лист1!$A$447:$A$450</c:f>
              <c:strCache>
                <c:ptCount val="4"/>
                <c:pt idx="0">
                  <c:v>НДФЛ</c:v>
                </c:pt>
                <c:pt idx="1">
                  <c:v>Налог на имущество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</c:strCache>
            </c:strRef>
          </c:cat>
          <c:val>
            <c:numRef>
              <c:f>Лист1!$B$447:$B$450</c:f>
              <c:numCache>
                <c:formatCode>General</c:formatCode>
                <c:ptCount val="4"/>
                <c:pt idx="0">
                  <c:v>26.1</c:v>
                </c:pt>
                <c:pt idx="1">
                  <c:v>1.8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Лист1!$C$446</c:f>
              <c:strCache>
                <c:ptCount val="1"/>
                <c:pt idx="0">
                  <c:v>факт 1 квартал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Лист1!$A$447:$A$450</c:f>
              <c:strCache>
                <c:ptCount val="4"/>
                <c:pt idx="0">
                  <c:v>НДФЛ</c:v>
                </c:pt>
                <c:pt idx="1">
                  <c:v>Налог на имущество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</c:strCache>
            </c:strRef>
          </c:cat>
          <c:val>
            <c:numRef>
              <c:f>Лист1!$C$447:$C$450</c:f>
              <c:numCache>
                <c:formatCode>General</c:formatCode>
                <c:ptCount val="4"/>
                <c:pt idx="0">
                  <c:v>28.1</c:v>
                </c:pt>
                <c:pt idx="1">
                  <c:v>2</c:v>
                </c:pt>
                <c:pt idx="2">
                  <c:v>11</c:v>
                </c:pt>
                <c:pt idx="3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951808"/>
        <c:axId val="170953344"/>
        <c:axId val="0"/>
      </c:bar3DChart>
      <c:catAx>
        <c:axId val="170951808"/>
        <c:scaling>
          <c:orientation val="minMax"/>
        </c:scaling>
        <c:delete val="0"/>
        <c:axPos val="l"/>
        <c:majorTickMark val="out"/>
        <c:minorTickMark val="none"/>
        <c:tickLblPos val="nextTo"/>
        <c:crossAx val="170953344"/>
        <c:crosses val="autoZero"/>
        <c:auto val="1"/>
        <c:lblAlgn val="ctr"/>
        <c:lblOffset val="100"/>
        <c:noMultiLvlLbl val="0"/>
      </c:catAx>
      <c:valAx>
        <c:axId val="1709533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0951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Лист1!$B$34</c:f>
              <c:strCache>
                <c:ptCount val="1"/>
                <c:pt idx="0">
                  <c:v> факт 1 квартал 2016года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Лист1!$A$35:$A$37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Лист1!$B$35:$B$37</c:f>
              <c:numCache>
                <c:formatCode>General</c:formatCode>
                <c:ptCount val="3"/>
                <c:pt idx="0">
                  <c:v>864.2</c:v>
                </c:pt>
                <c:pt idx="1">
                  <c:v>22.7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Лист1!$C$34</c:f>
              <c:strCache>
                <c:ptCount val="1"/>
                <c:pt idx="0">
                  <c:v>факт 1 квартал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Лист1!$A$35:$A$37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Лист1!$C$35:$C$37</c:f>
              <c:numCache>
                <c:formatCode>General</c:formatCode>
                <c:ptCount val="3"/>
                <c:pt idx="0">
                  <c:v>854</c:v>
                </c:pt>
                <c:pt idx="1">
                  <c:v>20</c:v>
                </c:pt>
                <c:pt idx="2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8733440"/>
        <c:axId val="178734976"/>
        <c:axId val="0"/>
      </c:bar3DChart>
      <c:catAx>
        <c:axId val="178733440"/>
        <c:scaling>
          <c:orientation val="minMax"/>
        </c:scaling>
        <c:delete val="0"/>
        <c:axPos val="l"/>
        <c:majorTickMark val="out"/>
        <c:minorTickMark val="none"/>
        <c:tickLblPos val="nextTo"/>
        <c:crossAx val="178734976"/>
        <c:crosses val="autoZero"/>
        <c:auto val="1"/>
        <c:lblAlgn val="ctr"/>
        <c:lblOffset val="100"/>
        <c:noMultiLvlLbl val="0"/>
      </c:catAx>
      <c:valAx>
        <c:axId val="1787349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8733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125232623104349"/>
          <c:y val="3.9285714285714285E-2"/>
          <c:w val="0.66096983076690086"/>
          <c:h val="0.7569583802024747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Лист1!$B$187</c:f>
              <c:strCache>
                <c:ptCount val="1"/>
                <c:pt idx="0">
                  <c:v> факт 1 квартала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Лист1!$A$188:$A$192</c:f>
              <c:strCache>
                <c:ptCount val="5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Культура и кинематография</c:v>
                </c:pt>
                <c:pt idx="4">
                  <c:v>Физическая культура и спорт</c:v>
                </c:pt>
              </c:strCache>
            </c:strRef>
          </c:cat>
          <c:val>
            <c:numRef>
              <c:f>Лист1!$B$188:$B$192</c:f>
              <c:numCache>
                <c:formatCode>General</c:formatCode>
                <c:ptCount val="5"/>
                <c:pt idx="0">
                  <c:v>551.1</c:v>
                </c:pt>
                <c:pt idx="1">
                  <c:v>22.7</c:v>
                </c:pt>
                <c:pt idx="2">
                  <c:v>42.3</c:v>
                </c:pt>
                <c:pt idx="3">
                  <c:v>131.4</c:v>
                </c:pt>
                <c:pt idx="4">
                  <c:v>223.5</c:v>
                </c:pt>
              </c:numCache>
            </c:numRef>
          </c:val>
        </c:ser>
        <c:ser>
          <c:idx val="1"/>
          <c:order val="1"/>
          <c:tx>
            <c:strRef>
              <c:f>Лист1!$C$187</c:f>
              <c:strCache>
                <c:ptCount val="1"/>
                <c:pt idx="0">
                  <c:v>факт 1 квартала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Лист1!$A$188:$A$192</c:f>
              <c:strCache>
                <c:ptCount val="5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Культура и кинематография</c:v>
                </c:pt>
                <c:pt idx="4">
                  <c:v>Физическая культура и спорт</c:v>
                </c:pt>
              </c:strCache>
            </c:strRef>
          </c:cat>
          <c:val>
            <c:numRef>
              <c:f>Лист1!$C$188:$C$192</c:f>
              <c:numCache>
                <c:formatCode>General</c:formatCode>
                <c:ptCount val="5"/>
                <c:pt idx="0">
                  <c:v>458.5</c:v>
                </c:pt>
                <c:pt idx="1">
                  <c:v>20</c:v>
                </c:pt>
                <c:pt idx="2">
                  <c:v>49.9</c:v>
                </c:pt>
                <c:pt idx="3">
                  <c:v>185.7</c:v>
                </c:pt>
                <c:pt idx="4">
                  <c:v>230.4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876288"/>
        <c:axId val="170886272"/>
        <c:axId val="0"/>
      </c:bar3DChart>
      <c:catAx>
        <c:axId val="170876288"/>
        <c:scaling>
          <c:orientation val="minMax"/>
        </c:scaling>
        <c:delete val="0"/>
        <c:axPos val="l"/>
        <c:majorTickMark val="out"/>
        <c:minorTickMark val="none"/>
        <c:tickLblPos val="nextTo"/>
        <c:crossAx val="170886272"/>
        <c:crosses val="autoZero"/>
        <c:auto val="1"/>
        <c:lblAlgn val="ctr"/>
        <c:lblOffset val="100"/>
        <c:noMultiLvlLbl val="0"/>
      </c:catAx>
      <c:valAx>
        <c:axId val="1708862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0876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3675406073588247"/>
          <c:y val="0.86752305961754783"/>
          <c:w val="0.27515690737292225"/>
          <c:h val="0.1304460067491563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915395651110363E-2"/>
          <c:y val="0"/>
          <c:w val="0.97908460434888966"/>
          <c:h val="0.98576134956424211"/>
        </c:manualLayout>
      </c:layout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Лист1!$A$219:$A$223</c:f>
              <c:strCache>
                <c:ptCount val="5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Культура и кинематография</c:v>
                </c:pt>
                <c:pt idx="4">
                  <c:v>Физическая культура и спорт</c:v>
                </c:pt>
              </c:strCache>
            </c:strRef>
          </c:cat>
          <c:val>
            <c:numRef>
              <c:f>Лист1!$B$219:$B$223</c:f>
              <c:numCache>
                <c:formatCode>0.00%</c:formatCode>
                <c:ptCount val="5"/>
                <c:pt idx="0">
                  <c:v>0.48499999999999999</c:v>
                </c:pt>
                <c:pt idx="1">
                  <c:v>2.1000000000000001E-2</c:v>
                </c:pt>
                <c:pt idx="2">
                  <c:v>5.2999999999999999E-2</c:v>
                </c:pt>
                <c:pt idx="3">
                  <c:v>0.19700000000000001</c:v>
                </c:pt>
                <c:pt idx="4">
                  <c:v>0.24399999999999999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9343-874C-4CDE-9043-B007D585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2017-05-12T09:22:00Z</cp:lastPrinted>
  <dcterms:created xsi:type="dcterms:W3CDTF">2023-06-28T11:29:00Z</dcterms:created>
  <dcterms:modified xsi:type="dcterms:W3CDTF">2023-06-28T11:29:00Z</dcterms:modified>
</cp:coreProperties>
</file>