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FD7">
        <w:rPr>
          <w:rFonts w:ascii="Times New Roman" w:hAnsi="Times New Roman" w:cs="Times New Roman"/>
          <w:b/>
          <w:noProof/>
        </w:rPr>
        <w:drawing>
          <wp:inline distT="0" distB="0" distL="0" distR="0" wp14:anchorId="3A464AAF" wp14:editId="35ABE92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УТВЕРЖДАЮ</w:t>
      </w:r>
    </w:p>
    <w:p w:rsidR="00EA7676" w:rsidRPr="00F55FD7" w:rsidRDefault="00EA7676" w:rsidP="00EA767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EA7676" w:rsidRPr="00F55FD7" w:rsidRDefault="00EA7676" w:rsidP="00EA767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EA7676" w:rsidRPr="00F55FD7" w:rsidRDefault="00EA7676" w:rsidP="00EA767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____________________О.А.</w:t>
      </w:r>
      <w:r w:rsidR="00BF26D8">
        <w:rPr>
          <w:rFonts w:ascii="Times New Roman" w:hAnsi="Times New Roman" w:cs="Times New Roman"/>
          <w:sz w:val="26"/>
          <w:szCs w:val="26"/>
        </w:rPr>
        <w:t xml:space="preserve"> </w:t>
      </w:r>
      <w:r w:rsidRPr="00F55FD7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FD7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за 1 квартал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7676" w:rsidRPr="00F55FD7" w:rsidRDefault="00EA7676" w:rsidP="00EA76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5FD7">
        <w:rPr>
          <w:rFonts w:ascii="Times New Roman" w:hAnsi="Times New Roman" w:cs="Times New Roman"/>
          <w:sz w:val="28"/>
          <w:szCs w:val="28"/>
        </w:rPr>
        <w:t xml:space="preserve"> » мая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пунктом 8 раздела « Экспертно-аналитические мероприятия»  Плана работы  ревизионной комиссии </w:t>
      </w:r>
      <w:r w:rsidRPr="00F55FD7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год, ревизионной комиссией проведен анализ исполнения бюджета поселения  за 1 квартал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  <w:r w:rsidRPr="00F55F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16 мая </w:t>
      </w:r>
      <w:r w:rsidRPr="00F55F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сопоставление исполненных показателей бюджета поселения  за 1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выявление возможных несоответствий (нарушений) и подготовка предложений, направленных на их устранение.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(далее - Заключение)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F55FD7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F55FD7">
        <w:rPr>
          <w:rFonts w:ascii="Times New Roman" w:hAnsi="Times New Roman" w:cs="Times New Roman"/>
          <w:sz w:val="28"/>
          <w:szCs w:val="28"/>
        </w:rPr>
        <w:tab/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 квартал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  <w:r w:rsidRPr="00F55FD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разделам. </w:t>
      </w:r>
      <w:r w:rsidRPr="008A6581">
        <w:rPr>
          <w:rFonts w:ascii="Times New Roman" w:hAnsi="Times New Roman" w:cs="Times New Roman"/>
          <w:i/>
          <w:sz w:val="28"/>
          <w:szCs w:val="28"/>
        </w:rPr>
        <w:t>Приложение  3 – по показателям дефицита (профицита) бюджета поселения отсутствует.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2018-2019 годы</w:t>
      </w:r>
      <w:r w:rsidRPr="00F55FD7">
        <w:rPr>
          <w:rFonts w:ascii="Times New Roman" w:hAnsi="Times New Roman" w:cs="Times New Roman"/>
          <w:sz w:val="28"/>
          <w:szCs w:val="28"/>
        </w:rPr>
        <w:t>» в 1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8A658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Первоначальный бюджет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2018-2019 годы  </w:t>
      </w:r>
      <w:r w:rsidRPr="00F55FD7">
        <w:rPr>
          <w:rFonts w:ascii="Times New Roman" w:hAnsi="Times New Roman" w:cs="Times New Roman"/>
          <w:sz w:val="28"/>
          <w:szCs w:val="28"/>
        </w:rPr>
        <w:t xml:space="preserve">утвержден  решением Совета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Шейбухтовское </w:t>
      </w:r>
      <w:r w:rsidRPr="00F55FD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A65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A6581">
        <w:rPr>
          <w:rFonts w:ascii="Times New Roman" w:hAnsi="Times New Roman" w:cs="Times New Roman"/>
          <w:sz w:val="28"/>
          <w:szCs w:val="28"/>
        </w:rPr>
        <w:t xml:space="preserve"> со</w:t>
      </w:r>
      <w:r w:rsidRPr="00A3079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A6581">
        <w:rPr>
          <w:rFonts w:ascii="Times New Roman" w:hAnsi="Times New Roman" w:cs="Times New Roman"/>
          <w:sz w:val="28"/>
          <w:szCs w:val="28"/>
        </w:rPr>
        <w:t>следующими параметрами:</w:t>
      </w:r>
    </w:p>
    <w:p w:rsidR="00EA7676" w:rsidRPr="008A658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>
        <w:rPr>
          <w:rFonts w:ascii="Times New Roman" w:hAnsi="Times New Roman" w:cs="Times New Roman"/>
          <w:sz w:val="28"/>
          <w:szCs w:val="28"/>
        </w:rPr>
        <w:t>3015,4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676" w:rsidRPr="008A658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ab/>
        <w:t>- расходы бюджета поселения–</w:t>
      </w:r>
      <w:r>
        <w:rPr>
          <w:rFonts w:ascii="Times New Roman" w:hAnsi="Times New Roman" w:cs="Times New Roman"/>
          <w:sz w:val="28"/>
          <w:szCs w:val="28"/>
        </w:rPr>
        <w:t>3015,4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676" w:rsidRDefault="00EA7676" w:rsidP="00EA767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AB3AF4" w:rsidRPr="00AB3AF4" w:rsidRDefault="00AB3AF4" w:rsidP="00AB3AF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F4">
        <w:rPr>
          <w:rFonts w:ascii="Times New Roman" w:eastAsia="Times New Roman" w:hAnsi="Times New Roman" w:cs="Times New Roman"/>
          <w:sz w:val="28"/>
          <w:szCs w:val="28"/>
        </w:rPr>
        <w:t>С учетом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 3025,7 тыс. рублей</w:t>
      </w:r>
      <w:r w:rsidRPr="00AB3A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AB3AF4">
        <w:rPr>
          <w:rFonts w:ascii="Times New Roman" w:eastAsia="Times New Roman" w:hAnsi="Times New Roman" w:cs="Times New Roman"/>
          <w:sz w:val="28"/>
          <w:szCs w:val="28"/>
        </w:rPr>
        <w:t xml:space="preserve">расходов бюджета поселения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3096,6</w:t>
      </w:r>
      <w:r w:rsidRPr="00AB3AF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дефицит бюджета поселения составит 70,9 тыс. рублей.</w:t>
      </w:r>
    </w:p>
    <w:p w:rsidR="00EA7676" w:rsidRPr="008A658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составили </w:t>
      </w:r>
      <w:r w:rsidR="00AB3AF4">
        <w:rPr>
          <w:rFonts w:ascii="Times New Roman" w:hAnsi="Times New Roman" w:cs="Times New Roman"/>
          <w:sz w:val="28"/>
          <w:szCs w:val="28"/>
        </w:rPr>
        <w:t>520,4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3AF4">
        <w:rPr>
          <w:rFonts w:ascii="Times New Roman" w:hAnsi="Times New Roman" w:cs="Times New Roman"/>
          <w:sz w:val="28"/>
          <w:szCs w:val="28"/>
        </w:rPr>
        <w:t>17,2</w:t>
      </w:r>
      <w:r w:rsidRPr="008A65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AB3AF4">
        <w:rPr>
          <w:rFonts w:ascii="Times New Roman" w:hAnsi="Times New Roman" w:cs="Times New Roman"/>
          <w:sz w:val="28"/>
          <w:szCs w:val="28"/>
        </w:rPr>
        <w:t>3025,7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AB3AF4">
        <w:rPr>
          <w:rFonts w:ascii="Times New Roman" w:hAnsi="Times New Roman" w:cs="Times New Roman"/>
          <w:sz w:val="28"/>
          <w:szCs w:val="28"/>
        </w:rPr>
        <w:t>543,4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3AF4">
        <w:rPr>
          <w:rFonts w:ascii="Times New Roman" w:hAnsi="Times New Roman" w:cs="Times New Roman"/>
          <w:sz w:val="28"/>
          <w:szCs w:val="28"/>
        </w:rPr>
        <w:t>17,5</w:t>
      </w:r>
      <w:r w:rsidRPr="008A6581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9D733D" w:rsidRPr="0012287F">
        <w:rPr>
          <w:rFonts w:ascii="Times New Roman" w:hAnsi="Times New Roman" w:cs="Times New Roman"/>
          <w:sz w:val="28"/>
          <w:szCs w:val="28"/>
        </w:rPr>
        <w:t>3096,6</w:t>
      </w:r>
      <w:r w:rsidRPr="001228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8A6581">
        <w:rPr>
          <w:rFonts w:ascii="Times New Roman" w:hAnsi="Times New Roman" w:cs="Times New Roman"/>
          <w:sz w:val="28"/>
          <w:szCs w:val="28"/>
        </w:rPr>
        <w:t xml:space="preserve">. рублей, дефицит – </w:t>
      </w:r>
      <w:r w:rsidR="00AB3AF4">
        <w:rPr>
          <w:rFonts w:ascii="Times New Roman" w:hAnsi="Times New Roman" w:cs="Times New Roman"/>
          <w:sz w:val="28"/>
          <w:szCs w:val="28"/>
        </w:rPr>
        <w:t>23,0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Pr="008A658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Исполнение бюджета поселения за 1 квартал 201</w:t>
      </w:r>
      <w:r w:rsidR="00AB3AF4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AB3AF4">
        <w:rPr>
          <w:rFonts w:ascii="Times New Roman" w:hAnsi="Times New Roman" w:cs="Times New Roman"/>
          <w:sz w:val="28"/>
          <w:szCs w:val="28"/>
        </w:rPr>
        <w:t xml:space="preserve">6 </w:t>
      </w:r>
      <w:r w:rsidRPr="00F55FD7">
        <w:rPr>
          <w:rFonts w:ascii="Times New Roman" w:hAnsi="Times New Roman" w:cs="Times New Roman"/>
          <w:sz w:val="28"/>
          <w:szCs w:val="28"/>
        </w:rPr>
        <w:t>года характеризуется следующими данными.</w:t>
      </w:r>
    </w:p>
    <w:p w:rsidR="00EA7676" w:rsidRPr="00AB3AF4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676" w:rsidRPr="0012287F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87F">
        <w:rPr>
          <w:rFonts w:ascii="Times New Roman" w:hAnsi="Times New Roman" w:cs="Times New Roman"/>
          <w:sz w:val="20"/>
          <w:szCs w:val="20"/>
        </w:rPr>
        <w:t>Таблица № 1</w:t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  <w:sz w:val="28"/>
          <w:szCs w:val="28"/>
        </w:rPr>
        <w:tab/>
      </w:r>
      <w:r w:rsidRPr="0012287F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12287F" w:rsidRPr="0012287F" w:rsidTr="00EA7676">
        <w:trPr>
          <w:trHeight w:val="2158"/>
        </w:trPr>
        <w:tc>
          <w:tcPr>
            <w:tcW w:w="1809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EA7676" w:rsidRPr="0012287F" w:rsidRDefault="00EA7676" w:rsidP="00122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нение за 1 квартал 201</w:t>
            </w:r>
            <w:r w:rsidR="0012287F" w:rsidRPr="00122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287F" w:rsidRPr="00122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EA7676" w:rsidRPr="0012287F" w:rsidRDefault="00EA7676" w:rsidP="00122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287F" w:rsidRPr="0012287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% ис-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84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Абсолютное откло-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нение 1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287F" w:rsidRPr="00122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287F" w:rsidRPr="00122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EA7676" w:rsidRPr="0012287F" w:rsidRDefault="0012287F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EA7676" w:rsidRPr="0012287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676" w:rsidRPr="0012287F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EA7676" w:rsidRPr="0012287F" w:rsidRDefault="00EA7676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676" w:rsidRPr="00F55FD7" w:rsidTr="00EA7676">
        <w:tc>
          <w:tcPr>
            <w:tcW w:w="1809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287F" w:rsidRPr="00F55FD7" w:rsidTr="00EA7676">
        <w:tc>
          <w:tcPr>
            <w:tcW w:w="1809" w:type="dxa"/>
          </w:tcPr>
          <w:p w:rsidR="0012287F" w:rsidRPr="00F55FD7" w:rsidRDefault="0012287F" w:rsidP="00EA767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12287F" w:rsidRPr="00F55FD7" w:rsidRDefault="0012287F" w:rsidP="0039449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3025,7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520,4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84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417" w:type="dxa"/>
          </w:tcPr>
          <w:p w:rsidR="0012287F" w:rsidRPr="00F55FD7" w:rsidRDefault="00904332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12287F" w:rsidRPr="00F55FD7" w:rsidTr="00EA7676">
        <w:tc>
          <w:tcPr>
            <w:tcW w:w="1809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12287F" w:rsidRPr="00F55FD7" w:rsidRDefault="0012287F" w:rsidP="0039449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3096,6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84" w:type="dxa"/>
          </w:tcPr>
          <w:p w:rsidR="0012287F" w:rsidRPr="00F55FD7" w:rsidRDefault="00904332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417" w:type="dxa"/>
          </w:tcPr>
          <w:p w:rsidR="0012287F" w:rsidRPr="00F55FD7" w:rsidRDefault="00904332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</w:tr>
      <w:tr w:rsidR="0012287F" w:rsidRPr="00F55FD7" w:rsidTr="00EA7676">
        <w:tc>
          <w:tcPr>
            <w:tcW w:w="1809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12287F" w:rsidRPr="00F55FD7" w:rsidRDefault="0012287F" w:rsidP="0039449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-70,9</w:t>
            </w:r>
          </w:p>
        </w:tc>
        <w:tc>
          <w:tcPr>
            <w:tcW w:w="1276" w:type="dxa"/>
          </w:tcPr>
          <w:p w:rsidR="0012287F" w:rsidRPr="00F55FD7" w:rsidRDefault="0012287F" w:rsidP="0012287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76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84" w:type="dxa"/>
          </w:tcPr>
          <w:p w:rsidR="0012287F" w:rsidRPr="00F55FD7" w:rsidRDefault="00904332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7" w:type="dxa"/>
          </w:tcPr>
          <w:p w:rsidR="0012287F" w:rsidRPr="00F55FD7" w:rsidRDefault="0012287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По сравнению с 1 кварталом 201</w:t>
      </w:r>
      <w:r w:rsidR="00904332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у</w:t>
      </w:r>
      <w:r w:rsidR="00904332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904332">
        <w:rPr>
          <w:rFonts w:ascii="Times New Roman" w:hAnsi="Times New Roman" w:cs="Times New Roman"/>
          <w:sz w:val="28"/>
          <w:szCs w:val="28"/>
        </w:rPr>
        <w:t xml:space="preserve">36,9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4332">
        <w:rPr>
          <w:rFonts w:ascii="Times New Roman" w:hAnsi="Times New Roman" w:cs="Times New Roman"/>
          <w:sz w:val="28"/>
          <w:szCs w:val="28"/>
        </w:rPr>
        <w:t>7,6</w:t>
      </w:r>
      <w:r w:rsidRPr="00F55FD7">
        <w:rPr>
          <w:rFonts w:ascii="Times New Roman" w:hAnsi="Times New Roman" w:cs="Times New Roman"/>
          <w:sz w:val="28"/>
          <w:szCs w:val="28"/>
        </w:rPr>
        <w:t xml:space="preserve">%, расходы также </w:t>
      </w:r>
      <w:r w:rsidR="00904332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904332">
        <w:rPr>
          <w:rFonts w:ascii="Times New Roman" w:hAnsi="Times New Roman" w:cs="Times New Roman"/>
          <w:sz w:val="28"/>
          <w:szCs w:val="28"/>
        </w:rPr>
        <w:t>45,7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904332">
        <w:rPr>
          <w:rFonts w:ascii="Times New Roman" w:hAnsi="Times New Roman" w:cs="Times New Roman"/>
          <w:sz w:val="28"/>
          <w:szCs w:val="28"/>
        </w:rPr>
        <w:t>9,2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%. Бюджет поселения за 1 квартал 201</w:t>
      </w:r>
      <w:r w:rsidR="00904332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5FD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дефицитом в сумме  </w:t>
      </w:r>
      <w:r w:rsidR="00904332">
        <w:rPr>
          <w:rFonts w:ascii="Times New Roman" w:hAnsi="Times New Roman" w:cs="Times New Roman"/>
          <w:sz w:val="28"/>
          <w:szCs w:val="28"/>
        </w:rPr>
        <w:t xml:space="preserve">23,0 </w:t>
      </w:r>
      <w:r w:rsidRPr="00F55FD7">
        <w:rPr>
          <w:rFonts w:ascii="Times New Roman" w:hAnsi="Times New Roman" w:cs="Times New Roman"/>
          <w:sz w:val="28"/>
          <w:szCs w:val="28"/>
        </w:rPr>
        <w:t>тыс. рублей, за аналогичный период 201</w:t>
      </w:r>
      <w:r w:rsidR="00904332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бюджет исполнен также с дефицитом в сумме </w:t>
      </w:r>
      <w:r w:rsidR="00904332">
        <w:rPr>
          <w:rFonts w:ascii="Times New Roman" w:hAnsi="Times New Roman" w:cs="Times New Roman"/>
          <w:sz w:val="28"/>
          <w:szCs w:val="28"/>
        </w:rPr>
        <w:t>14,2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676" w:rsidRPr="001239F1" w:rsidRDefault="00EA7676" w:rsidP="001239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  <w:r w:rsidR="001239F1">
        <w:rPr>
          <w:rFonts w:ascii="Times New Roman" w:hAnsi="Times New Roman" w:cs="Times New Roman"/>
          <w:sz w:val="28"/>
          <w:szCs w:val="28"/>
        </w:rPr>
        <w:tab/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Исполнение бюджета поселения по доходам за 1 квартал  201</w:t>
      </w:r>
      <w:r w:rsidR="00904332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</w:rPr>
        <w:t>Таблица № 2</w:t>
      </w:r>
      <w:r w:rsidRPr="00F55F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F55FD7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EA7676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EA7676" w:rsidRPr="00F55FD7" w:rsidRDefault="00EA7676" w:rsidP="00904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90433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A7676" w:rsidRPr="00F55FD7" w:rsidRDefault="00EA7676" w:rsidP="00904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201</w:t>
            </w:r>
            <w:r w:rsidR="009043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676" w:rsidRPr="00F55FD7" w:rsidRDefault="00EA7676" w:rsidP="00904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904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EA7676" w:rsidRPr="00F55FD7" w:rsidRDefault="00EA7676" w:rsidP="00904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за 1 квартал 201</w:t>
            </w:r>
            <w:r w:rsidR="00904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EA7676" w:rsidRPr="00F55FD7" w:rsidRDefault="00EA7676" w:rsidP="00EA767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9043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года от</w:t>
            </w:r>
          </w:p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1 квартала</w:t>
            </w:r>
          </w:p>
          <w:p w:rsidR="00EA7676" w:rsidRPr="00F55FD7" w:rsidRDefault="00EA7676" w:rsidP="00904332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90433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EA7676" w:rsidRPr="00F55FD7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квартала</w:t>
            </w:r>
          </w:p>
          <w:p w:rsidR="00EA7676" w:rsidRPr="00F55FD7" w:rsidRDefault="00EA7676" w:rsidP="00EA76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9043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EA7676" w:rsidRPr="00F55FD7" w:rsidRDefault="00EA7676" w:rsidP="00EA767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50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161,0</w:t>
            </w:r>
          </w:p>
        </w:tc>
        <w:tc>
          <w:tcPr>
            <w:tcW w:w="851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851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50" w:type="dxa"/>
          </w:tcPr>
          <w:p w:rsidR="00904332" w:rsidRPr="00F55FD7" w:rsidRDefault="008D437C" w:rsidP="00EA76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179,8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1" w:type="dxa"/>
          </w:tcPr>
          <w:p w:rsidR="00904332" w:rsidRPr="00F55FD7" w:rsidRDefault="008D437C" w:rsidP="00EA7676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10,5</w:t>
            </w:r>
          </w:p>
        </w:tc>
        <w:tc>
          <w:tcPr>
            <w:tcW w:w="850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0" w:type="dxa"/>
          </w:tcPr>
          <w:p w:rsidR="00904332" w:rsidRPr="00F55FD7" w:rsidRDefault="00AE3057" w:rsidP="00EA7676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</w:tcPr>
          <w:p w:rsidR="00904332" w:rsidRPr="00F55FD7" w:rsidRDefault="00AE3057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904332" w:rsidRPr="00F55FD7" w:rsidRDefault="00AE3057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904332" w:rsidRPr="00F55FD7" w:rsidRDefault="00AE3057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850" w:type="dxa"/>
          </w:tcPr>
          <w:p w:rsidR="00904332" w:rsidRPr="00F55FD7" w:rsidRDefault="00AE3057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904332" w:rsidRPr="00F55FD7" w:rsidRDefault="008B39C3" w:rsidP="008B3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904332" w:rsidRPr="00F55FD7" w:rsidRDefault="008B39C3" w:rsidP="008B3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1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850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904332" w:rsidRPr="00F55FD7" w:rsidRDefault="008B39C3" w:rsidP="008B3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904332" w:rsidRPr="00F55FD7" w:rsidRDefault="008B39C3" w:rsidP="008B39C3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29,1</w:t>
            </w:r>
          </w:p>
        </w:tc>
        <w:tc>
          <w:tcPr>
            <w:tcW w:w="851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</w:t>
            </w:r>
          </w:p>
        </w:tc>
      </w:tr>
      <w:tr w:rsidR="00904332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904332" w:rsidRPr="00F55FD7" w:rsidRDefault="00904332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992" w:type="dxa"/>
          </w:tcPr>
          <w:p w:rsidR="00904332" w:rsidRPr="00F55FD7" w:rsidRDefault="00904332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904332" w:rsidRPr="00F55FD7" w:rsidRDefault="00904332" w:rsidP="0039449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904332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04332" w:rsidRPr="00F55FD7" w:rsidRDefault="008B39C3" w:rsidP="00EA76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04332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B39C3" w:rsidP="0039449A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243,0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161,0</w:t>
            </w:r>
          </w:p>
        </w:tc>
        <w:tc>
          <w:tcPr>
            <w:tcW w:w="851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179,8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2265,2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474,1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2864,7</w:t>
            </w:r>
          </w:p>
        </w:tc>
        <w:tc>
          <w:tcPr>
            <w:tcW w:w="851" w:type="dxa"/>
          </w:tcPr>
          <w:p w:rsidR="008B39C3" w:rsidRPr="00F55FD7" w:rsidRDefault="008B39C3" w:rsidP="00EA767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503,5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106,2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2005,4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2013,5</w:t>
            </w:r>
          </w:p>
        </w:tc>
        <w:tc>
          <w:tcPr>
            <w:tcW w:w="851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-11,2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992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851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1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851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</w:t>
            </w:r>
          </w:p>
        </w:tc>
      </w:tr>
      <w:tr w:rsidR="008B39C3" w:rsidRPr="00F55FD7" w:rsidTr="00EA7676">
        <w:trPr>
          <w:gridAfter w:val="1"/>
          <w:wAfter w:w="236" w:type="dxa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B39C3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39C3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B39C3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8B39C3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39C3" w:rsidRPr="00F55FD7" w:rsidTr="00EA7676">
        <w:trPr>
          <w:trHeight w:val="309"/>
        </w:trPr>
        <w:tc>
          <w:tcPr>
            <w:tcW w:w="2802" w:type="dxa"/>
          </w:tcPr>
          <w:p w:rsidR="008B39C3" w:rsidRPr="00F55FD7" w:rsidRDefault="008B39C3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2508,2</w:t>
            </w:r>
          </w:p>
        </w:tc>
        <w:tc>
          <w:tcPr>
            <w:tcW w:w="992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483,5</w:t>
            </w:r>
          </w:p>
        </w:tc>
        <w:tc>
          <w:tcPr>
            <w:tcW w:w="709" w:type="dxa"/>
          </w:tcPr>
          <w:p w:rsidR="008B39C3" w:rsidRPr="00F55FD7" w:rsidRDefault="008B39C3" w:rsidP="00394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</w:t>
            </w:r>
          </w:p>
        </w:tc>
        <w:tc>
          <w:tcPr>
            <w:tcW w:w="850" w:type="dxa"/>
          </w:tcPr>
          <w:p w:rsidR="008B39C3" w:rsidRPr="00F55FD7" w:rsidRDefault="008B39C3" w:rsidP="00EA7676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3025,7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B39C3" w:rsidRPr="00F55FD7" w:rsidRDefault="008B39C3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B39C3" w:rsidRPr="00F55FD7" w:rsidRDefault="008D437C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B39C3" w:rsidRPr="00F55FD7" w:rsidRDefault="008B39C3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962E6" w:rsidRPr="00F55FD7" w:rsidRDefault="000962E6" w:rsidP="00EA767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A7676" w:rsidRPr="00F55FD7" w:rsidRDefault="00EA7676" w:rsidP="000962E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EA7676" w:rsidRPr="00F55FD7" w:rsidRDefault="00EA7676" w:rsidP="00EA767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0962E6">
        <w:rPr>
          <w:rFonts w:ascii="Times New Roman" w:hAnsi="Times New Roman" w:cs="Times New Roman"/>
          <w:sz w:val="28"/>
          <w:szCs w:val="28"/>
        </w:rPr>
        <w:t>16,9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B0CCC">
        <w:rPr>
          <w:rFonts w:ascii="Times New Roman" w:hAnsi="Times New Roman" w:cs="Times New Roman"/>
          <w:sz w:val="28"/>
          <w:szCs w:val="28"/>
        </w:rPr>
        <w:t>10,5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3B0CCC">
        <w:rPr>
          <w:rFonts w:ascii="Times New Roman" w:hAnsi="Times New Roman" w:cs="Times New Roman"/>
          <w:sz w:val="28"/>
          <w:szCs w:val="28"/>
        </w:rPr>
        <w:t>161,0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 По </w:t>
      </w:r>
      <w:r w:rsidRPr="00F55FD7">
        <w:rPr>
          <w:rFonts w:ascii="Times New Roman" w:hAnsi="Times New Roman" w:cs="Times New Roman"/>
          <w:sz w:val="28"/>
          <w:szCs w:val="28"/>
        </w:rPr>
        <w:lastRenderedPageBreak/>
        <w:t>сравнению с 1 кварталом 201</w:t>
      </w:r>
      <w:r w:rsidR="003B0CCC">
        <w:rPr>
          <w:rFonts w:ascii="Times New Roman" w:hAnsi="Times New Roman" w:cs="Times New Roman"/>
          <w:sz w:val="28"/>
          <w:szCs w:val="28"/>
        </w:rPr>
        <w:t xml:space="preserve">6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0CCC">
        <w:rPr>
          <w:rFonts w:ascii="Times New Roman" w:hAnsi="Times New Roman" w:cs="Times New Roman"/>
          <w:sz w:val="28"/>
          <w:szCs w:val="28"/>
        </w:rPr>
        <w:t xml:space="preserve"> исполнение собственных доходов увеличилось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  </w:t>
      </w:r>
      <w:r w:rsidR="003B0CCC">
        <w:rPr>
          <w:rFonts w:ascii="Times New Roman" w:hAnsi="Times New Roman" w:cs="Times New Roman"/>
          <w:sz w:val="28"/>
          <w:szCs w:val="28"/>
        </w:rPr>
        <w:t>7,5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B0CCC">
        <w:rPr>
          <w:rFonts w:ascii="Times New Roman" w:hAnsi="Times New Roman" w:cs="Times New Roman"/>
          <w:sz w:val="28"/>
          <w:szCs w:val="28"/>
        </w:rPr>
        <w:t>79,8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55FD7">
        <w:rPr>
          <w:rFonts w:ascii="Times New Roman" w:hAnsi="Times New Roman" w:cs="Times New Roman"/>
          <w:sz w:val="28"/>
          <w:szCs w:val="28"/>
        </w:rPr>
        <w:t xml:space="preserve">. Значительное </w:t>
      </w:r>
      <w:r w:rsidR="003B0CCC">
        <w:rPr>
          <w:rFonts w:ascii="Times New Roman" w:hAnsi="Times New Roman" w:cs="Times New Roman"/>
          <w:sz w:val="28"/>
          <w:szCs w:val="28"/>
        </w:rPr>
        <w:t>увеличение</w:t>
      </w:r>
      <w:r w:rsidRPr="00F55FD7">
        <w:rPr>
          <w:rFonts w:ascii="Times New Roman" w:hAnsi="Times New Roman" w:cs="Times New Roman"/>
          <w:sz w:val="28"/>
          <w:szCs w:val="28"/>
        </w:rPr>
        <w:t xml:space="preserve"> суммы налоговых и неналоговых доходов связано с тем, что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3B0CCC">
        <w:rPr>
          <w:rFonts w:ascii="Times New Roman" w:hAnsi="Times New Roman" w:cs="Times New Roman"/>
          <w:sz w:val="28"/>
          <w:szCs w:val="28"/>
        </w:rPr>
        <w:t xml:space="preserve"> в 1 квартале 2016 году </w:t>
      </w:r>
      <w:r>
        <w:rPr>
          <w:rFonts w:ascii="Times New Roman" w:hAnsi="Times New Roman" w:cs="Times New Roman"/>
          <w:sz w:val="28"/>
          <w:szCs w:val="28"/>
        </w:rPr>
        <w:t xml:space="preserve"> поступил с минусом. Т.</w:t>
      </w:r>
      <w:r w:rsidR="00BF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BF26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 возврата налога на доходы физических лиц превышает сумму поступления налога на 4,3 тыс. рублей</w:t>
      </w:r>
      <w:r w:rsidR="003B0CCC">
        <w:rPr>
          <w:rFonts w:ascii="Times New Roman" w:hAnsi="Times New Roman" w:cs="Times New Roman"/>
          <w:sz w:val="28"/>
          <w:szCs w:val="28"/>
        </w:rPr>
        <w:t>, а в 1 квартале 2017 года сумма исполнения составила 6,2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налоговых  и неналоговых доходов бюджета </w:t>
      </w:r>
      <w:r w:rsidR="003B0CC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сравнении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201</w:t>
      </w:r>
      <w:r w:rsidR="003B0CC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EA7676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EA7676" w:rsidRDefault="00AE3057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2D1FC6E" wp14:editId="75363AC8">
            <wp:extent cx="6076950" cy="4019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7676" w:rsidRPr="00F55FD7" w:rsidRDefault="001239F1" w:rsidP="001239F1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16,9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10,5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161,0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3,2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A7676" w:rsidRPr="00F55FD7" w:rsidRDefault="00EA7676" w:rsidP="008C7A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Первое место по объему налоговых доходов занима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 налог на доходы физических лиц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земельный налог. Объем данн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составил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6,2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32,6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 в размере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19,0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12,4% к плановым назначениям в размере 50,0 тыс. рублей соответственно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 201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 налога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доходы физических лиц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увеличилось на 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10,5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>,  по земельному налогу наблюдается снижение на 1,8 тыс. рублей, или на 22,5%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</w:t>
      </w:r>
      <w:r w:rsidR="00AE3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га на доходы физических лиц  в налоговых доходах  составила и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налога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36,7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Второе место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налоговый источник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пошлина. Поступления  указанного налога составило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3,2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29,1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кварталом 201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государственной пошлины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незначительно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</w:t>
      </w:r>
      <w:r w:rsidR="00BF26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1,4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77,8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государственной пошлины  в налоговых доходах бюджета поселения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19,1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>18,9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8C7A79" w:rsidRPr="008C7A79" w:rsidRDefault="008C7A79" w:rsidP="008C7A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A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Третье и последнее место  по величине поступлений в бюджет поселения занимает налог на имущество физических лиц. Поступление налога  в бюджет поселения составило 1,3 тыс. рублей,  или на 1,6% к плановым назначениям  в размере 81,0 тыс. рублей. По сравнению с 1 кварталом  2016 года поступление  налога снизилось на 2,6 тыс. рублей, или на 66,7 %. Доля налога на имущество физических в налоговых доходах бюджета поселения составляет 7,7 процента.</w:t>
      </w:r>
    </w:p>
    <w:p w:rsidR="00EA7676" w:rsidRPr="00B76E50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50">
        <w:rPr>
          <w:rFonts w:ascii="Times New Roman" w:hAnsi="Times New Roman" w:cs="Times New Roman"/>
          <w:sz w:val="28"/>
          <w:szCs w:val="28"/>
        </w:rPr>
        <w:t>Анализ поступления налога на доходы  физических лиц в  1 квартале 201</w:t>
      </w:r>
      <w:r w:rsidR="0041037E">
        <w:rPr>
          <w:rFonts w:ascii="Times New Roman" w:hAnsi="Times New Roman" w:cs="Times New Roman"/>
          <w:sz w:val="28"/>
          <w:szCs w:val="28"/>
        </w:rPr>
        <w:t>7</w:t>
      </w:r>
      <w:r w:rsidRPr="00B76E50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EA7676" w:rsidRPr="00B76E50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6E50">
        <w:rPr>
          <w:rFonts w:ascii="Times New Roman" w:hAnsi="Times New Roman" w:cs="Times New Roman"/>
        </w:rPr>
        <w:t>Таблица № 3</w:t>
      </w:r>
      <w:r w:rsidRPr="00B76E50">
        <w:rPr>
          <w:rFonts w:ascii="Times New Roman" w:hAnsi="Times New Roman" w:cs="Times New Roman"/>
        </w:rPr>
        <w:tab/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EA7676" w:rsidRPr="00B76E50" w:rsidTr="00EA7676">
        <w:tc>
          <w:tcPr>
            <w:tcW w:w="1862" w:type="dxa"/>
          </w:tcPr>
          <w:p w:rsidR="00EA7676" w:rsidRPr="00B76E50" w:rsidRDefault="00EA7676" w:rsidP="0041037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Фактическое исполнение за 1 квартал 201</w:t>
            </w:r>
            <w:r w:rsidR="0041037E">
              <w:rPr>
                <w:sz w:val="28"/>
                <w:szCs w:val="28"/>
              </w:rPr>
              <w:t>6</w:t>
            </w:r>
            <w:r w:rsidRPr="00B76E5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EA7676" w:rsidRPr="00B76E50" w:rsidRDefault="00EA7676" w:rsidP="0041037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% исполнения от плановых назначений на 201</w:t>
            </w:r>
            <w:r w:rsidR="0041037E">
              <w:rPr>
                <w:sz w:val="28"/>
                <w:szCs w:val="28"/>
              </w:rPr>
              <w:t>6</w:t>
            </w:r>
            <w:r w:rsidRPr="00B76E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EA7676" w:rsidRPr="00B76E50" w:rsidRDefault="00EA7676" w:rsidP="0041037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Фактическое исполнение за 1 квартал 201</w:t>
            </w:r>
            <w:r w:rsidR="0041037E">
              <w:rPr>
                <w:sz w:val="28"/>
                <w:szCs w:val="28"/>
              </w:rPr>
              <w:t xml:space="preserve">7 </w:t>
            </w:r>
            <w:r w:rsidRPr="00B76E50">
              <w:rPr>
                <w:sz w:val="28"/>
                <w:szCs w:val="28"/>
              </w:rPr>
              <w:t>года</w:t>
            </w:r>
          </w:p>
        </w:tc>
        <w:tc>
          <w:tcPr>
            <w:tcW w:w="1852" w:type="dxa"/>
          </w:tcPr>
          <w:p w:rsidR="00EA7676" w:rsidRPr="00B76E50" w:rsidRDefault="00EA7676" w:rsidP="00EA7676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EA7676" w:rsidRPr="00B76E50" w:rsidRDefault="00EA7676" w:rsidP="0041037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Отклонение 1 квартала 201</w:t>
            </w:r>
            <w:r w:rsidR="0041037E">
              <w:rPr>
                <w:sz w:val="28"/>
                <w:szCs w:val="28"/>
              </w:rPr>
              <w:t>7</w:t>
            </w:r>
            <w:r w:rsidRPr="00B76E50">
              <w:rPr>
                <w:sz w:val="28"/>
                <w:szCs w:val="28"/>
              </w:rPr>
              <w:t>года от 1 квартала 201</w:t>
            </w:r>
            <w:r w:rsidR="0041037E">
              <w:rPr>
                <w:sz w:val="28"/>
                <w:szCs w:val="28"/>
              </w:rPr>
              <w:t>6</w:t>
            </w:r>
            <w:r w:rsidRPr="00B76E50">
              <w:rPr>
                <w:sz w:val="28"/>
                <w:szCs w:val="28"/>
              </w:rPr>
              <w:t xml:space="preserve"> года</w:t>
            </w:r>
          </w:p>
        </w:tc>
      </w:tr>
      <w:tr w:rsidR="00EA7676" w:rsidRPr="00B76E50" w:rsidTr="00EA7676">
        <w:tc>
          <w:tcPr>
            <w:tcW w:w="1862" w:type="dxa"/>
          </w:tcPr>
          <w:p w:rsidR="00EA7676" w:rsidRPr="00B76E50" w:rsidRDefault="0041037E" w:rsidP="00EA7676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- 4,3</w:t>
            </w:r>
          </w:p>
        </w:tc>
        <w:tc>
          <w:tcPr>
            <w:tcW w:w="1970" w:type="dxa"/>
          </w:tcPr>
          <w:p w:rsidR="00EA7676" w:rsidRPr="00B76E50" w:rsidRDefault="0041037E" w:rsidP="00EA7676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EA7676" w:rsidRPr="00B76E50" w:rsidRDefault="0041037E" w:rsidP="00EA76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852" w:type="dxa"/>
          </w:tcPr>
          <w:p w:rsidR="00EA7676" w:rsidRPr="00B76E50" w:rsidRDefault="0041037E" w:rsidP="00EA7676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1971" w:type="dxa"/>
          </w:tcPr>
          <w:p w:rsidR="00EA7676" w:rsidRPr="00B76E50" w:rsidRDefault="0041037E" w:rsidP="0041037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</w:tbl>
    <w:p w:rsidR="00EA7676" w:rsidRPr="00B76E50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7676" w:rsidRPr="00C04676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доходы физических лиц в 1 квартале 201</w:t>
      </w:r>
      <w:r w:rsidR="0041037E">
        <w:rPr>
          <w:rFonts w:ascii="Times New Roman" w:eastAsiaTheme="minorHAnsi" w:hAnsi="Times New Roman" w:cs="Times New Roman"/>
          <w:sz w:val="28"/>
          <w:szCs w:val="28"/>
          <w:lang w:eastAsia="en-US"/>
        </w:rPr>
        <w:t>7 года исполнен в сумме 6,2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32,6процента.</w:t>
      </w:r>
    </w:p>
    <w:p w:rsidR="00EA7676" w:rsidRPr="00C04676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Плановые назначения на год составили 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19,0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 кварталом 201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налога на доходы физических лиц 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увеличилось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10,5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  <w:r w:rsidRPr="00C0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32" w:rsidRDefault="00EA7676" w:rsidP="00EA767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Невысокий уровень исполнения кассового плана за 1 квартал 201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7676" w:rsidRPr="00F55FD7" w:rsidRDefault="00EA7676" w:rsidP="00EA7676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</w:t>
      </w:r>
      <w:r w:rsidRPr="00F55FD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9F3932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Неналоговые доходы </w:t>
      </w:r>
      <w:r w:rsidR="009F393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бюджетом поселения Шейбухтовское не предусмотрены в связи с передачей муниципального имущества с уровня поселения на уровень района.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1239F1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11E9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Безвозмездные поступления.</w:t>
      </w:r>
    </w:p>
    <w:p w:rsidR="00EA7676" w:rsidRPr="00E11E9B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Безвозмездные поступления в бюджет поселения составили 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503,5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17,6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2864,7 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рублей. По сравнению с 1 кварталом 201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увеличились на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29,4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 или на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6,2 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их доля в общих доходах бюджета поселения составила 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96,7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A7676" w:rsidRPr="00E11E9B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Структура безвозмездных поступлений в сравнении с 1 кварталом 201</w:t>
      </w:r>
      <w:r w:rsidR="00E11E9B"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11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="0039449A" w:rsidRPr="0039449A">
        <w:rPr>
          <w:noProof/>
        </w:rPr>
        <w:t xml:space="preserve"> </w:t>
      </w:r>
      <w:r w:rsidR="0039449A">
        <w:rPr>
          <w:noProof/>
        </w:rPr>
        <w:drawing>
          <wp:inline distT="0" distB="0" distL="0" distR="0" wp14:anchorId="0ED932CC" wp14:editId="36F03AA3">
            <wp:extent cx="6096000" cy="4381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418,3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20,8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13,5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83,1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A7676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20,0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24,9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80,3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субвенций в течение 1 квартала текущего года поступила субвенция на осуществление первичного воинского учета. По сравнению с 1 кварталом 201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субвенция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снизилась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2,7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11,9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субвенций в общем объеме безвозмездных поступлений составила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4,0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0544E3" w:rsidRPr="00F55FD7" w:rsidRDefault="000544E3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Субсидии  предусмотрены бюджетом в сумме 627,2 тыс. рублей, в 1 квартале 2017 года средства в виде субсидии из областного бюджета не поступали.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в 1 квартале 201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исполнены в сумме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45,2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31,4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0544E3">
        <w:rPr>
          <w:rFonts w:ascii="Times New Roman" w:eastAsiaTheme="minorHAnsi" w:hAnsi="Times New Roman" w:cs="Times New Roman"/>
          <w:sz w:val="28"/>
          <w:szCs w:val="28"/>
          <w:lang w:eastAsia="en-US"/>
        </w:rPr>
        <w:t>143,7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числе:</w:t>
      </w:r>
    </w:p>
    <w:p w:rsidR="00EA7676" w:rsidRPr="001239F1" w:rsidRDefault="00EA7676" w:rsidP="001239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передаваемые полномочия с уровня района в соответствии с заключенными соглашениями в сумме </w:t>
      </w:r>
      <w:r w:rsidR="00E71213">
        <w:rPr>
          <w:rFonts w:ascii="Times New Roman" w:eastAsiaTheme="minorHAnsi" w:hAnsi="Times New Roman" w:cs="Times New Roman"/>
          <w:sz w:val="28"/>
          <w:szCs w:val="28"/>
          <w:lang w:eastAsia="en-US"/>
        </w:rPr>
        <w:t>45,2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из них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44,5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на содержание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дорог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зимнее время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0,7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администрирование расходов в сфере дорожной деятельности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 кварталом 201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иные межбюджетные трансферты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увеличились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23,3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6,4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иных межбюджетных трансфертов в общем объеме безвозмездных поступлений 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9,0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</w:t>
      </w:r>
      <w:r w:rsidR="00BA31FE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A31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апреля 201</w:t>
      </w:r>
      <w:r w:rsidR="00BA31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676" w:rsidRPr="00F55FD7" w:rsidRDefault="00EA7676" w:rsidP="001239F1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F55FD7">
        <w:rPr>
          <w:sz w:val="28"/>
          <w:szCs w:val="28"/>
        </w:rPr>
        <w:t>Объем недоимки по налоговым доходам в разрезе источников  образования  п</w:t>
      </w:r>
      <w:r w:rsidR="001239F1">
        <w:rPr>
          <w:sz w:val="28"/>
          <w:szCs w:val="28"/>
        </w:rPr>
        <w:t>редставлен в следующей таблице.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55FD7">
        <w:rPr>
          <w:rFonts w:ascii="Times New Roman" w:hAnsi="Times New Roman" w:cs="Times New Roman"/>
        </w:rPr>
        <w:t xml:space="preserve">Таблица № 4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F55FD7">
        <w:rPr>
          <w:rFonts w:ascii="Times New Roman" w:hAnsi="Times New Roman" w:cs="Times New Roman"/>
        </w:rPr>
        <w:t xml:space="preserve">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EA7676" w:rsidRPr="00F55FD7" w:rsidTr="00EA7676">
        <w:trPr>
          <w:trHeight w:val="1985"/>
        </w:trPr>
        <w:tc>
          <w:tcPr>
            <w:tcW w:w="3227" w:type="dxa"/>
          </w:tcPr>
          <w:p w:rsidR="00EA7676" w:rsidRPr="009945B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EA7676" w:rsidRPr="009945B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</w:t>
            </w:r>
          </w:p>
          <w:p w:rsidR="00EA7676" w:rsidRPr="009945B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01.01.201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EA7676" w:rsidRPr="009945B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76" w:rsidRPr="009945BA" w:rsidRDefault="00EA7676" w:rsidP="00BA31F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01.01.201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EA7676" w:rsidRPr="009945BA" w:rsidRDefault="00EA7676" w:rsidP="00BA31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01.04.201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EA7676" w:rsidRPr="009945BA" w:rsidRDefault="00EA7676" w:rsidP="00BA31F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01.04.201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3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EA7676" w:rsidRPr="009945BA" w:rsidRDefault="00EA7676" w:rsidP="00BA31F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недоимки   на 01.01.201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от 01.01.201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(+увеличение;- уменьшение</w:t>
            </w:r>
          </w:p>
        </w:tc>
        <w:tc>
          <w:tcPr>
            <w:tcW w:w="993" w:type="dxa"/>
          </w:tcPr>
          <w:p w:rsidR="00EA7676" w:rsidRPr="009945BA" w:rsidRDefault="00EA7676" w:rsidP="00BA31F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недоимки на 01.04.201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от 01.04.201</w:t>
            </w:r>
            <w:r w:rsidR="00BA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(+-увеличение;- уменьшение)</w:t>
            </w:r>
          </w:p>
        </w:tc>
      </w:tr>
      <w:tr w:rsidR="00EA7676" w:rsidRPr="00F55FD7" w:rsidTr="00EA7676">
        <w:tc>
          <w:tcPr>
            <w:tcW w:w="3227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A7676" w:rsidRPr="00F55FD7" w:rsidRDefault="00EA7676" w:rsidP="00EA767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A7676" w:rsidRPr="00F55FD7" w:rsidRDefault="00EA7676" w:rsidP="00EA767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F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EA7676" w:rsidRPr="00F55FD7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31FE" w:rsidRPr="00F55FD7" w:rsidTr="00EA7676">
        <w:tc>
          <w:tcPr>
            <w:tcW w:w="3227" w:type="dxa"/>
          </w:tcPr>
          <w:p w:rsidR="00BA31FE" w:rsidRPr="00F55FD7" w:rsidRDefault="00BA31FE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31FE" w:rsidRPr="009945BA" w:rsidRDefault="00B338DC" w:rsidP="00EA7676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A31FE" w:rsidRPr="00F55FD7" w:rsidTr="00EA7676">
        <w:tc>
          <w:tcPr>
            <w:tcW w:w="3227" w:type="dxa"/>
          </w:tcPr>
          <w:p w:rsidR="00BA31FE" w:rsidRPr="00F55FD7" w:rsidRDefault="00BA31FE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992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  <w:tc>
          <w:tcPr>
            <w:tcW w:w="992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244,1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</w:tr>
      <w:tr w:rsidR="00BA31FE" w:rsidRPr="00F55FD7" w:rsidTr="00EA7676">
        <w:tc>
          <w:tcPr>
            <w:tcW w:w="3227" w:type="dxa"/>
          </w:tcPr>
          <w:p w:rsidR="00BA31FE" w:rsidRPr="00F55FD7" w:rsidRDefault="00BA31FE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92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3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BA31FE" w:rsidRPr="00F55FD7" w:rsidTr="00EA7676">
        <w:tc>
          <w:tcPr>
            <w:tcW w:w="3227" w:type="dxa"/>
          </w:tcPr>
          <w:p w:rsidR="00BA31FE" w:rsidRPr="009945BA" w:rsidRDefault="00BA31FE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и перерасчеты по отмененным налогам и сборам (имущество)</w:t>
            </w:r>
          </w:p>
        </w:tc>
        <w:tc>
          <w:tcPr>
            <w:tcW w:w="1134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-33,2</w:t>
            </w:r>
          </w:p>
        </w:tc>
        <w:tc>
          <w:tcPr>
            <w:tcW w:w="993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-33,2</w:t>
            </w:r>
          </w:p>
        </w:tc>
      </w:tr>
      <w:tr w:rsidR="00BA31FE" w:rsidRPr="00F55FD7" w:rsidTr="00EA7676">
        <w:tc>
          <w:tcPr>
            <w:tcW w:w="3227" w:type="dxa"/>
          </w:tcPr>
          <w:p w:rsidR="00BA31FE" w:rsidRPr="00F55FD7" w:rsidRDefault="00BA31FE" w:rsidP="00EA76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BA31FE" w:rsidRPr="009945BA" w:rsidRDefault="00BA31FE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4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4" w:type="dxa"/>
          </w:tcPr>
          <w:p w:rsidR="00BA31FE" w:rsidRPr="009945BA" w:rsidRDefault="00EE0FD1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3" w:type="dxa"/>
          </w:tcPr>
          <w:p w:rsidR="00BA31FE" w:rsidRPr="009945BA" w:rsidRDefault="00B338D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</w:tbl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79,0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41,4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, на 01.04.201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37,0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16,1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2C545E" w:rsidRPr="00F55FD7" w:rsidRDefault="002C545E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по налогу на доходы физических лиц на 1,1 тыс. рублей, или на 100,0 процентов;</w:t>
      </w:r>
    </w:p>
    <w:p w:rsidR="00EA7676" w:rsidRPr="00F55FD7" w:rsidRDefault="00EA7676" w:rsidP="00EA7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 xml:space="preserve">61,3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C545E">
        <w:rPr>
          <w:rFonts w:ascii="Times New Roman" w:hAnsi="Times New Roman" w:cs="Times New Roman"/>
          <w:color w:val="000000"/>
          <w:sz w:val="28"/>
          <w:szCs w:val="28"/>
        </w:rPr>
        <w:t>33,5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7676" w:rsidRDefault="00EA7676" w:rsidP="00EA7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по земельному налогу на </w:t>
      </w:r>
      <w:r w:rsidR="002C545E">
        <w:rPr>
          <w:rFonts w:ascii="Times New Roman" w:hAnsi="Times New Roman" w:cs="Times New Roman"/>
          <w:sz w:val="28"/>
          <w:szCs w:val="28"/>
        </w:rPr>
        <w:t xml:space="preserve">7,8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545E">
        <w:rPr>
          <w:rFonts w:ascii="Times New Roman" w:hAnsi="Times New Roman" w:cs="Times New Roman"/>
          <w:sz w:val="28"/>
          <w:szCs w:val="28"/>
        </w:rPr>
        <w:t>71,6 процента;</w:t>
      </w:r>
    </w:p>
    <w:p w:rsidR="002C545E" w:rsidRPr="00F55FD7" w:rsidRDefault="002C545E" w:rsidP="00EA7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45BA">
        <w:rPr>
          <w:rFonts w:ascii="Times New Roman" w:eastAsia="Times New Roman" w:hAnsi="Times New Roman" w:cs="Times New Roman"/>
          <w:sz w:val="28"/>
          <w:szCs w:val="28"/>
        </w:rPr>
        <w:t>адолженность и перерасчет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945BA">
        <w:rPr>
          <w:rFonts w:ascii="Times New Roman" w:eastAsia="Times New Roman" w:hAnsi="Times New Roman" w:cs="Times New Roman"/>
          <w:sz w:val="28"/>
          <w:szCs w:val="28"/>
        </w:rPr>
        <w:t xml:space="preserve"> по отмененным налогам и сборам (имущество)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на 33,2 тыс. рублей, или на 94,0 процента.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Из имеющихся данных на 01.04.201</w:t>
      </w:r>
      <w:r w:rsidR="0099034A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составляет налог на имущество  физических лиц – </w:t>
      </w:r>
      <w:r w:rsidR="0099034A">
        <w:rPr>
          <w:rFonts w:ascii="Times New Roman" w:hAnsi="Times New Roman" w:cs="Times New Roman"/>
          <w:sz w:val="28"/>
          <w:szCs w:val="28"/>
        </w:rPr>
        <w:t>87,3</w:t>
      </w:r>
      <w:r w:rsidRPr="00F55FD7">
        <w:rPr>
          <w:rFonts w:ascii="Times New Roman" w:hAnsi="Times New Roman" w:cs="Times New Roman"/>
          <w:sz w:val="28"/>
          <w:szCs w:val="28"/>
        </w:rPr>
        <w:t xml:space="preserve">  % от общей суммы недоимки, на втором</w:t>
      </w:r>
      <w:r>
        <w:rPr>
          <w:rFonts w:ascii="Times New Roman" w:hAnsi="Times New Roman" w:cs="Times New Roman"/>
          <w:sz w:val="28"/>
          <w:szCs w:val="28"/>
        </w:rPr>
        <w:t xml:space="preserve"> и последнем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месте 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по земельному налогу –</w:t>
      </w:r>
      <w:r w:rsidR="0099034A">
        <w:rPr>
          <w:rFonts w:ascii="Times New Roman" w:hAnsi="Times New Roman" w:cs="Times New Roman"/>
          <w:sz w:val="28"/>
          <w:szCs w:val="28"/>
        </w:rPr>
        <w:t>11,1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Pr="00F55FD7" w:rsidRDefault="00EA7676" w:rsidP="00EA7676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EA7676" w:rsidRPr="00F55FD7" w:rsidRDefault="00EA7676" w:rsidP="001239F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EA7676" w:rsidRPr="00645041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3A70B2">
        <w:rPr>
          <w:rFonts w:ascii="Times New Roman" w:hAnsi="Times New Roman" w:cs="Times New Roman"/>
          <w:sz w:val="28"/>
          <w:szCs w:val="28"/>
        </w:rPr>
        <w:t xml:space="preserve"> Расходы бюджета поселения за 1 квартал 201</w:t>
      </w:r>
      <w:r w:rsidR="00760798">
        <w:rPr>
          <w:rFonts w:ascii="Times New Roman" w:hAnsi="Times New Roman" w:cs="Times New Roman"/>
          <w:sz w:val="28"/>
          <w:szCs w:val="28"/>
        </w:rPr>
        <w:t>7</w:t>
      </w:r>
      <w:r w:rsidRPr="003A70B2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60798">
        <w:rPr>
          <w:rFonts w:ascii="Times New Roman" w:hAnsi="Times New Roman" w:cs="Times New Roman"/>
          <w:sz w:val="28"/>
          <w:szCs w:val="28"/>
        </w:rPr>
        <w:t>543,4</w:t>
      </w:r>
      <w:r w:rsidRPr="003A70B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0798">
        <w:rPr>
          <w:rFonts w:ascii="Times New Roman" w:hAnsi="Times New Roman" w:cs="Times New Roman"/>
          <w:sz w:val="28"/>
          <w:szCs w:val="28"/>
        </w:rPr>
        <w:t>17,5</w:t>
      </w:r>
      <w:r w:rsidRPr="003A70B2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760798">
        <w:rPr>
          <w:rFonts w:ascii="Times New Roman" w:hAnsi="Times New Roman" w:cs="Times New Roman"/>
          <w:sz w:val="28"/>
          <w:szCs w:val="28"/>
        </w:rPr>
        <w:t>3096,6</w:t>
      </w:r>
      <w:r w:rsidRPr="003A70B2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760798">
        <w:rPr>
          <w:rFonts w:ascii="Times New Roman" w:hAnsi="Times New Roman" w:cs="Times New Roman"/>
          <w:sz w:val="28"/>
          <w:szCs w:val="28"/>
        </w:rPr>
        <w:t>6</w:t>
      </w:r>
      <w:r w:rsidRPr="003A70B2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645041" w:rsidRPr="00645041">
        <w:rPr>
          <w:rFonts w:ascii="Times New Roman" w:hAnsi="Times New Roman" w:cs="Times New Roman"/>
          <w:sz w:val="28"/>
          <w:szCs w:val="28"/>
        </w:rPr>
        <w:t>увеличились</w:t>
      </w:r>
      <w:r w:rsidRPr="00645041">
        <w:rPr>
          <w:rFonts w:ascii="Times New Roman" w:hAnsi="Times New Roman" w:cs="Times New Roman"/>
          <w:sz w:val="28"/>
          <w:szCs w:val="28"/>
        </w:rPr>
        <w:t xml:space="preserve">  на </w:t>
      </w:r>
      <w:r w:rsidR="00645041" w:rsidRPr="00645041">
        <w:rPr>
          <w:rFonts w:ascii="Times New Roman" w:hAnsi="Times New Roman" w:cs="Times New Roman"/>
          <w:sz w:val="28"/>
          <w:szCs w:val="28"/>
        </w:rPr>
        <w:t>45,7</w:t>
      </w:r>
      <w:r w:rsidRPr="00645041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45041" w:rsidRPr="00645041">
        <w:rPr>
          <w:rFonts w:ascii="Times New Roman" w:hAnsi="Times New Roman" w:cs="Times New Roman"/>
          <w:sz w:val="28"/>
          <w:szCs w:val="28"/>
        </w:rPr>
        <w:t>9,2</w:t>
      </w:r>
      <w:r w:rsidRPr="00645041">
        <w:rPr>
          <w:rFonts w:ascii="Times New Roman" w:hAnsi="Times New Roman" w:cs="Times New Roman"/>
          <w:sz w:val="28"/>
          <w:szCs w:val="28"/>
        </w:rPr>
        <w:t>%).</w:t>
      </w:r>
    </w:p>
    <w:p w:rsidR="00EA7676" w:rsidRPr="00645041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кварталом 201</w:t>
      </w:r>
      <w:r w:rsidR="0064504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45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EA7676" w:rsidRPr="00645041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EA7676" w:rsidRPr="00645041" w:rsidRDefault="00EA7676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64504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тыс. руб.</w:t>
      </w:r>
    </w:p>
    <w:p w:rsidR="00EA7676" w:rsidRPr="00645041" w:rsidRDefault="006E46DA" w:rsidP="00EA7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4F167162" wp14:editId="069C7AE7">
            <wp:extent cx="5953125" cy="4543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Бюджет поселения за 1 квартал 201</w:t>
      </w:r>
      <w:r w:rsidR="006E46DA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 является социально направленным, так как 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бюджета поселения на социальную сферу составили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E46DA">
        <w:rPr>
          <w:rFonts w:ascii="Times New Roman" w:hAnsi="Times New Roman" w:cs="Times New Roman"/>
          <w:sz w:val="28"/>
          <w:szCs w:val="28"/>
        </w:rPr>
        <w:t>95,0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46DA">
        <w:rPr>
          <w:rFonts w:ascii="Times New Roman" w:hAnsi="Times New Roman" w:cs="Times New Roman"/>
          <w:sz w:val="28"/>
          <w:szCs w:val="28"/>
        </w:rPr>
        <w:t>17,5</w:t>
      </w:r>
      <w:r w:rsidRPr="00F55FD7"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с 1 кварталом 201</w:t>
      </w:r>
      <w:r w:rsidR="006E46DA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расходы н</w:t>
      </w:r>
      <w:r>
        <w:rPr>
          <w:rFonts w:ascii="Times New Roman" w:hAnsi="Times New Roman" w:cs="Times New Roman"/>
          <w:sz w:val="28"/>
          <w:szCs w:val="28"/>
        </w:rPr>
        <w:t xml:space="preserve">а социальную сферу  </w:t>
      </w:r>
      <w:r w:rsidR="006E46DA">
        <w:rPr>
          <w:rFonts w:ascii="Times New Roman" w:hAnsi="Times New Roman" w:cs="Times New Roman"/>
          <w:sz w:val="28"/>
          <w:szCs w:val="28"/>
        </w:rPr>
        <w:t xml:space="preserve">незначительно увеличились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A91442">
        <w:rPr>
          <w:rFonts w:ascii="Times New Roman" w:hAnsi="Times New Roman" w:cs="Times New Roman"/>
          <w:sz w:val="28"/>
          <w:szCs w:val="28"/>
        </w:rPr>
        <w:t>8,0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442">
        <w:rPr>
          <w:rFonts w:ascii="Times New Roman" w:hAnsi="Times New Roman" w:cs="Times New Roman"/>
          <w:sz w:val="28"/>
          <w:szCs w:val="28"/>
        </w:rPr>
        <w:t>9,2</w:t>
      </w:r>
      <w:r w:rsidRPr="00F55FD7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42">
        <w:rPr>
          <w:rFonts w:ascii="Times New Roman" w:hAnsi="Times New Roman" w:cs="Times New Roman"/>
          <w:sz w:val="28"/>
          <w:szCs w:val="28"/>
        </w:rPr>
        <w:t xml:space="preserve">осталась без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</w:t>
      </w:r>
      <w:r>
        <w:rPr>
          <w:rFonts w:ascii="Times New Roman" w:hAnsi="Times New Roman" w:cs="Times New Roman"/>
          <w:sz w:val="28"/>
          <w:szCs w:val="28"/>
        </w:rPr>
        <w:t>бщегосударственные вопросы»-</w:t>
      </w:r>
      <w:r w:rsidR="00A91442">
        <w:rPr>
          <w:rFonts w:ascii="Times New Roman" w:hAnsi="Times New Roman" w:cs="Times New Roman"/>
          <w:sz w:val="28"/>
          <w:szCs w:val="28"/>
        </w:rPr>
        <w:t xml:space="preserve"> 66,1 </w:t>
      </w:r>
      <w:r w:rsidRPr="00F55FD7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- </w:t>
      </w:r>
      <w:r w:rsidR="00A91442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F55FD7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A91442">
        <w:rPr>
          <w:rFonts w:ascii="Times New Roman" w:hAnsi="Times New Roman" w:cs="Times New Roman"/>
          <w:sz w:val="28"/>
          <w:szCs w:val="28"/>
        </w:rPr>
        <w:t>экономика</w:t>
      </w:r>
      <w:r w:rsidRPr="00F55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1442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55FD7">
        <w:rPr>
          <w:rFonts w:ascii="Times New Roman" w:hAnsi="Times New Roman" w:cs="Times New Roman"/>
          <w:sz w:val="28"/>
          <w:szCs w:val="28"/>
        </w:rPr>
        <w:t xml:space="preserve">, «Национальная </w:t>
      </w:r>
      <w:r w:rsidR="00A91442">
        <w:rPr>
          <w:rFonts w:ascii="Times New Roman" w:hAnsi="Times New Roman" w:cs="Times New Roman"/>
          <w:sz w:val="28"/>
          <w:szCs w:val="28"/>
        </w:rPr>
        <w:t>оборона</w:t>
      </w:r>
      <w:r w:rsidRPr="00F55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- 3,7%.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долю расходов по разделам «Жилищно-коммунальное хозяйство»</w:t>
      </w:r>
      <w:r w:rsidR="00BF26D8">
        <w:rPr>
          <w:rFonts w:ascii="Times New Roman" w:hAnsi="Times New Roman" w:cs="Times New Roman"/>
          <w:sz w:val="28"/>
          <w:szCs w:val="28"/>
        </w:rPr>
        <w:t xml:space="preserve"> и</w:t>
      </w:r>
      <w:r w:rsidRPr="00F55FD7">
        <w:rPr>
          <w:rFonts w:ascii="Times New Roman" w:hAnsi="Times New Roman" w:cs="Times New Roman"/>
          <w:sz w:val="28"/>
          <w:szCs w:val="28"/>
        </w:rPr>
        <w:t xml:space="preserve"> «</w:t>
      </w:r>
      <w:r w:rsidR="00A91442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F55FD7">
        <w:rPr>
          <w:rFonts w:ascii="Times New Roman" w:hAnsi="Times New Roman" w:cs="Times New Roman"/>
          <w:sz w:val="28"/>
          <w:szCs w:val="28"/>
        </w:rPr>
        <w:t xml:space="preserve">»  приходится </w:t>
      </w:r>
      <w:r w:rsidR="00A91442">
        <w:rPr>
          <w:rFonts w:ascii="Times New Roman" w:hAnsi="Times New Roman" w:cs="Times New Roman"/>
          <w:sz w:val="28"/>
          <w:szCs w:val="28"/>
        </w:rPr>
        <w:t>4,5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</w:t>
      </w:r>
      <w:r w:rsidR="00A91442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EA7676" w:rsidRDefault="00A91442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AF087A" wp14:editId="6AD2F41C">
            <wp:extent cx="6115050" cy="3981450"/>
            <wp:effectExtent l="0" t="0" r="571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D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не производились расходы, предусмотренные решением о бюджете, по разделам </w:t>
      </w:r>
      <w:r w:rsidR="003B4F9D" w:rsidRPr="00F55FD7">
        <w:rPr>
          <w:rFonts w:ascii="Times New Roman" w:hAnsi="Times New Roman" w:cs="Times New Roman"/>
          <w:sz w:val="28"/>
          <w:szCs w:val="28"/>
        </w:rPr>
        <w:t>«Образование»</w:t>
      </w:r>
      <w:r w:rsidR="003B4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3B4F9D">
        <w:rPr>
          <w:rFonts w:ascii="Times New Roman" w:hAnsi="Times New Roman" w:cs="Times New Roman"/>
          <w:sz w:val="28"/>
          <w:szCs w:val="28"/>
        </w:rPr>
        <w:t xml:space="preserve"> и «Физическая культура и спорт»</w:t>
      </w:r>
      <w:r w:rsidRPr="00F55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676" w:rsidRPr="00CE7E27" w:rsidRDefault="00EA7676" w:rsidP="003B4F9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 молодежной политике и оздоровле</w:t>
      </w:r>
      <w:r>
        <w:rPr>
          <w:rFonts w:ascii="Times New Roman" w:hAnsi="Times New Roman" w:cs="Times New Roman"/>
          <w:sz w:val="28"/>
          <w:szCs w:val="28"/>
        </w:rPr>
        <w:t>нию детей,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3B4F9D">
        <w:rPr>
          <w:rFonts w:ascii="Times New Roman" w:hAnsi="Times New Roman" w:cs="Times New Roman"/>
          <w:sz w:val="28"/>
          <w:szCs w:val="28"/>
        </w:rPr>
        <w:t>на ЕДК  работникам культуры и на мероприятия по  массовому спорту.</w:t>
      </w:r>
    </w:p>
    <w:p w:rsidR="00EA7676" w:rsidRDefault="00EA7676" w:rsidP="005B1D5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По разделам классификации расходо</w:t>
      </w:r>
      <w:r w:rsidR="005B1D59">
        <w:rPr>
          <w:rFonts w:ascii="Times New Roman" w:hAnsi="Times New Roman" w:cs="Times New Roman"/>
          <w:sz w:val="28"/>
          <w:szCs w:val="28"/>
        </w:rPr>
        <w:t>в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, «Жилищно-коммунальное хозяйство», </w:t>
      </w:r>
      <w:r w:rsidRPr="00F55FD7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уровень исполнения к годовым назначениям </w:t>
      </w:r>
      <w:r w:rsidR="005B1D59">
        <w:rPr>
          <w:rFonts w:ascii="Times New Roman" w:hAnsi="Times New Roman" w:cs="Times New Roman"/>
          <w:sz w:val="28"/>
          <w:szCs w:val="28"/>
        </w:rPr>
        <w:t>ниже 25 процентов.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45041" w:rsidRPr="00F55FD7" w:rsidRDefault="00645041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59" w:rsidRDefault="005B1D59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59" w:rsidRPr="00F55FD7" w:rsidRDefault="005B1D59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B67EA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7EA">
        <w:rPr>
          <w:rFonts w:ascii="Times New Roman" w:hAnsi="Times New Roman" w:cs="Times New Roman"/>
          <w:sz w:val="24"/>
          <w:szCs w:val="24"/>
        </w:rPr>
        <w:t>Таблица 5</w:t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67EA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EA7676" w:rsidRPr="00FB67EA" w:rsidTr="00760798">
        <w:trPr>
          <w:trHeight w:val="970"/>
        </w:trPr>
        <w:tc>
          <w:tcPr>
            <w:tcW w:w="2274" w:type="dxa"/>
          </w:tcPr>
          <w:p w:rsidR="00EA7676" w:rsidRPr="00FB67E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12" w:type="dxa"/>
          </w:tcPr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 в   1 квартале </w:t>
            </w:r>
          </w:p>
          <w:p w:rsidR="00EA7676" w:rsidRPr="00FB67EA" w:rsidRDefault="00EA7676" w:rsidP="00760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607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23" w:type="dxa"/>
          </w:tcPr>
          <w:p w:rsidR="00EA7676" w:rsidRPr="00FB67EA" w:rsidRDefault="00EA7676" w:rsidP="00760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</w:t>
            </w:r>
            <w:r w:rsidR="00760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2" w:type="dxa"/>
          </w:tcPr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в 1</w:t>
            </w:r>
          </w:p>
          <w:p w:rsidR="00EA7676" w:rsidRPr="00FB67EA" w:rsidRDefault="00EA7676" w:rsidP="007607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квартале 201</w:t>
            </w:r>
            <w:r w:rsidR="007607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</w:tcPr>
          <w:p w:rsidR="00EA7676" w:rsidRPr="00FB67E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EA7676" w:rsidRPr="00FB67E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343" w:type="dxa"/>
          </w:tcPr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1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 201</w:t>
            </w:r>
            <w:r w:rsidR="007607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года от 1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 201</w:t>
            </w:r>
            <w:r w:rsidR="007607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EA7676" w:rsidRPr="00FB67EA" w:rsidRDefault="00EA7676" w:rsidP="00EA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 уровню 1</w:t>
            </w:r>
          </w:p>
          <w:p w:rsidR="00EA7676" w:rsidRPr="00FB67EA" w:rsidRDefault="00EA7676" w:rsidP="00EA76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</w:t>
            </w:r>
          </w:p>
          <w:p w:rsidR="00EA7676" w:rsidRPr="00FB67EA" w:rsidRDefault="00EA7676" w:rsidP="00760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607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1498,7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0798" w:rsidRPr="00F55FD7" w:rsidTr="00760798">
        <w:trPr>
          <w:trHeight w:val="540"/>
        </w:trPr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0798" w:rsidRPr="00F55FD7" w:rsidTr="00760798">
        <w:tc>
          <w:tcPr>
            <w:tcW w:w="2274" w:type="dxa"/>
          </w:tcPr>
          <w:p w:rsidR="00760798" w:rsidRPr="00FB67EA" w:rsidRDefault="00760798" w:rsidP="00EA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12" w:type="dxa"/>
          </w:tcPr>
          <w:p w:rsidR="00760798" w:rsidRPr="00FB67EA" w:rsidRDefault="00760798" w:rsidP="00ED4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497,7</w:t>
            </w:r>
          </w:p>
        </w:tc>
        <w:tc>
          <w:tcPr>
            <w:tcW w:w="1323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3096,6</w:t>
            </w:r>
          </w:p>
        </w:tc>
        <w:tc>
          <w:tcPr>
            <w:tcW w:w="1212" w:type="dxa"/>
          </w:tcPr>
          <w:p w:rsidR="00760798" w:rsidRPr="00FB67EA" w:rsidRDefault="0039345C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543,4</w:t>
            </w:r>
          </w:p>
        </w:tc>
        <w:tc>
          <w:tcPr>
            <w:tcW w:w="1277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343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1212" w:type="dxa"/>
          </w:tcPr>
          <w:p w:rsidR="00760798" w:rsidRPr="00FB67EA" w:rsidRDefault="00ED668F" w:rsidP="00EA767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109,2</w:t>
            </w:r>
          </w:p>
        </w:tc>
      </w:tr>
    </w:tbl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Pr="00F55FD7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D59">
        <w:rPr>
          <w:rFonts w:ascii="Times New Roman" w:hAnsi="Times New Roman" w:cs="Times New Roman"/>
          <w:sz w:val="28"/>
          <w:szCs w:val="28"/>
        </w:rPr>
        <w:t>359,4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D59">
        <w:rPr>
          <w:rFonts w:ascii="Times New Roman" w:hAnsi="Times New Roman" w:cs="Times New Roman"/>
          <w:sz w:val="28"/>
          <w:szCs w:val="28"/>
        </w:rPr>
        <w:t>24,0</w:t>
      </w:r>
      <w:r w:rsidRPr="00F55FD7">
        <w:rPr>
          <w:rFonts w:ascii="Times New Roman" w:hAnsi="Times New Roman" w:cs="Times New Roman"/>
          <w:sz w:val="28"/>
          <w:szCs w:val="28"/>
        </w:rPr>
        <w:t>% к годовым назначениям. По сравнению с 1 кварталом 201</w:t>
      </w:r>
      <w:r w:rsidR="005B1D59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5B1D59">
        <w:rPr>
          <w:rFonts w:ascii="Times New Roman" w:hAnsi="Times New Roman" w:cs="Times New Roman"/>
          <w:sz w:val="28"/>
          <w:szCs w:val="28"/>
        </w:rPr>
        <w:t>3,1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на функционирование высшего должностного лица -</w:t>
      </w:r>
      <w:r w:rsidR="005B1D59">
        <w:rPr>
          <w:rFonts w:ascii="Times New Roman" w:hAnsi="Times New Roman" w:cs="Times New Roman"/>
          <w:sz w:val="28"/>
          <w:szCs w:val="28"/>
        </w:rPr>
        <w:t>106,9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на функционирование администрации -</w:t>
      </w:r>
      <w:r w:rsidR="005B1D59">
        <w:rPr>
          <w:rFonts w:ascii="Times New Roman" w:hAnsi="Times New Roman" w:cs="Times New Roman"/>
          <w:sz w:val="28"/>
          <w:szCs w:val="28"/>
        </w:rPr>
        <w:t>252,5 тыс. рублей, из них: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FD7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внешнему муниципальному финансовому контролю -</w:t>
      </w:r>
      <w:r w:rsidR="005B1D59">
        <w:rPr>
          <w:rFonts w:ascii="Times New Roman" w:hAnsi="Times New Roman" w:cs="Times New Roman"/>
          <w:sz w:val="28"/>
          <w:szCs w:val="28"/>
        </w:rPr>
        <w:t>10,4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676" w:rsidRDefault="005B1D59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FD7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</w:t>
      </w:r>
      <w:r>
        <w:rPr>
          <w:rFonts w:ascii="Times New Roman" w:hAnsi="Times New Roman" w:cs="Times New Roman"/>
          <w:sz w:val="28"/>
          <w:szCs w:val="28"/>
        </w:rPr>
        <w:t xml:space="preserve">нутреннему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муниципальному финансовому контролю -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5B1D59">
        <w:rPr>
          <w:rFonts w:ascii="Times New Roman" w:hAnsi="Times New Roman" w:cs="Times New Roman"/>
          <w:sz w:val="28"/>
          <w:szCs w:val="28"/>
        </w:rPr>
        <w:t xml:space="preserve"> на </w:t>
      </w:r>
      <w:r w:rsidR="00E10603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и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поселения в 1 квартале не расходовались.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F55FD7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F55FD7">
        <w:rPr>
          <w:rFonts w:ascii="Times New Roman" w:hAnsi="Times New Roman" w:cs="Times New Roman"/>
          <w:sz w:val="28"/>
          <w:szCs w:val="28"/>
        </w:rPr>
        <w:t xml:space="preserve">» - </w:t>
      </w:r>
      <w:r w:rsidR="00E10603">
        <w:rPr>
          <w:rFonts w:ascii="Times New Roman" w:hAnsi="Times New Roman" w:cs="Times New Roman"/>
          <w:sz w:val="28"/>
          <w:szCs w:val="28"/>
        </w:rPr>
        <w:t>20,0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0603">
        <w:rPr>
          <w:rFonts w:ascii="Times New Roman" w:hAnsi="Times New Roman" w:cs="Times New Roman"/>
          <w:sz w:val="28"/>
          <w:szCs w:val="28"/>
        </w:rPr>
        <w:t>25,0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кварталом 201</w:t>
      </w:r>
      <w:r w:rsidR="00E10603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10603">
        <w:rPr>
          <w:rFonts w:ascii="Times New Roman" w:hAnsi="Times New Roman" w:cs="Times New Roman"/>
          <w:sz w:val="28"/>
          <w:szCs w:val="28"/>
        </w:rPr>
        <w:t>снизились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E10603">
        <w:rPr>
          <w:rFonts w:ascii="Times New Roman" w:hAnsi="Times New Roman" w:cs="Times New Roman"/>
          <w:sz w:val="28"/>
          <w:szCs w:val="28"/>
        </w:rPr>
        <w:t>2,7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10603">
        <w:rPr>
          <w:rFonts w:ascii="Times New Roman" w:hAnsi="Times New Roman" w:cs="Times New Roman"/>
          <w:sz w:val="28"/>
          <w:szCs w:val="28"/>
        </w:rPr>
        <w:t>11,9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 Средства направлены на осуществление первичного воинского учета в </w:t>
      </w:r>
      <w:r w:rsidR="00E10603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F55FD7">
        <w:rPr>
          <w:rFonts w:ascii="Times New Roman" w:hAnsi="Times New Roman" w:cs="Times New Roman"/>
          <w:sz w:val="28"/>
          <w:szCs w:val="28"/>
        </w:rPr>
        <w:t>поселении.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lastRenderedPageBreak/>
        <w:t>«Национальная безопасность и правоохранительная деятельность»</w:t>
      </w:r>
      <w:r w:rsidRPr="00F55FD7">
        <w:rPr>
          <w:rFonts w:ascii="Times New Roman" w:hAnsi="Times New Roman" w:cs="Times New Roman"/>
          <w:sz w:val="28"/>
          <w:szCs w:val="28"/>
        </w:rPr>
        <w:t>- расходы в 1 квартале 201</w:t>
      </w:r>
      <w:r w:rsidR="00E10603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0603">
        <w:rPr>
          <w:rFonts w:ascii="Times New Roman" w:hAnsi="Times New Roman" w:cs="Times New Roman"/>
          <w:sz w:val="28"/>
          <w:szCs w:val="28"/>
        </w:rPr>
        <w:t xml:space="preserve"> составили 6,5 тыс. рублей, или 65,0% к годовым бюджетным назначениям. За аналогичный период 2016 года расходы по данному разделу </w:t>
      </w:r>
      <w:r w:rsidRPr="00F55FD7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F55FD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E10603">
        <w:rPr>
          <w:rFonts w:ascii="Times New Roman" w:hAnsi="Times New Roman" w:cs="Times New Roman"/>
          <w:sz w:val="28"/>
          <w:szCs w:val="28"/>
        </w:rPr>
        <w:t>44,5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10603">
        <w:rPr>
          <w:rFonts w:ascii="Times New Roman" w:hAnsi="Times New Roman" w:cs="Times New Roman"/>
          <w:sz w:val="28"/>
          <w:szCs w:val="28"/>
        </w:rPr>
        <w:t>27,8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E106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E10603">
        <w:rPr>
          <w:rFonts w:ascii="Times New Roman" w:hAnsi="Times New Roman" w:cs="Times New Roman"/>
          <w:sz w:val="28"/>
          <w:szCs w:val="28"/>
        </w:rPr>
        <w:t xml:space="preserve">увеличились  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E10603">
        <w:rPr>
          <w:rFonts w:ascii="Times New Roman" w:hAnsi="Times New Roman" w:cs="Times New Roman"/>
          <w:sz w:val="28"/>
          <w:szCs w:val="28"/>
        </w:rPr>
        <w:t>25,8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603">
        <w:rPr>
          <w:rFonts w:ascii="Times New Roman" w:hAnsi="Times New Roman" w:cs="Times New Roman"/>
          <w:sz w:val="28"/>
          <w:szCs w:val="28"/>
        </w:rPr>
        <w:t>тыс. рублей (в 2,3 раза</w:t>
      </w:r>
      <w:r w:rsidRPr="00F55FD7">
        <w:rPr>
          <w:rFonts w:ascii="Times New Roman" w:hAnsi="Times New Roman" w:cs="Times New Roman"/>
          <w:sz w:val="28"/>
          <w:szCs w:val="28"/>
        </w:rPr>
        <w:t>).</w:t>
      </w:r>
      <w:r w:rsidR="00E10603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Средства направлены на содержание  муниципальных автомобильных дорог поселения</w:t>
      </w:r>
      <w:r w:rsidR="00E10603"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CD2547">
        <w:rPr>
          <w:rFonts w:ascii="Times New Roman" w:hAnsi="Times New Roman" w:cs="Times New Roman"/>
          <w:sz w:val="28"/>
          <w:szCs w:val="28"/>
        </w:rPr>
        <w:t xml:space="preserve">, по подразделу </w:t>
      </w:r>
      <w:r w:rsidR="00CD2547" w:rsidRPr="00CD2547">
        <w:rPr>
          <w:rFonts w:ascii="Times New Roman" w:hAnsi="Times New Roman" w:cs="Times New Roman"/>
          <w:i/>
          <w:sz w:val="28"/>
          <w:szCs w:val="28"/>
        </w:rPr>
        <w:t>«Благоустройство»</w:t>
      </w:r>
      <w:r w:rsidRPr="00F55FD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25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2547">
        <w:rPr>
          <w:rFonts w:ascii="Times New Roman" w:hAnsi="Times New Roman" w:cs="Times New Roman"/>
          <w:sz w:val="28"/>
          <w:szCs w:val="28"/>
        </w:rPr>
        <w:t>2,5</w:t>
      </w:r>
      <w:r w:rsidRPr="00F55FD7">
        <w:rPr>
          <w:rFonts w:ascii="Times New Roman" w:hAnsi="Times New Roman" w:cs="Times New Roman"/>
          <w:sz w:val="28"/>
          <w:szCs w:val="28"/>
        </w:rPr>
        <w:t>% к годовым назначениям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оплату уличного освещения на территории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По сравнению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кварталом 201</w:t>
      </w:r>
      <w:r w:rsidR="00CD2547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 </w:t>
      </w:r>
      <w:r w:rsidR="00CD2547">
        <w:rPr>
          <w:rFonts w:ascii="Times New Roman" w:hAnsi="Times New Roman" w:cs="Times New Roman"/>
          <w:sz w:val="28"/>
          <w:szCs w:val="28"/>
        </w:rPr>
        <w:t>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2547">
        <w:rPr>
          <w:rFonts w:ascii="Times New Roman" w:hAnsi="Times New Roman" w:cs="Times New Roman"/>
          <w:sz w:val="28"/>
          <w:szCs w:val="28"/>
        </w:rPr>
        <w:t>на 38,5%</w:t>
      </w:r>
      <w:r w:rsidRPr="00F55FD7">
        <w:rPr>
          <w:rFonts w:ascii="Times New Roman" w:hAnsi="Times New Roman" w:cs="Times New Roman"/>
          <w:sz w:val="28"/>
          <w:szCs w:val="28"/>
        </w:rPr>
        <w:t>).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F55FD7">
        <w:rPr>
          <w:rFonts w:ascii="Times New Roman" w:hAnsi="Times New Roman" w:cs="Times New Roman"/>
          <w:sz w:val="28"/>
          <w:szCs w:val="28"/>
        </w:rPr>
        <w:t xml:space="preserve"> - расходы в 1 квартале 201</w:t>
      </w:r>
      <w:r w:rsidR="00CD2547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F55FD7">
        <w:rPr>
          <w:rFonts w:ascii="Times New Roman" w:hAnsi="Times New Roman" w:cs="Times New Roman"/>
          <w:sz w:val="28"/>
          <w:szCs w:val="28"/>
        </w:rPr>
        <w:t>-</w:t>
      </w:r>
      <w:r w:rsidR="00CD2547">
        <w:rPr>
          <w:rFonts w:ascii="Times New Roman" w:hAnsi="Times New Roman" w:cs="Times New Roman"/>
          <w:sz w:val="28"/>
          <w:szCs w:val="28"/>
        </w:rPr>
        <w:t xml:space="preserve"> 95,0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D2547">
        <w:rPr>
          <w:rFonts w:ascii="Times New Roman" w:hAnsi="Times New Roman" w:cs="Times New Roman"/>
          <w:sz w:val="28"/>
          <w:szCs w:val="28"/>
        </w:rPr>
        <w:t>17,9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CD2547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547">
        <w:rPr>
          <w:rFonts w:ascii="Times New Roman" w:hAnsi="Times New Roman" w:cs="Times New Roman"/>
          <w:sz w:val="28"/>
          <w:szCs w:val="28"/>
        </w:rPr>
        <w:t>величились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15,0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2547">
        <w:rPr>
          <w:rFonts w:ascii="Times New Roman" w:hAnsi="Times New Roman" w:cs="Times New Roman"/>
          <w:sz w:val="28"/>
          <w:szCs w:val="28"/>
        </w:rPr>
        <w:t>18,8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CD2547">
        <w:rPr>
          <w:rFonts w:ascii="Times New Roman" w:hAnsi="Times New Roman" w:cs="Times New Roman"/>
          <w:sz w:val="28"/>
          <w:szCs w:val="28"/>
        </w:rPr>
        <w:t>95,0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2547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>%),  р</w:t>
      </w:r>
      <w:r w:rsidRPr="00F55FD7">
        <w:rPr>
          <w:rFonts w:ascii="Times New Roman" w:hAnsi="Times New Roman" w:cs="Times New Roman"/>
          <w:sz w:val="28"/>
          <w:szCs w:val="28"/>
        </w:rPr>
        <w:t>асходы производились на финансовое обеспечение муниципального задания МБУК «</w:t>
      </w:r>
      <w:r>
        <w:rPr>
          <w:rFonts w:ascii="Times New Roman" w:hAnsi="Times New Roman" w:cs="Times New Roman"/>
          <w:sz w:val="28"/>
          <w:szCs w:val="28"/>
        </w:rPr>
        <w:t>Шейбухтовский</w:t>
      </w:r>
      <w:r w:rsidRPr="00F55FD7">
        <w:rPr>
          <w:rFonts w:ascii="Times New Roman" w:hAnsi="Times New Roman" w:cs="Times New Roman"/>
          <w:sz w:val="28"/>
          <w:szCs w:val="28"/>
        </w:rPr>
        <w:t xml:space="preserve">  Дом культуры» в сумме </w:t>
      </w:r>
      <w:r w:rsidR="00CD2547">
        <w:rPr>
          <w:rFonts w:ascii="Times New Roman" w:hAnsi="Times New Roman" w:cs="Times New Roman"/>
          <w:sz w:val="28"/>
          <w:szCs w:val="28"/>
        </w:rPr>
        <w:t>95,0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5FD7">
        <w:rPr>
          <w:rFonts w:ascii="Times New Roman" w:hAnsi="Times New Roman" w:cs="Times New Roman"/>
          <w:sz w:val="28"/>
          <w:szCs w:val="28"/>
        </w:rPr>
        <w:t>расходы в 1 квартале 201</w:t>
      </w:r>
      <w:r w:rsidR="00CD2547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EA7676" w:rsidRDefault="00EA7676" w:rsidP="00CD25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E7392">
        <w:rPr>
          <w:rFonts w:ascii="Times New Roman" w:hAnsi="Times New Roman" w:cs="Times New Roman"/>
          <w:i/>
          <w:sz w:val="28"/>
          <w:szCs w:val="28"/>
        </w:rPr>
        <w:t xml:space="preserve">   «Физическая культура и спорт»</w:t>
      </w:r>
      <w:r w:rsidRPr="007E7392">
        <w:rPr>
          <w:rFonts w:ascii="Times New Roman" w:hAnsi="Times New Roman" w:cs="Times New Roman"/>
          <w:sz w:val="28"/>
          <w:szCs w:val="28"/>
        </w:rPr>
        <w:t xml:space="preserve"> - </w:t>
      </w:r>
      <w:r w:rsidR="00CD2547" w:rsidRPr="00F55FD7">
        <w:rPr>
          <w:rFonts w:ascii="Times New Roman" w:hAnsi="Times New Roman" w:cs="Times New Roman"/>
          <w:sz w:val="28"/>
          <w:szCs w:val="28"/>
        </w:rPr>
        <w:t>расходы в 1 квартале 201</w:t>
      </w:r>
      <w:r w:rsidR="00CD2547">
        <w:rPr>
          <w:rFonts w:ascii="Times New Roman" w:hAnsi="Times New Roman" w:cs="Times New Roman"/>
          <w:sz w:val="28"/>
          <w:szCs w:val="28"/>
        </w:rPr>
        <w:t>7</w:t>
      </w:r>
      <w:r w:rsidR="00CD2547" w:rsidRPr="00F55FD7">
        <w:rPr>
          <w:rFonts w:ascii="Times New Roman" w:hAnsi="Times New Roman" w:cs="Times New Roman"/>
          <w:sz w:val="28"/>
          <w:szCs w:val="28"/>
        </w:rPr>
        <w:t xml:space="preserve"> года не осуществляли</w:t>
      </w:r>
      <w:r w:rsidR="00CD2547">
        <w:rPr>
          <w:rFonts w:ascii="Times New Roman" w:hAnsi="Times New Roman" w:cs="Times New Roman"/>
          <w:sz w:val="28"/>
          <w:szCs w:val="28"/>
        </w:rPr>
        <w:t xml:space="preserve">сь. За  аналогичные период </w:t>
      </w:r>
      <w:r w:rsidR="009E22DA">
        <w:rPr>
          <w:rFonts w:ascii="Times New Roman" w:hAnsi="Times New Roman" w:cs="Times New Roman"/>
          <w:sz w:val="28"/>
          <w:szCs w:val="28"/>
        </w:rPr>
        <w:t xml:space="preserve"> </w:t>
      </w:r>
      <w:r w:rsidR="00CD2547">
        <w:rPr>
          <w:rFonts w:ascii="Times New Roman" w:hAnsi="Times New Roman" w:cs="Times New Roman"/>
          <w:sz w:val="28"/>
          <w:szCs w:val="28"/>
        </w:rPr>
        <w:t>2016 года расходы составляли 7,0 тыс. рублей.</w:t>
      </w:r>
      <w:r w:rsidRPr="007E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D0" w:rsidRDefault="00507ED0" w:rsidP="00CD25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ED0" w:rsidRPr="00507ED0" w:rsidRDefault="00507ED0" w:rsidP="00CD25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D0">
        <w:rPr>
          <w:rFonts w:ascii="Times New Roman" w:hAnsi="Times New Roman" w:cs="Times New Roman"/>
          <w:i/>
          <w:sz w:val="28"/>
          <w:szCs w:val="28"/>
        </w:rPr>
        <w:t xml:space="preserve"> В постановлении  администрации поселения Шейбухтовское </w:t>
      </w:r>
      <w:r>
        <w:rPr>
          <w:rFonts w:ascii="Times New Roman" w:hAnsi="Times New Roman" w:cs="Times New Roman"/>
          <w:i/>
          <w:sz w:val="28"/>
          <w:szCs w:val="28"/>
        </w:rPr>
        <w:t xml:space="preserve"> от 16.05.2017 года №15 </w:t>
      </w:r>
      <w:r w:rsidRPr="00507ED0">
        <w:rPr>
          <w:rFonts w:ascii="Times New Roman" w:hAnsi="Times New Roman" w:cs="Times New Roman"/>
          <w:i/>
          <w:sz w:val="28"/>
          <w:szCs w:val="28"/>
        </w:rPr>
        <w:t>следует добавить в п.1 абзац следующего содержания «дефицит бюджета поселения – согласно приложению 3»</w:t>
      </w:r>
      <w:r w:rsidR="00855DE9">
        <w:rPr>
          <w:rFonts w:ascii="Times New Roman" w:hAnsi="Times New Roman" w:cs="Times New Roman"/>
          <w:i/>
          <w:sz w:val="28"/>
          <w:szCs w:val="28"/>
        </w:rPr>
        <w:t>.</w:t>
      </w:r>
    </w:p>
    <w:p w:rsidR="00663E2E" w:rsidRDefault="00507ED0" w:rsidP="00663E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507ED0">
        <w:rPr>
          <w:rFonts w:ascii="Times New Roman" w:hAnsi="Times New Roman" w:cs="Times New Roman"/>
          <w:i/>
          <w:sz w:val="28"/>
          <w:szCs w:val="28"/>
        </w:rPr>
        <w:t xml:space="preserve">В тексте Приложения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07ED0">
        <w:rPr>
          <w:rFonts w:ascii="Times New Roman" w:hAnsi="Times New Roman" w:cs="Times New Roman"/>
          <w:i/>
          <w:sz w:val="28"/>
          <w:szCs w:val="28"/>
        </w:rPr>
        <w:t>к постановлению от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07ED0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07ED0">
        <w:rPr>
          <w:rFonts w:ascii="Times New Roman" w:hAnsi="Times New Roman" w:cs="Times New Roman"/>
          <w:i/>
          <w:sz w:val="28"/>
          <w:szCs w:val="28"/>
        </w:rPr>
        <w:t xml:space="preserve">.2017 года </w:t>
      </w:r>
      <w:r>
        <w:rPr>
          <w:rFonts w:ascii="Times New Roman" w:hAnsi="Times New Roman" w:cs="Times New Roman"/>
          <w:i/>
          <w:sz w:val="28"/>
          <w:szCs w:val="28"/>
        </w:rPr>
        <w:t>№15</w:t>
      </w:r>
      <w:r w:rsidR="00E15630">
        <w:rPr>
          <w:rFonts w:ascii="Times New Roman" w:hAnsi="Times New Roman" w:cs="Times New Roman"/>
          <w:i/>
          <w:sz w:val="28"/>
          <w:szCs w:val="28"/>
        </w:rPr>
        <w:t xml:space="preserve">имеется арифметическая ошибка, таким образом,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630">
        <w:rPr>
          <w:rFonts w:ascii="Times New Roman" w:hAnsi="Times New Roman" w:cs="Times New Roman"/>
          <w:i/>
          <w:sz w:val="28"/>
          <w:szCs w:val="28"/>
        </w:rPr>
        <w:t>в</w:t>
      </w:r>
      <w:r w:rsidRPr="00507ED0">
        <w:rPr>
          <w:rFonts w:ascii="Times New Roman" w:hAnsi="Times New Roman" w:cs="Times New Roman"/>
          <w:i/>
          <w:sz w:val="28"/>
          <w:szCs w:val="28"/>
        </w:rPr>
        <w:t xml:space="preserve"> графе «</w:t>
      </w:r>
      <w:r>
        <w:rPr>
          <w:rFonts w:ascii="Times New Roman" w:hAnsi="Times New Roman" w:cs="Times New Roman"/>
          <w:i/>
          <w:sz w:val="28"/>
          <w:szCs w:val="28"/>
        </w:rPr>
        <w:t>% исполнения</w:t>
      </w:r>
      <w:r w:rsidRPr="00507ED0">
        <w:rPr>
          <w:rFonts w:ascii="Times New Roman" w:hAnsi="Times New Roman" w:cs="Times New Roman"/>
          <w:i/>
          <w:sz w:val="28"/>
          <w:szCs w:val="28"/>
        </w:rPr>
        <w:t>»  по строкам «</w:t>
      </w:r>
      <w:r>
        <w:rPr>
          <w:rFonts w:ascii="Times New Roman" w:hAnsi="Times New Roman" w:cs="Times New Roman"/>
          <w:i/>
          <w:sz w:val="28"/>
          <w:szCs w:val="28"/>
        </w:rPr>
        <w:t>Собственные доходы</w:t>
      </w:r>
      <w:r w:rsidRPr="00507ED0">
        <w:rPr>
          <w:rFonts w:ascii="Times New Roman" w:hAnsi="Times New Roman" w:cs="Times New Roman"/>
          <w:i/>
          <w:sz w:val="28"/>
          <w:szCs w:val="28"/>
        </w:rPr>
        <w:t>»</w:t>
      </w:r>
      <w:r w:rsidR="00855DE9">
        <w:rPr>
          <w:rFonts w:ascii="Times New Roman" w:hAnsi="Times New Roman" w:cs="Times New Roman"/>
          <w:i/>
          <w:sz w:val="28"/>
          <w:szCs w:val="28"/>
        </w:rPr>
        <w:t>,</w:t>
      </w:r>
      <w:r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Налог на прибыль, доходы</w:t>
      </w:r>
      <w:r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Pr="00507ED0">
        <w:rPr>
          <w:rFonts w:ascii="Times New Roman" w:hAnsi="Times New Roman" w:cs="Times New Roman"/>
          <w:i/>
          <w:sz w:val="28"/>
          <w:szCs w:val="28"/>
        </w:rPr>
        <w:t>»</w:t>
      </w:r>
      <w:r w:rsidR="00E156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ED0">
        <w:rPr>
          <w:rFonts w:ascii="Times New Roman" w:hAnsi="Times New Roman" w:cs="Times New Roman"/>
          <w:i/>
          <w:sz w:val="28"/>
          <w:szCs w:val="28"/>
        </w:rPr>
        <w:t xml:space="preserve"> цифры «</w:t>
      </w:r>
      <w:r w:rsidR="00E15630">
        <w:rPr>
          <w:rFonts w:ascii="Times New Roman" w:hAnsi="Times New Roman" w:cs="Times New Roman"/>
          <w:i/>
          <w:sz w:val="28"/>
          <w:szCs w:val="28"/>
        </w:rPr>
        <w:t>27,7</w:t>
      </w:r>
      <w:r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68,9</w:t>
      </w:r>
      <w:r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68,9</w:t>
      </w:r>
      <w:r w:rsidRPr="00507ED0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 w:rsidR="00E15630">
        <w:rPr>
          <w:rFonts w:ascii="Times New Roman" w:hAnsi="Times New Roman" w:cs="Times New Roman"/>
          <w:i/>
          <w:sz w:val="28"/>
          <w:szCs w:val="28"/>
        </w:rPr>
        <w:t>10,5</w:t>
      </w:r>
      <w:r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32,6</w:t>
      </w:r>
      <w:r w:rsidRPr="00507ED0">
        <w:rPr>
          <w:rFonts w:ascii="Times New Roman" w:hAnsi="Times New Roman" w:cs="Times New Roman"/>
          <w:i/>
          <w:sz w:val="28"/>
          <w:szCs w:val="28"/>
        </w:rPr>
        <w:t>»  «</w:t>
      </w:r>
      <w:r w:rsidR="00E15630">
        <w:rPr>
          <w:rFonts w:ascii="Times New Roman" w:hAnsi="Times New Roman" w:cs="Times New Roman"/>
          <w:i/>
          <w:sz w:val="28"/>
          <w:szCs w:val="28"/>
        </w:rPr>
        <w:t>32,6</w:t>
      </w:r>
      <w:r w:rsidRPr="00507ED0">
        <w:rPr>
          <w:rFonts w:ascii="Times New Roman" w:hAnsi="Times New Roman" w:cs="Times New Roman"/>
          <w:i/>
          <w:sz w:val="28"/>
          <w:szCs w:val="28"/>
        </w:rPr>
        <w:t>» соответственно.</w:t>
      </w:r>
    </w:p>
    <w:p w:rsidR="00E15630" w:rsidRDefault="00663E2E" w:rsidP="00663E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В тексте Приложения </w:t>
      </w:r>
      <w:r w:rsidR="00E1563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к постановлению от 1</w:t>
      </w:r>
      <w:r w:rsidR="00E15630">
        <w:rPr>
          <w:rFonts w:ascii="Times New Roman" w:hAnsi="Times New Roman" w:cs="Times New Roman"/>
          <w:i/>
          <w:sz w:val="28"/>
          <w:szCs w:val="28"/>
        </w:rPr>
        <w:t>5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.0</w:t>
      </w:r>
      <w:r w:rsidR="00E15630">
        <w:rPr>
          <w:rFonts w:ascii="Times New Roman" w:hAnsi="Times New Roman" w:cs="Times New Roman"/>
          <w:i/>
          <w:sz w:val="28"/>
          <w:szCs w:val="28"/>
        </w:rPr>
        <w:t>5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.2017 года </w:t>
      </w:r>
      <w:r w:rsidR="00E15630">
        <w:rPr>
          <w:rFonts w:ascii="Times New Roman" w:hAnsi="Times New Roman" w:cs="Times New Roman"/>
          <w:i/>
          <w:sz w:val="28"/>
          <w:szCs w:val="28"/>
        </w:rPr>
        <w:t>№15</w:t>
      </w:r>
      <w:r w:rsidR="00855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630">
        <w:rPr>
          <w:rFonts w:ascii="Times New Roman" w:hAnsi="Times New Roman" w:cs="Times New Roman"/>
          <w:i/>
          <w:sz w:val="28"/>
          <w:szCs w:val="28"/>
        </w:rPr>
        <w:t>указаны данные не в соответствии с утвержденным бюджетом на 2017 год, таким образом,   в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 графе «</w:t>
      </w:r>
      <w:r w:rsidR="00E15630">
        <w:rPr>
          <w:rFonts w:ascii="Times New Roman" w:hAnsi="Times New Roman" w:cs="Times New Roman"/>
          <w:i/>
          <w:sz w:val="28"/>
          <w:szCs w:val="28"/>
        </w:rPr>
        <w:t>Утвержденный бюджет на 2017 год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  по строкам «</w:t>
      </w:r>
      <w:r w:rsidR="00E15630">
        <w:rPr>
          <w:rFonts w:ascii="Times New Roman" w:hAnsi="Times New Roman" w:cs="Times New Roman"/>
          <w:i/>
          <w:sz w:val="28"/>
          <w:szCs w:val="28"/>
        </w:rPr>
        <w:t>Национальная экономика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 «</w:t>
      </w:r>
      <w:r w:rsidR="00E15630">
        <w:rPr>
          <w:rFonts w:ascii="Times New Roman" w:hAnsi="Times New Roman" w:cs="Times New Roman"/>
          <w:i/>
          <w:sz w:val="28"/>
          <w:szCs w:val="28"/>
        </w:rPr>
        <w:t>Дорожное хозяйство (дорожные фонды)» и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15630">
        <w:rPr>
          <w:rFonts w:ascii="Times New Roman" w:hAnsi="Times New Roman" w:cs="Times New Roman"/>
          <w:i/>
          <w:sz w:val="28"/>
          <w:szCs w:val="28"/>
        </w:rPr>
        <w:t>Всего расходов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</w:t>
      </w:r>
      <w:r w:rsidR="00E156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 цифры «</w:t>
      </w:r>
      <w:r w:rsidR="00E15630">
        <w:rPr>
          <w:rFonts w:ascii="Times New Roman" w:hAnsi="Times New Roman" w:cs="Times New Roman"/>
          <w:i/>
          <w:sz w:val="28"/>
          <w:szCs w:val="28"/>
        </w:rPr>
        <w:t>160,0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160,0» и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15630">
        <w:rPr>
          <w:rFonts w:ascii="Times New Roman" w:hAnsi="Times New Roman" w:cs="Times New Roman"/>
          <w:i/>
          <w:sz w:val="28"/>
          <w:szCs w:val="28"/>
        </w:rPr>
        <w:t>3096,7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 w:rsidR="00E15630">
        <w:rPr>
          <w:rFonts w:ascii="Times New Roman" w:hAnsi="Times New Roman" w:cs="Times New Roman"/>
          <w:i/>
          <w:sz w:val="28"/>
          <w:szCs w:val="28"/>
        </w:rPr>
        <w:t>159,9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», «</w:t>
      </w:r>
      <w:r w:rsidR="00E15630">
        <w:rPr>
          <w:rFonts w:ascii="Times New Roman" w:hAnsi="Times New Roman" w:cs="Times New Roman"/>
          <w:i/>
          <w:sz w:val="28"/>
          <w:szCs w:val="28"/>
        </w:rPr>
        <w:t>159,9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1563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15630">
        <w:rPr>
          <w:rFonts w:ascii="Times New Roman" w:hAnsi="Times New Roman" w:cs="Times New Roman"/>
          <w:i/>
          <w:sz w:val="28"/>
          <w:szCs w:val="28"/>
        </w:rPr>
        <w:t>3096,6</w:t>
      </w:r>
      <w:r w:rsidR="00E15630" w:rsidRPr="00507ED0">
        <w:rPr>
          <w:rFonts w:ascii="Times New Roman" w:hAnsi="Times New Roman" w:cs="Times New Roman"/>
          <w:i/>
          <w:sz w:val="28"/>
          <w:szCs w:val="28"/>
        </w:rPr>
        <w:t>» соответственно.</w:t>
      </w:r>
    </w:p>
    <w:p w:rsidR="00E15630" w:rsidRDefault="00E15630" w:rsidP="00663E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Отсутс</w:t>
      </w:r>
      <w:r w:rsidR="00663E2E">
        <w:rPr>
          <w:rFonts w:ascii="Times New Roman" w:hAnsi="Times New Roman" w:cs="Times New Roman"/>
          <w:i/>
          <w:sz w:val="28"/>
          <w:szCs w:val="28"/>
        </w:rPr>
        <w:t>тв</w:t>
      </w:r>
      <w:r>
        <w:rPr>
          <w:rFonts w:ascii="Times New Roman" w:hAnsi="Times New Roman" w:cs="Times New Roman"/>
          <w:i/>
          <w:sz w:val="28"/>
          <w:szCs w:val="28"/>
        </w:rPr>
        <w:t xml:space="preserve">ует </w:t>
      </w:r>
      <w:r w:rsidR="00663E2E">
        <w:rPr>
          <w:rFonts w:ascii="Times New Roman" w:hAnsi="Times New Roman" w:cs="Times New Roman"/>
          <w:i/>
          <w:sz w:val="28"/>
          <w:szCs w:val="28"/>
        </w:rPr>
        <w:t>приложение 3 «Дефицит (профицит) бюджета поселения.</w:t>
      </w:r>
    </w:p>
    <w:p w:rsidR="00507ED0" w:rsidRPr="00507ED0" w:rsidRDefault="00507ED0" w:rsidP="00663E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22DA" w:rsidRDefault="009E22DA" w:rsidP="00CD25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ED0" w:rsidRPr="00CD2547" w:rsidRDefault="00507ED0" w:rsidP="00CD25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454980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980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поселения  за 1 квартал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454980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</w:t>
      </w:r>
      <w:r w:rsidRPr="00454980">
        <w:rPr>
          <w:rFonts w:ascii="Times New Roman" w:hAnsi="Times New Roman" w:cs="Times New Roman"/>
          <w:sz w:val="28"/>
          <w:szCs w:val="28"/>
        </w:rPr>
        <w:lastRenderedPageBreak/>
        <w:t>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EA7676" w:rsidRPr="00711882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EA7676" w:rsidRPr="00711882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</w:t>
      </w:r>
      <w:r w:rsidR="009E22DA">
        <w:rPr>
          <w:rFonts w:ascii="Times New Roman" w:hAnsi="Times New Roman" w:cs="Times New Roman"/>
          <w:sz w:val="28"/>
          <w:szCs w:val="28"/>
        </w:rPr>
        <w:t>6</w:t>
      </w:r>
      <w:r w:rsidRPr="00711882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E22DA">
        <w:rPr>
          <w:rFonts w:ascii="Times New Roman" w:hAnsi="Times New Roman" w:cs="Times New Roman"/>
          <w:sz w:val="28"/>
          <w:szCs w:val="28"/>
        </w:rPr>
        <w:t xml:space="preserve"> 4</w:t>
      </w:r>
      <w:r w:rsidRPr="00711882">
        <w:rPr>
          <w:rFonts w:ascii="Times New Roman" w:hAnsi="Times New Roman" w:cs="Times New Roman"/>
          <w:sz w:val="28"/>
          <w:szCs w:val="28"/>
        </w:rPr>
        <w:t xml:space="preserve"> шт. единиц, на 01 апреля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71188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E22DA">
        <w:rPr>
          <w:rFonts w:ascii="Times New Roman" w:hAnsi="Times New Roman" w:cs="Times New Roman"/>
          <w:sz w:val="28"/>
          <w:szCs w:val="28"/>
        </w:rPr>
        <w:t>3</w:t>
      </w:r>
      <w:r w:rsidRPr="00711882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EA7676" w:rsidRPr="00711882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EA7676" w:rsidRPr="00711882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- за 1 квартал 201</w:t>
      </w:r>
      <w:r w:rsidR="009E22DA">
        <w:rPr>
          <w:rFonts w:ascii="Times New Roman" w:hAnsi="Times New Roman" w:cs="Times New Roman"/>
          <w:sz w:val="28"/>
          <w:szCs w:val="28"/>
        </w:rPr>
        <w:t>6</w:t>
      </w:r>
      <w:r w:rsidRPr="0071188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E22DA">
        <w:rPr>
          <w:rFonts w:ascii="Times New Roman" w:hAnsi="Times New Roman" w:cs="Times New Roman"/>
          <w:sz w:val="28"/>
          <w:szCs w:val="28"/>
        </w:rPr>
        <w:t xml:space="preserve"> 249,4</w:t>
      </w:r>
      <w:r w:rsidRPr="0071188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A7676" w:rsidRPr="00711882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- за 1 квартал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71188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E22DA">
        <w:rPr>
          <w:rFonts w:ascii="Times New Roman" w:hAnsi="Times New Roman" w:cs="Times New Roman"/>
          <w:sz w:val="28"/>
          <w:szCs w:val="28"/>
        </w:rPr>
        <w:t>257,1</w:t>
      </w:r>
      <w:r w:rsidRPr="007118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22DA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9E22DA">
        <w:rPr>
          <w:rFonts w:ascii="Times New Roman" w:hAnsi="Times New Roman" w:cs="Times New Roman"/>
          <w:sz w:val="28"/>
          <w:szCs w:val="28"/>
        </w:rPr>
        <w:t>47,3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9E22DA">
        <w:rPr>
          <w:rFonts w:ascii="Times New Roman" w:hAnsi="Times New Roman" w:cs="Times New Roman"/>
          <w:sz w:val="28"/>
          <w:szCs w:val="28"/>
        </w:rPr>
        <w:t>%</w:t>
      </w:r>
      <w:r w:rsidRPr="00F55FD7">
        <w:rPr>
          <w:rFonts w:ascii="Times New Roman" w:hAnsi="Times New Roman" w:cs="Times New Roman"/>
          <w:sz w:val="28"/>
          <w:szCs w:val="28"/>
        </w:rPr>
        <w:t xml:space="preserve"> от общего объема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Наблюдается увеличение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работников органа местного самоуправления  за 1 квартал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по сравнению с аналогичным периодом прошлого года на </w:t>
      </w:r>
      <w:r w:rsidR="009E22DA">
        <w:rPr>
          <w:rFonts w:ascii="Times New Roman" w:hAnsi="Times New Roman" w:cs="Times New Roman"/>
          <w:sz w:val="28"/>
          <w:szCs w:val="28"/>
        </w:rPr>
        <w:t>7,7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21FF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E22DA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2D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FFE">
        <w:rPr>
          <w:rFonts w:ascii="Times New Roman" w:hAnsi="Times New Roman" w:cs="Times New Roman"/>
          <w:sz w:val="28"/>
          <w:szCs w:val="28"/>
        </w:rPr>
        <w:t xml:space="preserve"> </w:t>
      </w:r>
      <w:r w:rsidR="009E22DA">
        <w:rPr>
          <w:rFonts w:ascii="Times New Roman" w:hAnsi="Times New Roman" w:cs="Times New Roman"/>
          <w:sz w:val="28"/>
          <w:szCs w:val="28"/>
        </w:rPr>
        <w:t>Причина увеличения расходов на оплату труда работникам не отражена в пояснительной записке.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апреля 201</w:t>
      </w:r>
      <w:r w:rsidR="009E22DA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составило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 xml:space="preserve"> (в т.</w:t>
      </w:r>
      <w:r w:rsidR="00855DE9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>), на 01 апреля  201</w:t>
      </w:r>
      <w:r w:rsidR="009E22DA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 xml:space="preserve"> (в т.</w:t>
      </w:r>
      <w:r w:rsidR="00855DE9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>).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1. Количество работников муниципальных учреждений по состоянию на 01 апреля 201</w:t>
      </w:r>
      <w:r w:rsidR="009E22DA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2D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шт. единиц, на 01 апреля 201</w:t>
      </w:r>
      <w:r w:rsidR="009E22DA">
        <w:rPr>
          <w:rFonts w:ascii="Times New Roman" w:hAnsi="Times New Roman" w:cs="Times New Roman"/>
          <w:sz w:val="28"/>
          <w:szCs w:val="28"/>
        </w:rPr>
        <w:t xml:space="preserve">7 </w:t>
      </w:r>
      <w:r w:rsidRPr="00F55FD7">
        <w:rPr>
          <w:rFonts w:ascii="Times New Roman" w:hAnsi="Times New Roman" w:cs="Times New Roman"/>
          <w:sz w:val="28"/>
          <w:szCs w:val="28"/>
        </w:rPr>
        <w:t>года –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поселения на 01.04.201</w:t>
      </w:r>
      <w:r w:rsidR="009E22DA">
        <w:rPr>
          <w:rFonts w:ascii="Times New Roman" w:hAnsi="Times New Roman" w:cs="Times New Roman"/>
          <w:sz w:val="28"/>
          <w:szCs w:val="28"/>
        </w:rPr>
        <w:t xml:space="preserve">7 </w:t>
      </w:r>
      <w:r w:rsidRPr="00F55FD7">
        <w:rPr>
          <w:rFonts w:ascii="Times New Roman" w:hAnsi="Times New Roman" w:cs="Times New Roman"/>
          <w:sz w:val="28"/>
          <w:szCs w:val="28"/>
        </w:rPr>
        <w:t>года в сравнении с 01.04.201</w:t>
      </w:r>
      <w:r w:rsidR="009E22DA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22DA"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за 1 квартал 201</w:t>
      </w:r>
      <w:r w:rsidR="00E23201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E23201">
        <w:rPr>
          <w:rFonts w:ascii="Times New Roman" w:hAnsi="Times New Roman" w:cs="Times New Roman"/>
          <w:sz w:val="28"/>
          <w:szCs w:val="28"/>
        </w:rPr>
        <w:t>65,7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за 1 квартал 201</w:t>
      </w:r>
      <w:r w:rsidR="00E232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E23201">
        <w:rPr>
          <w:rFonts w:ascii="Times New Roman" w:hAnsi="Times New Roman" w:cs="Times New Roman"/>
          <w:sz w:val="28"/>
          <w:szCs w:val="28"/>
        </w:rPr>
        <w:t>70,0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муниципальных учреждений  в общей сумме расходов бюджета поселения  за 1 квартал  201</w:t>
      </w:r>
      <w:r w:rsidR="00E23201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855DE9">
        <w:rPr>
          <w:rFonts w:ascii="Times New Roman" w:hAnsi="Times New Roman" w:cs="Times New Roman"/>
          <w:sz w:val="28"/>
          <w:szCs w:val="28"/>
        </w:rPr>
        <w:t xml:space="preserve">12,9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Наблюдается </w:t>
      </w:r>
      <w:r w:rsidR="00E23201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F55FD7">
        <w:rPr>
          <w:rFonts w:ascii="Times New Roman" w:hAnsi="Times New Roman" w:cs="Times New Roman"/>
          <w:sz w:val="28"/>
          <w:szCs w:val="28"/>
        </w:rPr>
        <w:t xml:space="preserve">    расходов на оплату труда работников муниципальных учреждений  на </w:t>
      </w:r>
      <w:r w:rsidR="00E23201">
        <w:rPr>
          <w:rFonts w:ascii="Times New Roman" w:hAnsi="Times New Roman" w:cs="Times New Roman"/>
          <w:sz w:val="28"/>
          <w:szCs w:val="28"/>
        </w:rPr>
        <w:t>4,3</w:t>
      </w:r>
      <w:r w:rsidRPr="00F55FD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E23201">
        <w:rPr>
          <w:rFonts w:ascii="Times New Roman" w:hAnsi="Times New Roman" w:cs="Times New Roman"/>
          <w:sz w:val="28"/>
          <w:szCs w:val="28"/>
        </w:rPr>
        <w:t>6,5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E2E" w:rsidRDefault="00663E2E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E2E" w:rsidRDefault="00663E2E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E2E" w:rsidRDefault="00663E2E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E2E" w:rsidRPr="00F55FD7" w:rsidRDefault="00663E2E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676" w:rsidRDefault="00EA7676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882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507ED0" w:rsidRPr="00711882" w:rsidRDefault="00507ED0" w:rsidP="00EA7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676" w:rsidRPr="00EB1A94" w:rsidRDefault="00EA7676" w:rsidP="00EA767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A94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</w:t>
      </w:r>
      <w:r w:rsidR="008448F4">
        <w:rPr>
          <w:rFonts w:ascii="Times New Roman" w:hAnsi="Times New Roman" w:cs="Times New Roman"/>
          <w:sz w:val="28"/>
          <w:szCs w:val="28"/>
        </w:rPr>
        <w:t>7</w:t>
      </w:r>
      <w:r w:rsidRPr="00EB1A94">
        <w:rPr>
          <w:rFonts w:ascii="Times New Roman" w:hAnsi="Times New Roman" w:cs="Times New Roman"/>
          <w:sz w:val="28"/>
          <w:szCs w:val="28"/>
        </w:rPr>
        <w:t xml:space="preserve"> год принят без дефицита. В течение 1 квартала 2016 года изменения в бюджет поселения </w:t>
      </w:r>
      <w:r w:rsidR="008448F4">
        <w:rPr>
          <w:rFonts w:ascii="Times New Roman" w:hAnsi="Times New Roman" w:cs="Times New Roman"/>
          <w:sz w:val="28"/>
          <w:szCs w:val="28"/>
        </w:rPr>
        <w:t>вносились один раз, в результате чего дефицит бюджета составил 70,9 тыс. рублей</w:t>
      </w:r>
      <w:r w:rsidRPr="00EB1A94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EA7676" w:rsidRPr="00DE21B2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5FD7">
        <w:rPr>
          <w:rFonts w:ascii="Times New Roman" w:hAnsi="Times New Roman" w:cs="Times New Roman"/>
          <w:sz w:val="28"/>
          <w:szCs w:val="28"/>
        </w:rPr>
        <w:t>Бюджет поселения за 1 квартал  201</w:t>
      </w:r>
      <w:r w:rsidR="008448F4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сумме </w:t>
      </w:r>
      <w:r w:rsidR="008448F4">
        <w:rPr>
          <w:rFonts w:ascii="Times New Roman" w:hAnsi="Times New Roman" w:cs="Times New Roman"/>
          <w:sz w:val="28"/>
          <w:szCs w:val="28"/>
        </w:rPr>
        <w:t>23,0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8448F4">
        <w:rPr>
          <w:rFonts w:ascii="Times New Roman" w:hAnsi="Times New Roman" w:cs="Times New Roman"/>
          <w:sz w:val="28"/>
          <w:szCs w:val="28"/>
        </w:rPr>
        <w:t>7</w:t>
      </w:r>
      <w:r w:rsidR="00507ED0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507ED0">
        <w:rPr>
          <w:rFonts w:ascii="Times New Roman" w:hAnsi="Times New Roman" w:cs="Times New Roman"/>
          <w:sz w:val="28"/>
          <w:szCs w:val="28"/>
        </w:rPr>
        <w:t>71,0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том числе средства Дорожного фонда поселения – </w:t>
      </w:r>
      <w:r>
        <w:rPr>
          <w:rFonts w:ascii="Times New Roman" w:hAnsi="Times New Roman" w:cs="Times New Roman"/>
          <w:sz w:val="28"/>
          <w:szCs w:val="28"/>
        </w:rPr>
        <w:t>20,</w:t>
      </w:r>
      <w:r w:rsidR="00507ED0">
        <w:rPr>
          <w:rFonts w:ascii="Times New Roman" w:hAnsi="Times New Roman" w:cs="Times New Roman"/>
          <w:sz w:val="28"/>
          <w:szCs w:val="28"/>
        </w:rPr>
        <w:t>2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Default="00507ED0" w:rsidP="00507ED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7ED0">
        <w:rPr>
          <w:rFonts w:ascii="Times New Roman" w:hAnsi="Times New Roman" w:cs="Times New Roman"/>
          <w:i/>
          <w:sz w:val="28"/>
          <w:szCs w:val="28"/>
        </w:rPr>
        <w:t>Остаток по Дорожному фонду  поселения в сумме 20,2 тыс. рублей  не расходуется  с 2015 года.</w:t>
      </w:r>
    </w:p>
    <w:p w:rsidR="00507ED0" w:rsidRPr="00507ED0" w:rsidRDefault="00507ED0" w:rsidP="00507ED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676" w:rsidRPr="00F55FD7" w:rsidRDefault="00EA7676" w:rsidP="00EA76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EA7676" w:rsidRPr="00F55FD7" w:rsidRDefault="00EA7676" w:rsidP="00EA76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676" w:rsidRPr="00F55FD7" w:rsidRDefault="00EA7676" w:rsidP="00EA7676">
      <w:pPr>
        <w:pStyle w:val="1"/>
        <w:ind w:firstLine="709"/>
        <w:contextualSpacing/>
        <w:jc w:val="both"/>
        <w:rPr>
          <w:sz w:val="28"/>
          <w:szCs w:val="28"/>
        </w:rPr>
      </w:pPr>
      <w:r w:rsidRPr="00F55FD7">
        <w:rPr>
          <w:sz w:val="28"/>
          <w:szCs w:val="28"/>
        </w:rPr>
        <w:t xml:space="preserve">Решением Совета поселения </w:t>
      </w:r>
      <w:r>
        <w:rPr>
          <w:sz w:val="28"/>
          <w:szCs w:val="28"/>
        </w:rPr>
        <w:t>Шейбухтовское</w:t>
      </w:r>
      <w:r w:rsidRPr="00F55FD7">
        <w:rPr>
          <w:sz w:val="28"/>
          <w:szCs w:val="28"/>
        </w:rPr>
        <w:t xml:space="preserve"> от 2</w:t>
      </w:r>
      <w:r w:rsidR="00663E2E">
        <w:rPr>
          <w:sz w:val="28"/>
          <w:szCs w:val="28"/>
        </w:rPr>
        <w:t>7</w:t>
      </w:r>
      <w:r w:rsidRPr="00F55FD7">
        <w:rPr>
          <w:sz w:val="28"/>
          <w:szCs w:val="28"/>
        </w:rPr>
        <w:t xml:space="preserve"> декабря 201</w:t>
      </w:r>
      <w:r w:rsidR="00663E2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55FD7">
        <w:rPr>
          <w:sz w:val="28"/>
          <w:szCs w:val="28"/>
        </w:rPr>
        <w:t>года №</w:t>
      </w:r>
      <w:r w:rsidR="00663E2E">
        <w:rPr>
          <w:sz w:val="28"/>
          <w:szCs w:val="28"/>
        </w:rPr>
        <w:t>81</w:t>
      </w:r>
      <w:r w:rsidRPr="00F55FD7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</w:t>
      </w:r>
      <w:r w:rsidR="00663E2E">
        <w:rPr>
          <w:sz w:val="28"/>
          <w:szCs w:val="28"/>
        </w:rPr>
        <w:t>8</w:t>
      </w:r>
      <w:r w:rsidRPr="00F55FD7">
        <w:rPr>
          <w:sz w:val="28"/>
          <w:szCs w:val="28"/>
        </w:rPr>
        <w:t xml:space="preserve"> года в сумме 0,0 тыс. рублей.</w:t>
      </w:r>
    </w:p>
    <w:p w:rsidR="00EA7676" w:rsidRPr="00F55FD7" w:rsidRDefault="00EA7676" w:rsidP="00EA76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A7676" w:rsidRPr="00F55FD7" w:rsidRDefault="00EA7676" w:rsidP="00EA76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663E2E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F5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EA7676" w:rsidRPr="00F55FD7" w:rsidRDefault="00EA7676" w:rsidP="00EA76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A7676" w:rsidRPr="00F55FD7" w:rsidRDefault="00EA7676" w:rsidP="00EA76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A7676" w:rsidRDefault="00EA7676" w:rsidP="00EA767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Кредиторская, </w:t>
      </w:r>
      <w:r w:rsidR="00A610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b/>
          <w:i/>
          <w:spacing w:val="1"/>
          <w:sz w:val="28"/>
          <w:szCs w:val="28"/>
        </w:rPr>
        <w:t>дебиторская задолженность</w:t>
      </w:r>
      <w:r w:rsidRPr="00F55FD7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A6108B" w:rsidRPr="00307BCB" w:rsidRDefault="00A6108B" w:rsidP="00EA767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A7676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Объем кредиторской задолженности по состоянию на 01 января 201</w:t>
      </w:r>
      <w:r w:rsidR="00DE408F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на 01  апреля  201</w:t>
      </w:r>
      <w:r w:rsidR="00DE408F">
        <w:rPr>
          <w:rFonts w:ascii="Times New Roman" w:hAnsi="Times New Roman" w:cs="Times New Roman"/>
          <w:sz w:val="28"/>
          <w:szCs w:val="28"/>
        </w:rPr>
        <w:t>6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08F">
        <w:rPr>
          <w:rFonts w:ascii="Times New Roman" w:hAnsi="Times New Roman" w:cs="Times New Roman"/>
          <w:sz w:val="28"/>
          <w:szCs w:val="28"/>
        </w:rPr>
        <w:t>69,6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рублей, на 01 января 201</w:t>
      </w:r>
      <w:r w:rsidR="00DE408F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9F5C3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55FD7">
        <w:rPr>
          <w:rFonts w:ascii="Times New Roman" w:hAnsi="Times New Roman" w:cs="Times New Roman"/>
          <w:sz w:val="28"/>
          <w:szCs w:val="28"/>
        </w:rPr>
        <w:t>на 01 апреля 201</w:t>
      </w:r>
      <w:r w:rsidR="00DE408F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08F">
        <w:rPr>
          <w:rFonts w:ascii="Times New Roman" w:hAnsi="Times New Roman" w:cs="Times New Roman"/>
          <w:sz w:val="28"/>
          <w:szCs w:val="28"/>
        </w:rPr>
        <w:t>57,1 тыс. рублей, в том числе:</w:t>
      </w:r>
    </w:p>
    <w:p w:rsidR="00DE408F" w:rsidRDefault="00DE408F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 отопление </w:t>
      </w:r>
      <w:r w:rsidR="00855DE9">
        <w:rPr>
          <w:rFonts w:ascii="Times New Roman" w:hAnsi="Times New Roman" w:cs="Times New Roman"/>
          <w:sz w:val="28"/>
          <w:szCs w:val="28"/>
        </w:rPr>
        <w:t>-</w:t>
      </w:r>
      <w:r w:rsidR="009F5C3E">
        <w:rPr>
          <w:rFonts w:ascii="Times New Roman" w:hAnsi="Times New Roman" w:cs="Times New Roman"/>
          <w:sz w:val="28"/>
          <w:szCs w:val="28"/>
        </w:rPr>
        <w:t xml:space="preserve"> 28,4 тыс. рублей;</w:t>
      </w:r>
    </w:p>
    <w:p w:rsidR="009F5C3E" w:rsidRDefault="009F5C3E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 уличное освещение в поселении</w:t>
      </w:r>
      <w:r w:rsidR="00855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19,4 тыс. рублей;</w:t>
      </w:r>
    </w:p>
    <w:p w:rsidR="009F5C3E" w:rsidRPr="00F55FD7" w:rsidRDefault="009F5C3E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 программное обеспечение (обслуживание)</w:t>
      </w:r>
      <w:r w:rsidR="00855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9,3 тыс. рублей.</w:t>
      </w:r>
    </w:p>
    <w:p w:rsidR="009F5C3E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9F5C3E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</w:t>
      </w:r>
      <w:r>
        <w:rPr>
          <w:rFonts w:ascii="Times New Roman" w:hAnsi="Times New Roman" w:cs="Times New Roman"/>
          <w:sz w:val="28"/>
          <w:szCs w:val="28"/>
        </w:rPr>
        <w:t xml:space="preserve">ошлого года не изменяется и составляет 0,0 тыс. рублей. </w:t>
      </w:r>
      <w:r w:rsidRPr="00F55FD7">
        <w:rPr>
          <w:rFonts w:ascii="Times New Roman" w:hAnsi="Times New Roman" w:cs="Times New Roman"/>
          <w:sz w:val="28"/>
          <w:szCs w:val="28"/>
        </w:rPr>
        <w:t>В ходе исполнения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квартал текущего года объем кредиторской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F55FD7">
        <w:rPr>
          <w:rFonts w:ascii="Times New Roman" w:hAnsi="Times New Roman" w:cs="Times New Roman"/>
          <w:sz w:val="28"/>
          <w:szCs w:val="28"/>
        </w:rPr>
        <w:t xml:space="preserve">, сумма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F55FD7">
        <w:rPr>
          <w:rFonts w:ascii="Times New Roman" w:hAnsi="Times New Roman" w:cs="Times New Roman"/>
          <w:sz w:val="28"/>
          <w:szCs w:val="28"/>
        </w:rPr>
        <w:t xml:space="preserve"> составила– </w:t>
      </w:r>
      <w:r w:rsidR="009F5C3E">
        <w:rPr>
          <w:rFonts w:ascii="Times New Roman" w:hAnsi="Times New Roman" w:cs="Times New Roman"/>
          <w:sz w:val="28"/>
          <w:szCs w:val="28"/>
        </w:rPr>
        <w:t xml:space="preserve">12,5 </w:t>
      </w:r>
      <w:r w:rsidRPr="00F55FD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5C3E">
        <w:rPr>
          <w:rFonts w:ascii="Times New Roman" w:hAnsi="Times New Roman" w:cs="Times New Roman"/>
          <w:sz w:val="28"/>
          <w:szCs w:val="28"/>
        </w:rPr>
        <w:t>18 процента.</w:t>
      </w:r>
    </w:p>
    <w:p w:rsidR="00EA7676" w:rsidRDefault="009F5C3E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76" w:rsidRPr="00F55FD7">
        <w:rPr>
          <w:rFonts w:ascii="Times New Roman" w:hAnsi="Times New Roman" w:cs="Times New Roman"/>
          <w:sz w:val="28"/>
          <w:szCs w:val="28"/>
        </w:rPr>
        <w:t xml:space="preserve">Наиболее значительная по объему задолженность </w:t>
      </w:r>
      <w:r w:rsidR="00EA767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отопление, которая занимает 49,7% от всей задолженности</w:t>
      </w:r>
      <w:r w:rsidR="00EA7676">
        <w:rPr>
          <w:rFonts w:ascii="Times New Roman" w:hAnsi="Times New Roman" w:cs="Times New Roman"/>
          <w:sz w:val="28"/>
          <w:szCs w:val="28"/>
        </w:rPr>
        <w:t>, на втором месте по величине  задолженность з</w:t>
      </w:r>
      <w:r w:rsidR="00EA7676" w:rsidRPr="00F55FD7">
        <w:rPr>
          <w:rFonts w:ascii="Times New Roman" w:hAnsi="Times New Roman" w:cs="Times New Roman"/>
          <w:sz w:val="28"/>
          <w:szCs w:val="28"/>
        </w:rPr>
        <w:t>а</w:t>
      </w:r>
      <w:r w:rsidR="00EA7676">
        <w:rPr>
          <w:rFonts w:ascii="Times New Roman" w:hAnsi="Times New Roman" w:cs="Times New Roman"/>
          <w:sz w:val="28"/>
          <w:szCs w:val="28"/>
        </w:rPr>
        <w:t xml:space="preserve"> уличное освещение – </w:t>
      </w:r>
      <w:r>
        <w:rPr>
          <w:rFonts w:ascii="Times New Roman" w:hAnsi="Times New Roman" w:cs="Times New Roman"/>
          <w:sz w:val="28"/>
          <w:szCs w:val="28"/>
        </w:rPr>
        <w:t xml:space="preserve">34,0% от общей задолженности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последнее место занимает задолженность</w:t>
      </w:r>
      <w:r w:rsidR="00EA7676">
        <w:rPr>
          <w:rFonts w:ascii="Times New Roman" w:hAnsi="Times New Roman" w:cs="Times New Roman"/>
          <w:sz w:val="28"/>
          <w:szCs w:val="28"/>
        </w:rPr>
        <w:t xml:space="preserve"> </w:t>
      </w:r>
      <w:r w:rsidR="00EA7676" w:rsidRPr="00F55FD7">
        <w:rPr>
          <w:rFonts w:ascii="Times New Roman" w:hAnsi="Times New Roman" w:cs="Times New Roman"/>
          <w:sz w:val="28"/>
          <w:szCs w:val="28"/>
        </w:rPr>
        <w:t>за обнов</w:t>
      </w:r>
      <w:r>
        <w:rPr>
          <w:rFonts w:ascii="Times New Roman" w:hAnsi="Times New Roman" w:cs="Times New Roman"/>
          <w:sz w:val="28"/>
          <w:szCs w:val="28"/>
        </w:rPr>
        <w:t xml:space="preserve">ление программного обеспечения и </w:t>
      </w:r>
      <w:r w:rsidR="00EA7676" w:rsidRPr="00F55FD7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7676" w:rsidRPr="00F55FD7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EA76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16,3 процента.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 w:rsidR="009F5C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9F5C3E">
        <w:rPr>
          <w:rFonts w:ascii="Times New Roman" w:hAnsi="Times New Roman" w:cs="Times New Roman"/>
          <w:sz w:val="28"/>
          <w:szCs w:val="28"/>
        </w:rPr>
        <w:t>1,9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на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апреля  201</w:t>
      </w:r>
      <w:r w:rsidR="009F5C3E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 Объем дебиторской задолженности за 1 квартал 201</w:t>
      </w:r>
      <w:r w:rsidR="009F5C3E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имеет тенденцию к снижению, задолженность снизилась на </w:t>
      </w:r>
      <w:r w:rsidR="009F5C3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1. Изменения в решение «О бюджете поселения на 201</w:t>
      </w:r>
      <w:r w:rsidR="00016E78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</w:t>
      </w:r>
      <w:r w:rsidR="00016E78">
        <w:rPr>
          <w:rFonts w:ascii="Times New Roman" w:hAnsi="Times New Roman" w:cs="Times New Roman"/>
          <w:sz w:val="28"/>
          <w:szCs w:val="28"/>
        </w:rPr>
        <w:t xml:space="preserve"> и плановый период 2018-2019 годы</w:t>
      </w:r>
      <w:r w:rsidRPr="00F55FD7">
        <w:rPr>
          <w:rFonts w:ascii="Times New Roman" w:hAnsi="Times New Roman" w:cs="Times New Roman"/>
          <w:sz w:val="28"/>
          <w:szCs w:val="28"/>
        </w:rPr>
        <w:t>» в 1 квартале  201</w:t>
      </w:r>
      <w:r w:rsidR="007F07F6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 года вносились</w:t>
      </w:r>
      <w:r w:rsidR="007F07F6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2. За 1 квартал  201</w:t>
      </w:r>
      <w:r w:rsidR="007F07F6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составили </w:t>
      </w:r>
      <w:r w:rsidR="007F07F6">
        <w:rPr>
          <w:rFonts w:ascii="Times New Roman" w:hAnsi="Times New Roman" w:cs="Times New Roman"/>
          <w:sz w:val="28"/>
          <w:szCs w:val="28"/>
        </w:rPr>
        <w:t>520,4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07F6">
        <w:rPr>
          <w:rFonts w:ascii="Times New Roman" w:hAnsi="Times New Roman" w:cs="Times New Roman"/>
          <w:sz w:val="28"/>
          <w:szCs w:val="28"/>
        </w:rPr>
        <w:t xml:space="preserve">17,2 </w:t>
      </w:r>
      <w:r w:rsidRPr="00F55FD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7F07F6">
        <w:rPr>
          <w:rFonts w:ascii="Times New Roman" w:hAnsi="Times New Roman" w:cs="Times New Roman"/>
          <w:sz w:val="28"/>
          <w:szCs w:val="28"/>
        </w:rPr>
        <w:t>3025,7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7F07F6">
        <w:rPr>
          <w:rFonts w:ascii="Times New Roman" w:hAnsi="Times New Roman" w:cs="Times New Roman"/>
          <w:sz w:val="28"/>
          <w:szCs w:val="28"/>
        </w:rPr>
        <w:t>16,9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F07F6">
        <w:rPr>
          <w:rFonts w:ascii="Times New Roman" w:hAnsi="Times New Roman" w:cs="Times New Roman"/>
          <w:sz w:val="28"/>
          <w:szCs w:val="28"/>
        </w:rPr>
        <w:t>10,5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7F07F6">
        <w:rPr>
          <w:rFonts w:ascii="Times New Roman" w:hAnsi="Times New Roman" w:cs="Times New Roman"/>
          <w:sz w:val="28"/>
          <w:szCs w:val="28"/>
        </w:rPr>
        <w:t>503,5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F07F6">
        <w:rPr>
          <w:rFonts w:ascii="Times New Roman" w:hAnsi="Times New Roman" w:cs="Times New Roman"/>
          <w:sz w:val="28"/>
          <w:szCs w:val="28"/>
        </w:rPr>
        <w:t>17,6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</w:t>
      </w:r>
      <w:r w:rsidR="007F07F6">
        <w:rPr>
          <w:rFonts w:ascii="Times New Roman" w:hAnsi="Times New Roman" w:cs="Times New Roman"/>
          <w:sz w:val="28"/>
          <w:szCs w:val="28"/>
        </w:rPr>
        <w:t xml:space="preserve">ются налог на доходы физических лиц  и 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земельный 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7F07F6">
        <w:rPr>
          <w:rFonts w:ascii="Times New Roman" w:hAnsi="Times New Roman" w:cs="Times New Roman"/>
          <w:sz w:val="28"/>
          <w:szCs w:val="28"/>
        </w:rPr>
        <w:t>73,4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7F07F6">
        <w:rPr>
          <w:rFonts w:ascii="Times New Roman" w:hAnsi="Times New Roman" w:cs="Times New Roman"/>
          <w:sz w:val="28"/>
          <w:szCs w:val="28"/>
        </w:rPr>
        <w:t>3,2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%, </w:t>
      </w:r>
      <w:r w:rsidR="007F07F6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– </w:t>
      </w:r>
      <w:r w:rsidR="007F07F6">
        <w:rPr>
          <w:rFonts w:ascii="Times New Roman" w:hAnsi="Times New Roman" w:cs="Times New Roman"/>
          <w:sz w:val="28"/>
          <w:szCs w:val="28"/>
        </w:rPr>
        <w:t>96,8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7F07F6">
        <w:rPr>
          <w:rFonts w:ascii="Times New Roman" w:hAnsi="Times New Roman" w:cs="Times New Roman"/>
          <w:sz w:val="28"/>
          <w:szCs w:val="28"/>
        </w:rPr>
        <w:t>543,4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F07F6">
        <w:rPr>
          <w:rFonts w:ascii="Times New Roman" w:hAnsi="Times New Roman" w:cs="Times New Roman"/>
          <w:sz w:val="28"/>
          <w:szCs w:val="28"/>
        </w:rPr>
        <w:t>17,5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7F07F6">
        <w:rPr>
          <w:rFonts w:ascii="Times New Roman" w:hAnsi="Times New Roman" w:cs="Times New Roman"/>
          <w:sz w:val="28"/>
          <w:szCs w:val="28"/>
        </w:rPr>
        <w:t>3096,6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Бюджет поселения в 1 квартале 201</w:t>
      </w:r>
      <w:r w:rsidR="007F07F6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F55FD7">
        <w:rPr>
          <w:rFonts w:ascii="Times New Roman" w:hAnsi="Times New Roman" w:cs="Times New Roman"/>
          <w:sz w:val="28"/>
          <w:szCs w:val="28"/>
        </w:rPr>
        <w:t>социальную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F55FD7">
        <w:rPr>
          <w:rFonts w:ascii="Times New Roman" w:hAnsi="Times New Roman" w:cs="Times New Roman"/>
          <w:sz w:val="28"/>
          <w:szCs w:val="28"/>
        </w:rPr>
        <w:t xml:space="preserve">на указанные цели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A33C04">
        <w:rPr>
          <w:rFonts w:ascii="Times New Roman" w:hAnsi="Times New Roman" w:cs="Times New Roman"/>
          <w:sz w:val="28"/>
          <w:szCs w:val="28"/>
        </w:rPr>
        <w:t>95,0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33C04">
        <w:rPr>
          <w:rFonts w:ascii="Times New Roman" w:hAnsi="Times New Roman" w:cs="Times New Roman"/>
          <w:sz w:val="28"/>
          <w:szCs w:val="28"/>
        </w:rPr>
        <w:t>17,5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от всех расходов бюджета поселения.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Не производилось финанс</w:t>
      </w:r>
      <w:r w:rsidR="00A33C04">
        <w:rPr>
          <w:rFonts w:ascii="Times New Roman" w:hAnsi="Times New Roman" w:cs="Times New Roman"/>
          <w:sz w:val="28"/>
          <w:szCs w:val="28"/>
        </w:rPr>
        <w:t xml:space="preserve">ирование расходов по разделам  </w:t>
      </w:r>
      <w:r w:rsidRPr="00F55FD7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A33C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политика»</w:t>
      </w:r>
      <w:r w:rsidR="00A33C04">
        <w:rPr>
          <w:rFonts w:ascii="Times New Roman" w:hAnsi="Times New Roman" w:cs="Times New Roman"/>
          <w:sz w:val="28"/>
          <w:szCs w:val="28"/>
        </w:rPr>
        <w:t xml:space="preserve"> и «Физическая культура и спорт»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A33C04" w:rsidRDefault="00A33C04" w:rsidP="00A33C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По разделам классификации расходо</w:t>
      </w:r>
      <w:r>
        <w:rPr>
          <w:rFonts w:ascii="Times New Roman" w:hAnsi="Times New Roman" w:cs="Times New Roman"/>
          <w:sz w:val="28"/>
          <w:szCs w:val="28"/>
        </w:rPr>
        <w:t xml:space="preserve">в «Общегосударственные вопросы», «Жилищно-коммунальное хозяйство», </w:t>
      </w:r>
      <w:r w:rsidRPr="00F55FD7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уровень исполнения к годовым назначениям </w:t>
      </w:r>
      <w:r>
        <w:rPr>
          <w:rFonts w:ascii="Times New Roman" w:hAnsi="Times New Roman" w:cs="Times New Roman"/>
          <w:sz w:val="28"/>
          <w:szCs w:val="28"/>
        </w:rPr>
        <w:t>ниже 25 процентов.</w:t>
      </w:r>
    </w:p>
    <w:p w:rsidR="006F4FCE" w:rsidRDefault="006F4FCE" w:rsidP="006F4F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EA7676" w:rsidRPr="006F4FCE">
        <w:rPr>
          <w:rFonts w:ascii="Times New Roman" w:hAnsi="Times New Roman" w:cs="Times New Roman"/>
          <w:sz w:val="28"/>
          <w:szCs w:val="28"/>
        </w:rPr>
        <w:t>4. При  сравнении задолженности по  налоговым платежам  по состоянию на 01.04.201</w:t>
      </w:r>
      <w:r w:rsidR="00A33C04" w:rsidRPr="006F4FCE">
        <w:rPr>
          <w:rFonts w:ascii="Times New Roman" w:hAnsi="Times New Roman" w:cs="Times New Roman"/>
          <w:sz w:val="28"/>
          <w:szCs w:val="28"/>
        </w:rPr>
        <w:t>7</w:t>
      </w:r>
      <w:r w:rsidR="00EA7676" w:rsidRPr="006F4FCE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 w:rsidR="00A33C04" w:rsidRPr="006F4FCE">
        <w:rPr>
          <w:rFonts w:ascii="Times New Roman" w:hAnsi="Times New Roman" w:cs="Times New Roman"/>
          <w:sz w:val="28"/>
          <w:szCs w:val="28"/>
        </w:rPr>
        <w:t>6</w:t>
      </w:r>
      <w:r w:rsidR="00EA7676" w:rsidRPr="006F4FCE">
        <w:rPr>
          <w:rFonts w:ascii="Times New Roman" w:hAnsi="Times New Roman" w:cs="Times New Roman"/>
          <w:sz w:val="28"/>
          <w:szCs w:val="28"/>
        </w:rPr>
        <w:t xml:space="preserve"> года   произошло увеличение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37,0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16,1%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6F4FCE" w:rsidRPr="00F55FD7" w:rsidRDefault="006F4FCE" w:rsidP="006F4F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по налогу на доходы физических лиц на 1,1 тыс. рублей, или на 100,0 процентов;</w:t>
      </w:r>
    </w:p>
    <w:p w:rsidR="006F4FCE" w:rsidRPr="00F55FD7" w:rsidRDefault="006F4FCE" w:rsidP="006F4F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61,3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33,5 процента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4FCE" w:rsidRDefault="006F4FCE" w:rsidP="006F4F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по земельному налогу на </w:t>
      </w:r>
      <w:r>
        <w:rPr>
          <w:rFonts w:ascii="Times New Roman" w:hAnsi="Times New Roman" w:cs="Times New Roman"/>
          <w:sz w:val="28"/>
          <w:szCs w:val="28"/>
        </w:rPr>
        <w:t xml:space="preserve">7,8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71,6 процента;</w:t>
      </w:r>
    </w:p>
    <w:p w:rsidR="006F4FCE" w:rsidRPr="00F55FD7" w:rsidRDefault="006F4FCE" w:rsidP="006F4F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45BA">
        <w:rPr>
          <w:rFonts w:ascii="Times New Roman" w:eastAsia="Times New Roman" w:hAnsi="Times New Roman" w:cs="Times New Roman"/>
          <w:sz w:val="28"/>
          <w:szCs w:val="28"/>
        </w:rPr>
        <w:t>адолженность и перерасчет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945BA">
        <w:rPr>
          <w:rFonts w:ascii="Times New Roman" w:eastAsia="Times New Roman" w:hAnsi="Times New Roman" w:cs="Times New Roman"/>
          <w:sz w:val="28"/>
          <w:szCs w:val="28"/>
        </w:rPr>
        <w:t xml:space="preserve"> по отмененным налогам и сборам (имущество)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на 33,2 тыс. рублей, или на 94,0 процента.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5. За 1 квартал 201</w:t>
      </w:r>
      <w:r w:rsidR="006F4FCE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дефицитом  в сумме  </w:t>
      </w:r>
      <w:r w:rsidR="006F4FCE">
        <w:rPr>
          <w:rFonts w:ascii="Times New Roman" w:hAnsi="Times New Roman" w:cs="Times New Roman"/>
          <w:sz w:val="28"/>
          <w:szCs w:val="28"/>
        </w:rPr>
        <w:t>23,0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поселения являются остатки средств бюджета на начало 201</w:t>
      </w:r>
      <w:r w:rsidR="006F4FCE">
        <w:rPr>
          <w:rFonts w:ascii="Times New Roman" w:hAnsi="Times New Roman" w:cs="Times New Roman"/>
          <w:sz w:val="28"/>
          <w:szCs w:val="28"/>
        </w:rPr>
        <w:t>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F4FCE">
        <w:rPr>
          <w:rFonts w:ascii="Times New Roman" w:hAnsi="Times New Roman" w:cs="Times New Roman"/>
          <w:sz w:val="28"/>
          <w:szCs w:val="28"/>
        </w:rPr>
        <w:t>71,0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4FCE">
        <w:rPr>
          <w:rFonts w:ascii="Times New Roman" w:hAnsi="Times New Roman" w:cs="Times New Roman"/>
          <w:sz w:val="28"/>
          <w:szCs w:val="28"/>
        </w:rPr>
        <w:t>, в том числе средства Дорожного фонда 20,2 тыс. рублей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F4FCE" w:rsidRPr="00F55FD7">
        <w:rPr>
          <w:rFonts w:ascii="Times New Roman" w:hAnsi="Times New Roman" w:cs="Times New Roman"/>
          <w:sz w:val="28"/>
          <w:szCs w:val="28"/>
        </w:rPr>
        <w:t>В ходе исполнения бюджета поселения за 1</w:t>
      </w:r>
      <w:r w:rsidR="006F4FCE">
        <w:rPr>
          <w:rFonts w:ascii="Times New Roman" w:hAnsi="Times New Roman" w:cs="Times New Roman"/>
          <w:sz w:val="28"/>
          <w:szCs w:val="28"/>
        </w:rPr>
        <w:t xml:space="preserve"> </w:t>
      </w:r>
      <w:r w:rsidR="006F4FCE" w:rsidRPr="00F55FD7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</w:t>
      </w:r>
      <w:r w:rsidR="00855DE9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6F4FCE"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6F4FCE">
        <w:rPr>
          <w:rFonts w:ascii="Times New Roman" w:hAnsi="Times New Roman" w:cs="Times New Roman"/>
          <w:sz w:val="28"/>
          <w:szCs w:val="28"/>
        </w:rPr>
        <w:t>снизился</w:t>
      </w:r>
      <w:r w:rsidR="006F4FCE" w:rsidRPr="00F55FD7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6F4FCE">
        <w:rPr>
          <w:rFonts w:ascii="Times New Roman" w:hAnsi="Times New Roman" w:cs="Times New Roman"/>
          <w:sz w:val="28"/>
          <w:szCs w:val="28"/>
        </w:rPr>
        <w:t>снижения</w:t>
      </w:r>
      <w:r w:rsidR="006F4FCE" w:rsidRPr="00F55FD7">
        <w:rPr>
          <w:rFonts w:ascii="Times New Roman" w:hAnsi="Times New Roman" w:cs="Times New Roman"/>
          <w:sz w:val="28"/>
          <w:szCs w:val="28"/>
        </w:rPr>
        <w:t xml:space="preserve"> составила– </w:t>
      </w:r>
      <w:r w:rsidR="006F4FCE">
        <w:rPr>
          <w:rFonts w:ascii="Times New Roman" w:hAnsi="Times New Roman" w:cs="Times New Roman"/>
          <w:sz w:val="28"/>
          <w:szCs w:val="28"/>
        </w:rPr>
        <w:t xml:space="preserve">12,5 </w:t>
      </w:r>
      <w:r w:rsidR="006F4FCE" w:rsidRPr="00F55FD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F4FCE">
        <w:rPr>
          <w:rFonts w:ascii="Times New Roman" w:hAnsi="Times New Roman" w:cs="Times New Roman"/>
          <w:sz w:val="28"/>
          <w:szCs w:val="28"/>
        </w:rPr>
        <w:t>на 18 процент</w:t>
      </w:r>
      <w:r w:rsidR="00855DE9">
        <w:rPr>
          <w:rFonts w:ascii="Times New Roman" w:hAnsi="Times New Roman" w:cs="Times New Roman"/>
          <w:sz w:val="28"/>
          <w:szCs w:val="28"/>
        </w:rPr>
        <w:t>ов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EA7676" w:rsidRPr="00F55FD7" w:rsidRDefault="00EA7676" w:rsidP="00EA7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14" w:rsidRDefault="00EA7676" w:rsidP="00ED41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FD7">
        <w:rPr>
          <w:rFonts w:ascii="Times New Roman" w:hAnsi="Times New Roman" w:cs="Times New Roman"/>
          <w:sz w:val="28"/>
          <w:szCs w:val="28"/>
        </w:rPr>
        <w:t>1.</w:t>
      </w:r>
      <w:r w:rsidR="00ED4114">
        <w:rPr>
          <w:rFonts w:ascii="Times New Roman" w:hAnsi="Times New Roman" w:cs="Times New Roman"/>
          <w:sz w:val="28"/>
          <w:szCs w:val="28"/>
        </w:rPr>
        <w:t>Принять все необходимые меры к сокращению   кредиторской задолженности.</w:t>
      </w:r>
    </w:p>
    <w:p w:rsidR="00EA7676" w:rsidRPr="00F55FD7" w:rsidRDefault="00EA7676" w:rsidP="00ED41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2.В целях пополнения доходной части  бюджета поселения  рекомендуем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все необходимые меры по сокращению задолженности по налоговым доходам</w:t>
      </w:r>
      <w:r w:rsidR="00ED4114">
        <w:rPr>
          <w:rFonts w:ascii="Times New Roman" w:hAnsi="Times New Roman" w:cs="Times New Roman"/>
          <w:sz w:val="28"/>
          <w:szCs w:val="28"/>
        </w:rPr>
        <w:t>, в части налога на имущество</w:t>
      </w:r>
      <w:r w:rsidRPr="00F55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676" w:rsidRPr="000F0420" w:rsidRDefault="00EA7676" w:rsidP="00EA767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0F0420">
        <w:rPr>
          <w:rFonts w:ascii="Times New Roman" w:hAnsi="Times New Roman" w:cs="Times New Roman"/>
          <w:sz w:val="28"/>
          <w:szCs w:val="28"/>
        </w:rPr>
        <w:t>.Принять все необходимые меры по повышению исполнения 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0F0420">
        <w:rPr>
          <w:rFonts w:ascii="Times New Roman" w:hAnsi="Times New Roman" w:cs="Times New Roman"/>
          <w:sz w:val="28"/>
          <w:szCs w:val="28"/>
        </w:rPr>
        <w:t>.</w:t>
      </w:r>
    </w:p>
    <w:p w:rsidR="00EA7676" w:rsidRPr="000F0420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050F6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031D">
        <w:rPr>
          <w:rFonts w:ascii="Times New Roman" w:hAnsi="Times New Roman" w:cs="Times New Roman"/>
          <w:sz w:val="28"/>
          <w:szCs w:val="28"/>
        </w:rPr>
        <w:t>изменения</w:t>
      </w:r>
      <w:r w:rsidR="00050F69">
        <w:rPr>
          <w:rFonts w:ascii="Times New Roman" w:hAnsi="Times New Roman" w:cs="Times New Roman"/>
          <w:sz w:val="28"/>
          <w:szCs w:val="28"/>
        </w:rPr>
        <w:t xml:space="preserve"> в постановление от 16.05.207 года №15</w:t>
      </w:r>
      <w:r w:rsidR="0047031D">
        <w:rPr>
          <w:rFonts w:ascii="Times New Roman" w:hAnsi="Times New Roman" w:cs="Times New Roman"/>
          <w:sz w:val="28"/>
          <w:szCs w:val="28"/>
        </w:rPr>
        <w:t>, которые отражены</w:t>
      </w:r>
      <w:r w:rsidR="00050F69">
        <w:rPr>
          <w:rFonts w:ascii="Times New Roman" w:hAnsi="Times New Roman" w:cs="Times New Roman"/>
          <w:sz w:val="28"/>
          <w:szCs w:val="28"/>
        </w:rPr>
        <w:t xml:space="preserve"> в данном заключении, так же д</w:t>
      </w:r>
      <w:r>
        <w:rPr>
          <w:rFonts w:ascii="Times New Roman" w:hAnsi="Times New Roman" w:cs="Times New Roman"/>
          <w:sz w:val="28"/>
          <w:szCs w:val="28"/>
        </w:rPr>
        <w:t xml:space="preserve">ополнить  </w:t>
      </w:r>
      <w:r w:rsidR="00050F69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приложением </w:t>
      </w:r>
      <w:r w:rsidRPr="000F0420">
        <w:rPr>
          <w:rFonts w:ascii="Times New Roman" w:hAnsi="Times New Roman" w:cs="Times New Roman"/>
          <w:sz w:val="28"/>
          <w:szCs w:val="28"/>
        </w:rPr>
        <w:t>3 по показателям дефицита (профицита) бюджета поселения.</w:t>
      </w:r>
    </w:p>
    <w:p w:rsidR="00EA7676" w:rsidRPr="00F55FD7" w:rsidRDefault="00050F69" w:rsidP="00EA767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Принять меры к использованию остатка средств в сумме 20,2 тыс. рублей по Дорожному фонду.</w:t>
      </w:r>
    </w:p>
    <w:p w:rsidR="00EA7676" w:rsidRPr="00F55FD7" w:rsidRDefault="00EA7676" w:rsidP="00EA767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EA7676" w:rsidRPr="00F55FD7" w:rsidRDefault="00EA7676" w:rsidP="00EA7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D7">
        <w:rPr>
          <w:rFonts w:ascii="Times New Roman" w:hAnsi="Times New Roman" w:cs="Times New Roman"/>
          <w:sz w:val="28"/>
          <w:szCs w:val="28"/>
        </w:rPr>
        <w:t>М.И.</w:t>
      </w:r>
      <w:r w:rsidR="00855DE9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Шестакова</w:t>
      </w:r>
    </w:p>
    <w:p w:rsidR="00EA7676" w:rsidRPr="006A7260" w:rsidRDefault="00EA7676" w:rsidP="00EA767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A7676" w:rsidRDefault="00EA7676" w:rsidP="00EA7676"/>
    <w:p w:rsidR="00EA7676" w:rsidRDefault="00EA7676" w:rsidP="00EA7676"/>
    <w:p w:rsidR="006B6A7F" w:rsidRDefault="006B6A7F"/>
    <w:sectPr w:rsidR="006B6A7F" w:rsidSect="00EA7676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24" w:rsidRDefault="00D33124">
      <w:pPr>
        <w:spacing w:after="0" w:line="240" w:lineRule="auto"/>
      </w:pPr>
      <w:r>
        <w:separator/>
      </w:r>
    </w:p>
  </w:endnote>
  <w:endnote w:type="continuationSeparator" w:id="0">
    <w:p w:rsidR="00D33124" w:rsidRDefault="00D3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24" w:rsidRDefault="00D33124">
      <w:pPr>
        <w:spacing w:after="0" w:line="240" w:lineRule="auto"/>
      </w:pPr>
      <w:r>
        <w:separator/>
      </w:r>
    </w:p>
  </w:footnote>
  <w:footnote w:type="continuationSeparator" w:id="0">
    <w:p w:rsidR="00D33124" w:rsidRDefault="00D3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8" w:rsidRDefault="00BF26D8" w:rsidP="00EA767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F26D8" w:rsidRDefault="00BF26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8" w:rsidRDefault="00BF26D8" w:rsidP="00EA767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09A">
      <w:rPr>
        <w:rStyle w:val="a8"/>
        <w:noProof/>
      </w:rPr>
      <w:t>15</w:t>
    </w:r>
    <w:r>
      <w:rPr>
        <w:rStyle w:val="a8"/>
      </w:rPr>
      <w:fldChar w:fldCharType="end"/>
    </w:r>
  </w:p>
  <w:p w:rsidR="00BF26D8" w:rsidRDefault="00BF26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5"/>
    <w:rsid w:val="00016E78"/>
    <w:rsid w:val="00050F69"/>
    <w:rsid w:val="000544E3"/>
    <w:rsid w:val="0007509A"/>
    <w:rsid w:val="000962E6"/>
    <w:rsid w:val="0012287F"/>
    <w:rsid w:val="001239F1"/>
    <w:rsid w:val="0021217B"/>
    <w:rsid w:val="002C545E"/>
    <w:rsid w:val="0039345C"/>
    <w:rsid w:val="0039449A"/>
    <w:rsid w:val="003B0CCC"/>
    <w:rsid w:val="003B4F9D"/>
    <w:rsid w:val="0041037E"/>
    <w:rsid w:val="0047031D"/>
    <w:rsid w:val="00507ED0"/>
    <w:rsid w:val="00542356"/>
    <w:rsid w:val="00567F72"/>
    <w:rsid w:val="005B1D59"/>
    <w:rsid w:val="005C1E13"/>
    <w:rsid w:val="00645041"/>
    <w:rsid w:val="00663E2E"/>
    <w:rsid w:val="006B6A7F"/>
    <w:rsid w:val="006E46DA"/>
    <w:rsid w:val="006F4FCE"/>
    <w:rsid w:val="00760798"/>
    <w:rsid w:val="007630F5"/>
    <w:rsid w:val="007E0164"/>
    <w:rsid w:val="007F07F6"/>
    <w:rsid w:val="008448F4"/>
    <w:rsid w:val="00855DE9"/>
    <w:rsid w:val="008B39C3"/>
    <w:rsid w:val="008C7A79"/>
    <w:rsid w:val="008D437C"/>
    <w:rsid w:val="008E2209"/>
    <w:rsid w:val="00904332"/>
    <w:rsid w:val="00952995"/>
    <w:rsid w:val="0099034A"/>
    <w:rsid w:val="009D733D"/>
    <w:rsid w:val="009E22DA"/>
    <w:rsid w:val="009F3932"/>
    <w:rsid w:val="009F5C3E"/>
    <w:rsid w:val="00A33C04"/>
    <w:rsid w:val="00A6108B"/>
    <w:rsid w:val="00A91442"/>
    <w:rsid w:val="00AB3AF4"/>
    <w:rsid w:val="00AE3057"/>
    <w:rsid w:val="00B338DC"/>
    <w:rsid w:val="00BA31FE"/>
    <w:rsid w:val="00BF26D8"/>
    <w:rsid w:val="00CD2547"/>
    <w:rsid w:val="00D33124"/>
    <w:rsid w:val="00DE408F"/>
    <w:rsid w:val="00E10603"/>
    <w:rsid w:val="00E11E9B"/>
    <w:rsid w:val="00E15630"/>
    <w:rsid w:val="00E23201"/>
    <w:rsid w:val="00E71213"/>
    <w:rsid w:val="00EA7676"/>
    <w:rsid w:val="00ED4114"/>
    <w:rsid w:val="00ED668F"/>
    <w:rsid w:val="00EE0FD1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A7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A7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A7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7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A7676"/>
  </w:style>
  <w:style w:type="paragraph" w:customStyle="1" w:styleId="ConsPlusTitle">
    <w:name w:val="ConsPlusTitle"/>
    <w:rsid w:val="00EA7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A7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EA767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EA767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6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A767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A767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A7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A7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A7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A7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7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A7676"/>
  </w:style>
  <w:style w:type="paragraph" w:customStyle="1" w:styleId="ConsPlusTitle">
    <w:name w:val="ConsPlusTitle"/>
    <w:rsid w:val="00EA7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A7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A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EA767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EA767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6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A767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A767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A7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3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Госпошлина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6.2</c:v>
                </c:pt>
                <c:pt idx="1">
                  <c:v>1.3</c:v>
                </c:pt>
                <c:pt idx="2">
                  <c:v>6.2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3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Госпошлина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-4.3</c:v>
                </c:pt>
                <c:pt idx="1">
                  <c:v>3.9</c:v>
                </c:pt>
                <c:pt idx="2">
                  <c:v>8</c:v>
                </c:pt>
                <c:pt idx="3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255488"/>
        <c:axId val="172257280"/>
        <c:axId val="0"/>
      </c:bar3DChart>
      <c:catAx>
        <c:axId val="172255488"/>
        <c:scaling>
          <c:orientation val="minMax"/>
        </c:scaling>
        <c:delete val="0"/>
        <c:axPos val="l"/>
        <c:majorTickMark val="out"/>
        <c:minorTickMark val="none"/>
        <c:tickLblPos val="nextTo"/>
        <c:crossAx val="172257280"/>
        <c:crosses val="autoZero"/>
        <c:auto val="1"/>
        <c:lblAlgn val="ctr"/>
        <c:lblOffset val="100"/>
        <c:noMultiLvlLbl val="0"/>
      </c:catAx>
      <c:valAx>
        <c:axId val="172257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25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82852143482065E-2"/>
          <c:y val="2.8252405949256341E-2"/>
          <c:w val="0.89501295931758529"/>
          <c:h val="0.654832135113545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3 месяцев 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Лист1!$B$33:$E$33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 прочие безвозмездные поступления </c:v>
                </c:pt>
              </c:strCache>
            </c:strRef>
          </c:cat>
          <c:val>
            <c:numRef>
              <c:f>Лист1!$B$34:$E$34</c:f>
              <c:numCache>
                <c:formatCode>General</c:formatCode>
                <c:ptCount val="4"/>
                <c:pt idx="0">
                  <c:v>418.3</c:v>
                </c:pt>
                <c:pt idx="1">
                  <c:v>20</c:v>
                </c:pt>
                <c:pt idx="2">
                  <c:v>45.2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3 месяцев 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Лист1!$B$33:$E$33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 прочие безвозмездные поступления </c:v>
                </c:pt>
              </c:strCache>
            </c:strRef>
          </c:cat>
          <c:val>
            <c:numRef>
              <c:f>Лист1!$B$35:$E$35</c:f>
              <c:numCache>
                <c:formatCode>General</c:formatCode>
                <c:ptCount val="4"/>
                <c:pt idx="0">
                  <c:v>429.5</c:v>
                </c:pt>
                <c:pt idx="1">
                  <c:v>22.7</c:v>
                </c:pt>
                <c:pt idx="2">
                  <c:v>21.9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430848"/>
        <c:axId val="172432384"/>
        <c:axId val="0"/>
      </c:bar3DChart>
      <c:catAx>
        <c:axId val="17243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2432384"/>
        <c:crosses val="autoZero"/>
        <c:auto val="1"/>
        <c:lblAlgn val="ctr"/>
        <c:lblOffset val="100"/>
        <c:noMultiLvlLbl val="0"/>
      </c:catAx>
      <c:valAx>
        <c:axId val="1724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43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54265091863522"/>
          <c:y val="0.84758575830195138"/>
          <c:w val="0.27795734908136482"/>
          <c:h val="0.128016889193198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3 месяцев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359.4</c:v>
                </c:pt>
                <c:pt idx="1">
                  <c:v>20</c:v>
                </c:pt>
                <c:pt idx="2">
                  <c:v>6.5</c:v>
                </c:pt>
                <c:pt idx="3">
                  <c:v>44.5</c:v>
                </c:pt>
                <c:pt idx="4">
                  <c:v>18</c:v>
                </c:pt>
                <c:pt idx="5">
                  <c:v>0</c:v>
                </c:pt>
                <c:pt idx="6">
                  <c:v>95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3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356.3</c:v>
                </c:pt>
                <c:pt idx="1">
                  <c:v>22.7</c:v>
                </c:pt>
                <c:pt idx="2">
                  <c:v>0</c:v>
                </c:pt>
                <c:pt idx="3">
                  <c:v>18.7</c:v>
                </c:pt>
                <c:pt idx="4">
                  <c:v>13</c:v>
                </c:pt>
                <c:pt idx="5">
                  <c:v>0</c:v>
                </c:pt>
                <c:pt idx="6">
                  <c:v>80</c:v>
                </c:pt>
                <c:pt idx="7">
                  <c:v>0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351296"/>
        <c:axId val="237352832"/>
      </c:barChart>
      <c:catAx>
        <c:axId val="237351296"/>
        <c:scaling>
          <c:orientation val="minMax"/>
        </c:scaling>
        <c:delete val="0"/>
        <c:axPos val="l"/>
        <c:majorTickMark val="out"/>
        <c:minorTickMark val="none"/>
        <c:tickLblPos val="nextTo"/>
        <c:crossAx val="237352832"/>
        <c:crosses val="autoZero"/>
        <c:auto val="1"/>
        <c:lblAlgn val="ctr"/>
        <c:lblOffset val="100"/>
        <c:noMultiLvlLbl val="0"/>
      </c:catAx>
      <c:valAx>
        <c:axId val="237352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735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83879567410099"/>
          <c:y val="0.83811339711568311"/>
          <c:w val="0.30519959874125679"/>
          <c:h val="0.149579431603307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66,1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3,7%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92638036809816E-2"/>
                  <c:y val="-0.125589990087343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8,2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ЖКХ</a:t>
                    </a:r>
                    <a:r>
                      <a:rPr lang="ru-RU" baseline="0"/>
                      <a:t> 3,3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22,6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0,0 %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66.099999999999994</c:v>
                </c:pt>
                <c:pt idx="1">
                  <c:v>3.7</c:v>
                </c:pt>
                <c:pt idx="2">
                  <c:v>1.2</c:v>
                </c:pt>
                <c:pt idx="3">
                  <c:v>8.1999999999999993</c:v>
                </c:pt>
                <c:pt idx="4">
                  <c:v>3.3</c:v>
                </c:pt>
                <c:pt idx="5">
                  <c:v>0</c:v>
                </c:pt>
                <c:pt idx="6">
                  <c:v>17.5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E197-8137-4795-8D2D-A4ED54E8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2017-05-18T07:59:00Z</cp:lastPrinted>
  <dcterms:created xsi:type="dcterms:W3CDTF">2023-06-28T11:29:00Z</dcterms:created>
  <dcterms:modified xsi:type="dcterms:W3CDTF">2023-06-28T11:29:00Z</dcterms:modified>
</cp:coreProperties>
</file>