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</w:t>
      </w:r>
      <w:proofErr w:type="spellStart"/>
      <w:r w:rsidRPr="00E95E34">
        <w:rPr>
          <w:rFonts w:ascii="Times New Roman" w:hAnsi="Times New Roman" w:cs="Times New Roman"/>
          <w:sz w:val="26"/>
          <w:szCs w:val="26"/>
        </w:rPr>
        <w:t>О.А.Дудина</w:t>
      </w:r>
      <w:proofErr w:type="spellEnd"/>
      <w:r w:rsidRPr="00E95E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6F6DBB">
        <w:rPr>
          <w:rFonts w:ascii="Times New Roman" w:hAnsi="Times New Roman" w:cs="Times New Roman"/>
          <w:sz w:val="28"/>
          <w:szCs w:val="28"/>
        </w:rPr>
        <w:t>10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6F6DBB">
        <w:rPr>
          <w:rFonts w:ascii="Times New Roman" w:hAnsi="Times New Roman" w:cs="Times New Roman"/>
          <w:sz w:val="28"/>
          <w:szCs w:val="28"/>
        </w:rPr>
        <w:t>августа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D60C6B">
      <w:pPr>
        <w:pStyle w:val="ad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</w:r>
      <w:proofErr w:type="gramStart"/>
      <w:r w:rsidRPr="005C2F8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F6DB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 xml:space="preserve">лана работы ревизионной комиссии Представительного Собрания района на 2016 год, ревизионной комиссией проведен анализ исполнения бюджета поселения за 1 </w:t>
      </w:r>
      <w:r w:rsidR="006F6DBB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6F6DBB">
        <w:rPr>
          <w:rFonts w:ascii="Times New Roman" w:hAnsi="Times New Roman" w:cs="Times New Roman"/>
          <w:sz w:val="28"/>
          <w:szCs w:val="28"/>
        </w:rPr>
        <w:t>27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6F6DBB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6DB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18 Положения о ревизионной комиссии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Междуреченского муниципального района,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от 20 сентября 2011 года № 35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77199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от </w:t>
      </w:r>
      <w:r w:rsidR="0077199A">
        <w:rPr>
          <w:rFonts w:ascii="Times New Roman" w:hAnsi="Times New Roman" w:cs="Times New Roman"/>
          <w:sz w:val="28"/>
          <w:szCs w:val="28"/>
        </w:rPr>
        <w:t>27 июля</w:t>
      </w:r>
      <w:r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77199A">
        <w:rPr>
          <w:rFonts w:ascii="Times New Roman" w:hAnsi="Times New Roman" w:cs="Times New Roman"/>
          <w:sz w:val="28"/>
          <w:szCs w:val="28"/>
        </w:rPr>
        <w:t>33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год» в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три раза</w:t>
      </w:r>
      <w:r w:rsidR="00C04761">
        <w:rPr>
          <w:rFonts w:ascii="Times New Roman" w:hAnsi="Times New Roman" w:cs="Times New Roman"/>
          <w:sz w:val="28"/>
          <w:szCs w:val="28"/>
        </w:rPr>
        <w:t>, решениями Совета поселения от 25.03., 30.05., 28.06.2016 года № 311, 315, 317 соответственно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304BCF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утвержден  решением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4B16CA">
        <w:rPr>
          <w:rFonts w:ascii="Times New Roman" w:hAnsi="Times New Roman" w:cs="Times New Roman"/>
          <w:sz w:val="28"/>
          <w:szCs w:val="28"/>
        </w:rPr>
        <w:t>от 25 декабря 2015 года № 300, со  следующими параметрами: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3741,0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3741,0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D60C6B" w:rsidRPr="004B16CA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          - объем доходов бюджета поселения – </w:t>
      </w:r>
      <w:r w:rsidR="001342AD" w:rsidRPr="001342AD">
        <w:rPr>
          <w:rFonts w:ascii="Times New Roman" w:hAnsi="Times New Roman" w:cs="Times New Roman"/>
          <w:sz w:val="28"/>
          <w:szCs w:val="28"/>
        </w:rPr>
        <w:t>4015,7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1342AD" w:rsidRPr="001342AD">
        <w:rPr>
          <w:rFonts w:ascii="Times New Roman" w:hAnsi="Times New Roman" w:cs="Times New Roman"/>
          <w:sz w:val="28"/>
          <w:szCs w:val="28"/>
        </w:rPr>
        <w:t>4041,7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>- дефицита бюджета поселения составил 26,0 тыс. рублей в пределах остатка средств на счетах поселения по состоянию на 01.01.2016 года.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1342AD" w:rsidRPr="001342AD">
        <w:rPr>
          <w:rFonts w:ascii="Times New Roman" w:hAnsi="Times New Roman" w:cs="Times New Roman"/>
          <w:sz w:val="28"/>
          <w:szCs w:val="28"/>
        </w:rPr>
        <w:t>1835,8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42AD" w:rsidRPr="001342AD">
        <w:rPr>
          <w:rFonts w:ascii="Times New Roman" w:hAnsi="Times New Roman" w:cs="Times New Roman"/>
          <w:sz w:val="28"/>
          <w:szCs w:val="28"/>
        </w:rPr>
        <w:t>45,7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1342AD" w:rsidRPr="001342AD">
        <w:rPr>
          <w:rFonts w:ascii="Times New Roman" w:hAnsi="Times New Roman" w:cs="Times New Roman"/>
          <w:sz w:val="28"/>
          <w:szCs w:val="28"/>
        </w:rPr>
        <w:t>4015,7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1342AD" w:rsidRPr="001342AD">
        <w:rPr>
          <w:rFonts w:ascii="Times New Roman" w:hAnsi="Times New Roman" w:cs="Times New Roman"/>
          <w:sz w:val="28"/>
          <w:szCs w:val="28"/>
        </w:rPr>
        <w:t>1856,2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42AD" w:rsidRPr="001342AD">
        <w:rPr>
          <w:rFonts w:ascii="Times New Roman" w:hAnsi="Times New Roman" w:cs="Times New Roman"/>
          <w:sz w:val="28"/>
          <w:szCs w:val="28"/>
        </w:rPr>
        <w:t>45,9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1342AD" w:rsidRPr="001342AD">
        <w:rPr>
          <w:rFonts w:ascii="Times New Roman" w:hAnsi="Times New Roman" w:cs="Times New Roman"/>
          <w:sz w:val="28"/>
          <w:szCs w:val="28"/>
        </w:rPr>
        <w:t>4041,7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дефицит – </w:t>
      </w:r>
      <w:r w:rsidR="00091356">
        <w:rPr>
          <w:rFonts w:ascii="Times New Roman" w:hAnsi="Times New Roman" w:cs="Times New Roman"/>
          <w:sz w:val="28"/>
          <w:szCs w:val="28"/>
        </w:rPr>
        <w:t>20,4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1342A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134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Исполнение за 1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полугодии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2015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Отклонение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(гр.4 –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Отношение 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2016 года  к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полугодию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 4/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D60C6B" w:rsidRPr="00EE5089" w:rsidRDefault="00EE5089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1660,0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4015,7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1835,8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276" w:type="dxa"/>
          </w:tcPr>
          <w:p w:rsidR="00D60C6B" w:rsidRPr="00EE5089" w:rsidRDefault="00EE5089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175,8</w:t>
            </w:r>
          </w:p>
        </w:tc>
        <w:tc>
          <w:tcPr>
            <w:tcW w:w="1417" w:type="dxa"/>
          </w:tcPr>
          <w:p w:rsidR="00D60C6B" w:rsidRPr="00EE5089" w:rsidRDefault="00EE5089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4041,7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1856,2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176,1</w:t>
            </w:r>
          </w:p>
        </w:tc>
        <w:tc>
          <w:tcPr>
            <w:tcW w:w="1417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-20,1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-26,0</w:t>
            </w:r>
          </w:p>
        </w:tc>
        <w:tc>
          <w:tcPr>
            <w:tcW w:w="1276" w:type="dxa"/>
          </w:tcPr>
          <w:p w:rsidR="00D60C6B" w:rsidRPr="00EE5089" w:rsidRDefault="00D60C6B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8B125A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8B125A">
        <w:rPr>
          <w:rFonts w:ascii="Times New Roman" w:hAnsi="Times New Roman" w:cs="Times New Roman"/>
          <w:sz w:val="28"/>
          <w:szCs w:val="28"/>
        </w:rPr>
        <w:t>175,8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125A">
        <w:rPr>
          <w:rFonts w:ascii="Times New Roman" w:hAnsi="Times New Roman" w:cs="Times New Roman"/>
          <w:sz w:val="28"/>
          <w:szCs w:val="28"/>
        </w:rPr>
        <w:t>10,6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также увеличились на </w:t>
      </w:r>
      <w:r w:rsidR="008B125A">
        <w:rPr>
          <w:rFonts w:ascii="Times New Roman" w:hAnsi="Times New Roman" w:cs="Times New Roman"/>
          <w:sz w:val="28"/>
          <w:szCs w:val="28"/>
        </w:rPr>
        <w:t>176,1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8B125A">
        <w:rPr>
          <w:rFonts w:ascii="Times New Roman" w:hAnsi="Times New Roman" w:cs="Times New Roman"/>
          <w:sz w:val="28"/>
          <w:szCs w:val="28"/>
        </w:rPr>
        <w:t>10,5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8B125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8B125A">
        <w:rPr>
          <w:rFonts w:ascii="Times New Roman" w:hAnsi="Times New Roman" w:cs="Times New Roman"/>
          <w:sz w:val="28"/>
          <w:szCs w:val="28"/>
        </w:rPr>
        <w:t>20,4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>также с 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125A">
        <w:rPr>
          <w:rFonts w:ascii="Times New Roman" w:hAnsi="Times New Roman" w:cs="Times New Roman"/>
          <w:sz w:val="28"/>
          <w:szCs w:val="28"/>
        </w:rPr>
        <w:t>20,1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678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году  по сравнению с первоначально утвержденными показателями изменена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33678">
        <w:rPr>
          <w:rFonts w:ascii="Times New Roman" w:hAnsi="Times New Roman" w:cs="Times New Roman"/>
          <w:sz w:val="28"/>
          <w:szCs w:val="28"/>
        </w:rPr>
        <w:t>й</w:t>
      </w:r>
      <w:r w:rsidR="00C33678"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33678">
        <w:rPr>
          <w:rFonts w:ascii="Times New Roman" w:hAnsi="Times New Roman" w:cs="Times New Roman"/>
          <w:sz w:val="28"/>
          <w:szCs w:val="28"/>
        </w:rPr>
        <w:t>Совета поселения Ботановское  от 25.03., 30.05., 28.06.2016 года № 311, 315, 317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произошло увеличение на </w:t>
      </w:r>
      <w:r w:rsidR="00C33678">
        <w:rPr>
          <w:rFonts w:ascii="Times New Roman" w:hAnsi="Times New Roman" w:cs="Times New Roman"/>
          <w:sz w:val="28"/>
          <w:szCs w:val="28"/>
        </w:rPr>
        <w:t>117,7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367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60C6B" w:rsidRPr="005C2F87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50,0 тыс. рублей за  </w:t>
      </w:r>
      <w:r w:rsidR="00D60C6B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D60C6B">
        <w:rPr>
          <w:rFonts w:ascii="Times New Roman" w:hAnsi="Times New Roman" w:cs="Times New Roman"/>
          <w:sz w:val="28"/>
          <w:szCs w:val="28"/>
        </w:rPr>
        <w:t xml:space="preserve"> муниципального имущества – автомобиля ВАЗ-21053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C6B" w:rsidRPr="00C33678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678">
        <w:rPr>
          <w:rFonts w:ascii="Times New Roman" w:hAnsi="Times New Roman" w:cs="Times New Roman"/>
          <w:sz w:val="28"/>
          <w:szCs w:val="28"/>
        </w:rPr>
        <w:t xml:space="preserve">    - 41,5</w:t>
      </w:r>
      <w:r w:rsidR="00A670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3678">
        <w:rPr>
          <w:rFonts w:ascii="Times New Roman" w:hAnsi="Times New Roman" w:cs="Times New Roman"/>
          <w:sz w:val="28"/>
          <w:szCs w:val="28"/>
        </w:rPr>
        <w:t xml:space="preserve"> поступление  земельного налога;</w:t>
      </w:r>
    </w:p>
    <w:p w:rsidR="00C33678" w:rsidRPr="00C33678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678">
        <w:rPr>
          <w:rFonts w:ascii="Times New Roman" w:hAnsi="Times New Roman" w:cs="Times New Roman"/>
          <w:sz w:val="28"/>
          <w:szCs w:val="28"/>
        </w:rPr>
        <w:t xml:space="preserve">    -26,2 </w:t>
      </w:r>
      <w:r w:rsidR="00A67018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C33678">
        <w:rPr>
          <w:rFonts w:ascii="Times New Roman" w:hAnsi="Times New Roman" w:cs="Times New Roman"/>
          <w:sz w:val="28"/>
          <w:szCs w:val="28"/>
        </w:rPr>
        <w:t>поступление арендной платы от сдачи в аренду муниципального имущества.</w:t>
      </w:r>
    </w:p>
    <w:p w:rsidR="00C3200D" w:rsidRPr="00336BE2" w:rsidRDefault="00D60C6B" w:rsidP="00336B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1 </w:t>
      </w:r>
      <w:r w:rsidR="00336BE2">
        <w:rPr>
          <w:rFonts w:ascii="Times New Roman" w:hAnsi="Times New Roman" w:cs="Times New Roman"/>
          <w:sz w:val="28"/>
          <w:szCs w:val="28"/>
        </w:rPr>
        <w:t>полугоди</w:t>
      </w:r>
      <w:r w:rsidR="00C3200D">
        <w:rPr>
          <w:rFonts w:ascii="Times New Roman" w:hAnsi="Times New Roman" w:cs="Times New Roman"/>
          <w:sz w:val="28"/>
          <w:szCs w:val="28"/>
        </w:rPr>
        <w:t>е</w:t>
      </w:r>
      <w:r w:rsidRPr="00E75992">
        <w:rPr>
          <w:rFonts w:ascii="Times New Roman" w:hAnsi="Times New Roman" w:cs="Times New Roman"/>
          <w:sz w:val="28"/>
          <w:szCs w:val="28"/>
        </w:rPr>
        <w:t xml:space="preserve">  2016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</w:p>
    <w:p w:rsidR="00336BE2" w:rsidRPr="00336BE2" w:rsidRDefault="00336BE2" w:rsidP="00336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BE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36BE2">
        <w:rPr>
          <w:rFonts w:ascii="Times New Roman" w:eastAsia="Times New Roman" w:hAnsi="Times New Roman" w:cs="Times New Roman"/>
        </w:rPr>
        <w:t xml:space="preserve">Таблица № 2                   </w:t>
      </w:r>
      <w:r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2015год</w:t>
            </w:r>
          </w:p>
        </w:tc>
        <w:tc>
          <w:tcPr>
            <w:tcW w:w="99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1 полугодие 2015 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1 полугодия 2016 год 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полугодия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года </w:t>
            </w:r>
            <w:proofErr w:type="gramStart"/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полугодия</w:t>
            </w:r>
          </w:p>
          <w:p w:rsidR="00336BE2" w:rsidRPr="00336BE2" w:rsidRDefault="00336BE2" w:rsidP="00336BE2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полугодия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b/>
                <w:sz w:val="24"/>
                <w:szCs w:val="24"/>
              </w:rPr>
              <w:t>723,0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658">
              <w:rPr>
                <w:rFonts w:ascii="Times New Roman" w:hAnsi="Times New Roman" w:cs="Times New Roman"/>
                <w:b/>
              </w:rPr>
              <w:t>245,1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497,5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131,1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-114,0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53,5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уплаты акцизов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634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-113,0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92658" w:rsidRPr="00336BE2" w:rsidRDefault="00993F42" w:rsidP="00B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C0AC4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b/>
                <w:sz w:val="24"/>
                <w:szCs w:val="24"/>
              </w:rPr>
              <w:t>124,0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658">
              <w:rPr>
                <w:rFonts w:ascii="Times New Roman" w:hAnsi="Times New Roman" w:cs="Times New Roman"/>
                <w:b/>
              </w:rPr>
              <w:t>167,3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134,9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362,2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182,2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108,9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-35,1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92658" w:rsidRPr="00192658" w:rsidRDefault="001B4298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b/>
                <w:sz w:val="24"/>
                <w:szCs w:val="24"/>
              </w:rPr>
              <w:t>847,0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658">
              <w:rPr>
                <w:rFonts w:ascii="Times New Roman" w:hAnsi="Times New Roman" w:cs="Times New Roman"/>
                <w:b/>
              </w:rPr>
              <w:t>412,4</w:t>
            </w:r>
          </w:p>
        </w:tc>
        <w:tc>
          <w:tcPr>
            <w:tcW w:w="709" w:type="dxa"/>
          </w:tcPr>
          <w:p w:rsidR="00192658" w:rsidRPr="00192658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859,7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36,4</w:t>
            </w:r>
          </w:p>
        </w:tc>
        <w:tc>
          <w:tcPr>
            <w:tcW w:w="851" w:type="dxa"/>
          </w:tcPr>
          <w:p w:rsidR="00192658" w:rsidRPr="00336BE2" w:rsidRDefault="008C570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-99,1</w:t>
            </w:r>
          </w:p>
        </w:tc>
        <w:tc>
          <w:tcPr>
            <w:tcW w:w="850" w:type="dxa"/>
          </w:tcPr>
          <w:p w:rsidR="00192658" w:rsidRPr="00336BE2" w:rsidRDefault="008C570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b/>
                <w:sz w:val="24"/>
                <w:szCs w:val="24"/>
              </w:rPr>
              <w:t>3037,1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1247,6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850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3156,0</w:t>
            </w:r>
          </w:p>
        </w:tc>
        <w:tc>
          <w:tcPr>
            <w:tcW w:w="851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1522,5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851" w:type="dxa"/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274,9</w:t>
            </w:r>
          </w:p>
        </w:tc>
        <w:tc>
          <w:tcPr>
            <w:tcW w:w="850" w:type="dxa"/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41,9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2558,4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1212,3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851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1374,2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51" w:type="dxa"/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850" w:type="dxa"/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992" w:type="dxa"/>
          </w:tcPr>
          <w:p w:rsidR="00192658" w:rsidRPr="00192658" w:rsidRDefault="00442696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09" w:type="dxa"/>
          </w:tcPr>
          <w:p w:rsidR="00192658" w:rsidRPr="00336BE2" w:rsidRDefault="004426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851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92658" w:rsidRPr="00336BE2" w:rsidRDefault="004426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0" w:type="dxa"/>
          </w:tcPr>
          <w:p w:rsidR="00192658" w:rsidRPr="00336BE2" w:rsidRDefault="004426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суб</w:t>
            </w:r>
            <w:r w:rsidR="004815E6">
              <w:rPr>
                <w:rFonts w:ascii="Times New Roman" w:eastAsia="Times New Roman" w:hAnsi="Times New Roman" w:cs="Times New Roman"/>
              </w:rPr>
              <w:t>сидии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192658" w:rsidRPr="00192658" w:rsidRDefault="00442696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92658" w:rsidRPr="00336BE2" w:rsidRDefault="004426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4426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</w:rPr>
            </w:pPr>
            <w:r w:rsidRPr="001926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850" w:type="dxa"/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850" w:type="dxa"/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14A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514A1" w:rsidRPr="00336BE2" w:rsidRDefault="00F514A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F514A1" w:rsidRPr="00192658" w:rsidRDefault="00F514A1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514A1" w:rsidRPr="00192658" w:rsidRDefault="00F514A1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514A1" w:rsidRDefault="00F514A1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514A1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</w:tcPr>
          <w:p w:rsidR="00F514A1" w:rsidRPr="00336BE2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514A1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514A1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514A1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658" w:rsidRPr="00336BE2" w:rsidTr="00336BE2">
        <w:trPr>
          <w:trHeight w:val="309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b/>
                <w:sz w:val="24"/>
                <w:szCs w:val="24"/>
              </w:rPr>
              <w:t>3884,1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658">
              <w:rPr>
                <w:rFonts w:ascii="Times New Roman" w:hAnsi="Times New Roman" w:cs="Times New Roman"/>
                <w:b/>
              </w:rPr>
              <w:t>1660,0</w:t>
            </w:r>
          </w:p>
        </w:tc>
        <w:tc>
          <w:tcPr>
            <w:tcW w:w="709" w:type="dxa"/>
          </w:tcPr>
          <w:p w:rsidR="00192658" w:rsidRPr="00336BE2" w:rsidRDefault="001B42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4015,7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1835,8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993F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1459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92658" w:rsidRPr="00336BE2" w:rsidRDefault="00192658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BE2" w:rsidRPr="00336BE2" w:rsidRDefault="00336BE2" w:rsidP="00336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BC0AC4">
        <w:rPr>
          <w:rFonts w:ascii="Times New Roman" w:hAnsi="Times New Roman" w:cs="Times New Roman"/>
          <w:sz w:val="28"/>
          <w:szCs w:val="28"/>
        </w:rPr>
        <w:t>313,3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0AC4">
        <w:rPr>
          <w:rFonts w:ascii="Times New Roman" w:hAnsi="Times New Roman" w:cs="Times New Roman"/>
          <w:sz w:val="28"/>
          <w:szCs w:val="28"/>
        </w:rPr>
        <w:t>36,4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BC0AC4">
        <w:rPr>
          <w:rFonts w:ascii="Times New Roman" w:hAnsi="Times New Roman" w:cs="Times New Roman"/>
          <w:sz w:val="28"/>
          <w:szCs w:val="28"/>
        </w:rPr>
        <w:t>859,7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BC0AC4">
        <w:rPr>
          <w:rFonts w:ascii="Times New Roman" w:hAnsi="Times New Roman" w:cs="Times New Roman"/>
          <w:sz w:val="28"/>
          <w:szCs w:val="28"/>
        </w:rPr>
        <w:t>99,1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C0AC4">
        <w:rPr>
          <w:rFonts w:ascii="Times New Roman" w:hAnsi="Times New Roman" w:cs="Times New Roman"/>
          <w:sz w:val="28"/>
          <w:szCs w:val="28"/>
        </w:rPr>
        <w:t>24,0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75A18" w:rsidRDefault="00834CF1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 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лиц,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доходов от сдачи в аренду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с 01.01.2016 года в бюджет поселения перестали посту</w:t>
      </w:r>
      <w:r w:rsidR="00975A18">
        <w:rPr>
          <w:rFonts w:ascii="Times New Roman" w:hAnsi="Times New Roman" w:cs="Times New Roman"/>
          <w:sz w:val="28"/>
          <w:szCs w:val="28"/>
        </w:rPr>
        <w:t>пать доходы от уплаты акцизов.</w:t>
      </w:r>
    </w:p>
    <w:p w:rsidR="00C063DC" w:rsidRDefault="00C063DC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полугодии 2016 года отражена на следующей диаграмме: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тыс. руб.     </w:t>
      </w:r>
    </w:p>
    <w:p w:rsid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3DC" w:rsidRPr="005C2F87" w:rsidRDefault="003F4D42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314301" wp14:editId="1578CDEA">
            <wp:extent cx="6119495" cy="4449566"/>
            <wp:effectExtent l="0" t="0" r="1460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0C6B" w:rsidRPr="00FC168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C0AC4" w:rsidRPr="00FC168B">
        <w:rPr>
          <w:rFonts w:ascii="Times New Roman" w:hAnsi="Times New Roman" w:cs="Times New Roman"/>
          <w:sz w:val="28"/>
          <w:szCs w:val="28"/>
        </w:rPr>
        <w:t>131,1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BC0AC4" w:rsidRPr="00FC168B">
        <w:rPr>
          <w:rFonts w:ascii="Times New Roman" w:hAnsi="Times New Roman" w:cs="Times New Roman"/>
          <w:sz w:val="28"/>
          <w:szCs w:val="28"/>
        </w:rPr>
        <w:t>26,4</w:t>
      </w:r>
      <w:r w:rsidRPr="00FC168B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BC0AC4" w:rsidRPr="00FC168B">
        <w:rPr>
          <w:rFonts w:ascii="Times New Roman" w:hAnsi="Times New Roman" w:cs="Times New Roman"/>
          <w:sz w:val="28"/>
          <w:szCs w:val="28"/>
        </w:rPr>
        <w:t>497,5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2015 года налоговые доходы </w:t>
      </w:r>
      <w:r w:rsidR="00975A18" w:rsidRPr="00FC168B">
        <w:rPr>
          <w:rFonts w:ascii="Times New Roman" w:hAnsi="Times New Roman" w:cs="Times New Roman"/>
          <w:sz w:val="28"/>
          <w:szCs w:val="28"/>
        </w:rPr>
        <w:t>снизились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975A18" w:rsidRPr="00FC168B">
        <w:rPr>
          <w:rFonts w:ascii="Times New Roman" w:hAnsi="Times New Roman" w:cs="Times New Roman"/>
          <w:sz w:val="28"/>
          <w:szCs w:val="28"/>
        </w:rPr>
        <w:t>114,0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75A18" w:rsidRPr="00FC168B">
        <w:rPr>
          <w:rFonts w:ascii="Times New Roman" w:hAnsi="Times New Roman" w:cs="Times New Roman"/>
          <w:sz w:val="28"/>
          <w:szCs w:val="28"/>
        </w:rPr>
        <w:t>46,5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поселения уменьшилась на </w:t>
      </w:r>
      <w:r w:rsidR="00BC0AC4" w:rsidRPr="00FC168B">
        <w:rPr>
          <w:rFonts w:ascii="Times New Roman" w:hAnsi="Times New Roman" w:cs="Times New Roman"/>
          <w:sz w:val="28"/>
          <w:szCs w:val="28"/>
        </w:rPr>
        <w:t>7,7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процентных пункта и составила </w:t>
      </w:r>
      <w:r w:rsidR="00BC0AC4" w:rsidRPr="00FC168B">
        <w:rPr>
          <w:rFonts w:ascii="Times New Roman" w:hAnsi="Times New Roman" w:cs="Times New Roman"/>
          <w:sz w:val="28"/>
          <w:szCs w:val="28"/>
        </w:rPr>
        <w:t>7,1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BC0AC4">
        <w:rPr>
          <w:rFonts w:ascii="Times New Roman" w:hAnsi="Times New Roman" w:cs="Times New Roman"/>
          <w:sz w:val="28"/>
          <w:szCs w:val="28"/>
        </w:rPr>
        <w:t>60,8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C0AC4">
        <w:rPr>
          <w:rFonts w:ascii="Times New Roman" w:hAnsi="Times New Roman" w:cs="Times New Roman"/>
          <w:sz w:val="28"/>
          <w:szCs w:val="28"/>
        </w:rPr>
        <w:t>79,7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C0AC4">
        <w:rPr>
          <w:rFonts w:ascii="Times New Roman" w:hAnsi="Times New Roman" w:cs="Times New Roman"/>
          <w:sz w:val="28"/>
          <w:szCs w:val="28"/>
        </w:rPr>
        <w:t>28,4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C0AC4">
        <w:rPr>
          <w:rFonts w:ascii="Times New Roman" w:hAnsi="Times New Roman" w:cs="Times New Roman"/>
          <w:sz w:val="28"/>
          <w:szCs w:val="28"/>
        </w:rPr>
        <w:t>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C0AC4">
        <w:rPr>
          <w:rFonts w:ascii="Times New Roman" w:hAnsi="Times New Roman" w:cs="Times New Roman"/>
          <w:sz w:val="28"/>
          <w:szCs w:val="28"/>
        </w:rPr>
        <w:t>2,4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 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BC0AC4">
        <w:rPr>
          <w:rFonts w:ascii="Times New Roman" w:hAnsi="Times New Roman" w:cs="Times New Roman"/>
          <w:sz w:val="28"/>
          <w:szCs w:val="28"/>
        </w:rPr>
        <w:t>46,3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0AC4">
        <w:rPr>
          <w:rFonts w:ascii="Times New Roman" w:hAnsi="Times New Roman" w:cs="Times New Roman"/>
          <w:sz w:val="28"/>
          <w:szCs w:val="28"/>
        </w:rPr>
        <w:t>54,5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бюджета 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85,0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Доля в налоговых доходах  по сравнению с 1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полугодием </w:t>
      </w:r>
      <w:r>
        <w:rPr>
          <w:rFonts w:ascii="Times New Roman" w:hAnsi="Times New Roman" w:cs="Times New Roman"/>
          <w:sz w:val="28"/>
          <w:szCs w:val="28"/>
        </w:rPr>
        <w:t xml:space="preserve"> 2015 года  увеличилась на </w:t>
      </w:r>
      <w:r w:rsidR="00BC0AC4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A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подпункта и составила </w:t>
      </w:r>
      <w:r w:rsidR="00BC0AC4">
        <w:rPr>
          <w:rFonts w:ascii="Times New Roman" w:hAnsi="Times New Roman" w:cs="Times New Roman"/>
          <w:sz w:val="28"/>
          <w:szCs w:val="28"/>
        </w:rPr>
        <w:t>35,3</w:t>
      </w:r>
      <w:r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BC0AC4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C0AC4">
        <w:rPr>
          <w:rFonts w:ascii="Times New Roman" w:hAnsi="Times New Roman" w:cs="Times New Roman"/>
          <w:sz w:val="28"/>
          <w:szCs w:val="28"/>
        </w:rPr>
        <w:t>14,0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всего на </w:t>
      </w:r>
      <w:r w:rsidR="00975A18">
        <w:rPr>
          <w:rFonts w:ascii="Times New Roman" w:hAnsi="Times New Roman" w:cs="Times New Roman"/>
          <w:sz w:val="28"/>
          <w:szCs w:val="28"/>
        </w:rPr>
        <w:t xml:space="preserve">20,0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975A18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2015 года произошло увеличение на </w:t>
      </w:r>
      <w:r w:rsidR="00FC168B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168B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снижения налоговых доходов связана,  с изменением Федерального закона от 06.10.2003 года №131-ФЗ «Об общих принципах организации местного самоуправления», в результате чего  произошла передача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по содержанию дорог с уровня поселений на уровень района. Таким образом,  н</w:t>
      </w:r>
      <w:r w:rsidRPr="005C2F87">
        <w:rPr>
          <w:rFonts w:ascii="Times New Roman" w:hAnsi="Times New Roman" w:cs="Times New Roman"/>
          <w:sz w:val="28"/>
          <w:szCs w:val="28"/>
        </w:rPr>
        <w:t xml:space="preserve">алог на акцизы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2F87">
        <w:rPr>
          <w:rFonts w:ascii="Times New Roman" w:hAnsi="Times New Roman" w:cs="Times New Roman"/>
          <w:sz w:val="28"/>
          <w:szCs w:val="28"/>
        </w:rPr>
        <w:t>подакцизны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01.01.2016 года перестал поступать в бюджет поселения Ботановское.</w:t>
      </w:r>
    </w:p>
    <w:p w:rsidR="00975A18" w:rsidRDefault="00975A18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75A18">
        <w:rPr>
          <w:rFonts w:ascii="Times New Roman" w:hAnsi="Times New Roman" w:cs="Times New Roman"/>
          <w:sz w:val="28"/>
          <w:szCs w:val="28"/>
        </w:rPr>
        <w:t>182,2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75A18">
        <w:rPr>
          <w:rFonts w:ascii="Times New Roman" w:hAnsi="Times New Roman" w:cs="Times New Roman"/>
          <w:sz w:val="28"/>
          <w:szCs w:val="28"/>
        </w:rPr>
        <w:t>50,3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975A18">
        <w:rPr>
          <w:rFonts w:ascii="Times New Roman" w:hAnsi="Times New Roman" w:cs="Times New Roman"/>
          <w:sz w:val="28"/>
          <w:szCs w:val="28"/>
        </w:rPr>
        <w:t>362,2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FC168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3F4D42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F4D42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3F4D42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3F4D42">
        <w:rPr>
          <w:rFonts w:ascii="Times New Roman" w:hAnsi="Times New Roman" w:cs="Times New Roman"/>
          <w:sz w:val="28"/>
          <w:szCs w:val="28"/>
        </w:rPr>
        <w:t>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F4D42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процента</w:t>
      </w:r>
      <w:r w:rsidR="00FC168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доходы от использования имущества, находящегося в государственной и муниципальной собственности, исполнены в сумме </w:t>
      </w:r>
      <w:r w:rsidR="003F4D42">
        <w:rPr>
          <w:rFonts w:ascii="Times New Roman" w:hAnsi="Times New Roman" w:cs="Times New Roman"/>
          <w:sz w:val="28"/>
          <w:szCs w:val="28"/>
        </w:rPr>
        <w:t>182,2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F4D42">
        <w:rPr>
          <w:rFonts w:ascii="Times New Roman" w:hAnsi="Times New Roman" w:cs="Times New Roman"/>
          <w:sz w:val="28"/>
          <w:szCs w:val="28"/>
        </w:rPr>
        <w:t>50,3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</w:t>
      </w:r>
      <w:r w:rsidR="003F4D42">
        <w:rPr>
          <w:rFonts w:ascii="Times New Roman" w:hAnsi="Times New Roman" w:cs="Times New Roman"/>
          <w:sz w:val="28"/>
          <w:szCs w:val="28"/>
        </w:rPr>
        <w:t xml:space="preserve"> в сумме 362,2 тыс. рублей</w:t>
      </w:r>
      <w:r w:rsidRPr="005C2F87">
        <w:rPr>
          <w:rFonts w:ascii="Times New Roman" w:hAnsi="Times New Roman" w:cs="Times New Roman"/>
          <w:sz w:val="28"/>
          <w:szCs w:val="28"/>
        </w:rPr>
        <w:t xml:space="preserve">, </w:t>
      </w:r>
      <w:r w:rsidR="00FC168B">
        <w:rPr>
          <w:rFonts w:ascii="Times New Roman" w:hAnsi="Times New Roman" w:cs="Times New Roman"/>
          <w:sz w:val="28"/>
          <w:szCs w:val="28"/>
        </w:rPr>
        <w:t>из них</w:t>
      </w:r>
      <w:r w:rsidRPr="005C2F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доходы от сдачи в аренду 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F4D42">
        <w:rPr>
          <w:rFonts w:ascii="Times New Roman" w:hAnsi="Times New Roman" w:cs="Times New Roman"/>
          <w:sz w:val="28"/>
          <w:szCs w:val="28"/>
        </w:rPr>
        <w:t>132,2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F4D42">
        <w:rPr>
          <w:rFonts w:ascii="Times New Roman" w:hAnsi="Times New Roman" w:cs="Times New Roman"/>
          <w:sz w:val="28"/>
          <w:szCs w:val="28"/>
        </w:rPr>
        <w:t xml:space="preserve">42,3 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плановых назначений 1 </w:t>
      </w:r>
      <w:r w:rsidR="003F4D42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68B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168B">
        <w:rPr>
          <w:rFonts w:ascii="Times New Roman" w:hAnsi="Times New Roman" w:cs="Times New Roman"/>
          <w:sz w:val="28"/>
          <w:szCs w:val="28"/>
        </w:rPr>
        <w:t>,</w:t>
      </w:r>
      <w:r w:rsidR="00FC168B" w:rsidRPr="00FC168B">
        <w:t xml:space="preserve"> </w:t>
      </w:r>
      <w:r w:rsidR="00FC168B">
        <w:rPr>
          <w:rFonts w:ascii="Times New Roman" w:hAnsi="Times New Roman" w:cs="Times New Roman"/>
          <w:sz w:val="28"/>
          <w:szCs w:val="28"/>
        </w:rPr>
        <w:t>о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бъем поступления </w:t>
      </w:r>
      <w:r w:rsidR="00FC168B">
        <w:rPr>
          <w:rFonts w:ascii="Times New Roman" w:hAnsi="Times New Roman" w:cs="Times New Roman"/>
          <w:sz w:val="28"/>
          <w:szCs w:val="28"/>
        </w:rPr>
        <w:t xml:space="preserve">арендной платы также ниже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уровня 1 полугодия 2015 года </w:t>
      </w:r>
      <w:r w:rsidR="00FC168B">
        <w:rPr>
          <w:rFonts w:ascii="Times New Roman" w:hAnsi="Times New Roman" w:cs="Times New Roman"/>
          <w:sz w:val="28"/>
          <w:szCs w:val="28"/>
        </w:rPr>
        <w:t>35,1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A4570">
        <w:rPr>
          <w:rFonts w:ascii="Times New Roman" w:hAnsi="Times New Roman" w:cs="Times New Roman"/>
          <w:sz w:val="28"/>
          <w:szCs w:val="28"/>
        </w:rPr>
        <w:t>21 процента;</w:t>
      </w:r>
    </w:p>
    <w:p w:rsidR="00D60C6B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оходы от продажи материальных и нематериальных активов исполнены в сумме </w:t>
      </w:r>
      <w:r w:rsidR="003F4D42">
        <w:rPr>
          <w:rFonts w:ascii="Times New Roman" w:hAnsi="Times New Roman" w:cs="Times New Roman"/>
          <w:sz w:val="28"/>
          <w:szCs w:val="28"/>
        </w:rPr>
        <w:t>50,0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F4D42">
        <w:rPr>
          <w:rFonts w:ascii="Times New Roman" w:hAnsi="Times New Roman" w:cs="Times New Roman"/>
          <w:sz w:val="28"/>
          <w:szCs w:val="28"/>
        </w:rPr>
        <w:t xml:space="preserve"> или 100,0% к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F4D42">
        <w:rPr>
          <w:rFonts w:ascii="Times New Roman" w:hAnsi="Times New Roman" w:cs="Times New Roman"/>
          <w:sz w:val="28"/>
          <w:szCs w:val="28"/>
        </w:rPr>
        <w:t>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3F4D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По данному подразделу бюджетом поселения  </w:t>
      </w:r>
      <w:r w:rsidR="00550170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5501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501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автомобил</w:t>
      </w:r>
      <w:r w:rsidR="005501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ВАЗ-</w:t>
      </w:r>
      <w:r w:rsidR="00550170">
        <w:rPr>
          <w:rFonts w:ascii="Times New Roman" w:hAnsi="Times New Roman" w:cs="Times New Roman"/>
          <w:sz w:val="28"/>
          <w:szCs w:val="28"/>
        </w:rPr>
        <w:t>21053 в сумме 50,0 тыс. рублей.</w:t>
      </w:r>
      <w:r w:rsidR="003A4570">
        <w:rPr>
          <w:rFonts w:ascii="Times New Roman" w:hAnsi="Times New Roman" w:cs="Times New Roman"/>
          <w:sz w:val="28"/>
          <w:szCs w:val="28"/>
        </w:rPr>
        <w:t xml:space="preserve"> В 2015 году доходы от продажи материальных и нематериальных активов не поступали.</w:t>
      </w:r>
    </w:p>
    <w:p w:rsidR="003D29EE" w:rsidRPr="005C2F87" w:rsidRDefault="003D29E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  Безвозмездные поступления.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>
        <w:rPr>
          <w:rFonts w:ascii="Times New Roman" w:hAnsi="Times New Roman" w:cs="Times New Roman"/>
          <w:sz w:val="28"/>
          <w:szCs w:val="28"/>
        </w:rPr>
        <w:t>1522,5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48,2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3156,0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2015 года безвозмездные поступления </w:t>
      </w:r>
      <w:r w:rsidR="00A67018">
        <w:rPr>
          <w:rFonts w:ascii="Times New Roman" w:hAnsi="Times New Roman" w:cs="Times New Roman"/>
          <w:sz w:val="28"/>
          <w:szCs w:val="28"/>
        </w:rPr>
        <w:t>увеличилась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274,9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>
        <w:rPr>
          <w:rFonts w:ascii="Times New Roman" w:hAnsi="Times New Roman" w:cs="Times New Roman"/>
          <w:sz w:val="28"/>
          <w:szCs w:val="28"/>
        </w:rPr>
        <w:t>82,8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2015 года отражена на следующей диаграмме: </w:t>
      </w:r>
    </w:p>
    <w:p w:rsidR="004B1422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69EEB3" wp14:editId="228ABC13">
            <wp:extent cx="6153150" cy="29051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>
        <w:rPr>
          <w:rFonts w:ascii="Times New Roman" w:hAnsi="Times New Roman" w:cs="Times New Roman"/>
          <w:sz w:val="28"/>
          <w:szCs w:val="28"/>
        </w:rPr>
        <w:t>1374,2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52,6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2610,0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1 полугодием 2015 года </w:t>
      </w:r>
      <w:r w:rsidR="00984EF1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возросла на </w:t>
      </w:r>
      <w:r w:rsidR="00984EF1">
        <w:rPr>
          <w:rFonts w:ascii="Times New Roman" w:hAnsi="Times New Roman" w:cs="Times New Roman"/>
          <w:sz w:val="28"/>
          <w:szCs w:val="28"/>
        </w:rPr>
        <w:t>161,9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84EF1">
        <w:rPr>
          <w:rFonts w:ascii="Times New Roman" w:hAnsi="Times New Roman" w:cs="Times New Roman"/>
          <w:sz w:val="28"/>
          <w:szCs w:val="28"/>
        </w:rPr>
        <w:t>13,4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>
        <w:rPr>
          <w:rFonts w:ascii="Times New Roman" w:hAnsi="Times New Roman" w:cs="Times New Roman"/>
          <w:sz w:val="28"/>
          <w:szCs w:val="28"/>
        </w:rPr>
        <w:t>90,3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4B1422">
        <w:rPr>
          <w:rFonts w:ascii="Times New Roman" w:hAnsi="Times New Roman" w:cs="Times New Roman"/>
          <w:sz w:val="28"/>
          <w:szCs w:val="28"/>
        </w:rPr>
        <w:t>45,4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1422">
        <w:rPr>
          <w:rFonts w:ascii="Times New Roman" w:hAnsi="Times New Roman" w:cs="Times New Roman"/>
          <w:sz w:val="28"/>
          <w:szCs w:val="28"/>
        </w:rPr>
        <w:t>50,0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B1422">
        <w:rPr>
          <w:rFonts w:ascii="Times New Roman" w:hAnsi="Times New Roman" w:cs="Times New Roman"/>
          <w:sz w:val="28"/>
          <w:szCs w:val="28"/>
        </w:rPr>
        <w:t>91,4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0C059E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1 полугодия  текущего года поступила субвенция на осуществление первичного воинского учета. По сравнению с 1 полугодием 2015 года субвенция возросла на </w:t>
      </w:r>
      <w:r w:rsidR="004B1422">
        <w:rPr>
          <w:rFonts w:ascii="Times New Roman" w:hAnsi="Times New Roman" w:cs="Times New Roman"/>
          <w:sz w:val="28"/>
          <w:szCs w:val="28"/>
        </w:rPr>
        <w:t>10,1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B1422">
        <w:rPr>
          <w:rFonts w:ascii="Times New Roman" w:hAnsi="Times New Roman" w:cs="Times New Roman"/>
          <w:sz w:val="28"/>
          <w:szCs w:val="28"/>
        </w:rPr>
        <w:t>28,6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</w:t>
      </w:r>
      <w:r w:rsidR="004B1422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3,0 </w:t>
      </w:r>
      <w:r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3D29EE" w:rsidRPr="003D29EE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в 1 полугодии 2016 года исполнены в сумме </w:t>
      </w:r>
      <w:r w:rsidR="00984EF1">
        <w:rPr>
          <w:rFonts w:ascii="Times New Roman" w:hAnsi="Times New Roman" w:cs="Times New Roman"/>
          <w:sz w:val="28"/>
          <w:szCs w:val="28"/>
        </w:rPr>
        <w:t>102,9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84EF1">
        <w:rPr>
          <w:rFonts w:ascii="Times New Roman" w:hAnsi="Times New Roman" w:cs="Times New Roman"/>
          <w:sz w:val="28"/>
          <w:szCs w:val="28"/>
        </w:rPr>
        <w:t>39,5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984EF1">
        <w:rPr>
          <w:rFonts w:ascii="Times New Roman" w:hAnsi="Times New Roman" w:cs="Times New Roman"/>
          <w:sz w:val="28"/>
          <w:szCs w:val="28"/>
        </w:rPr>
        <w:t>260,8 тыс. рублей.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984EF1">
        <w:rPr>
          <w:rFonts w:ascii="Times New Roman" w:hAnsi="Times New Roman" w:cs="Times New Roman"/>
          <w:sz w:val="28"/>
          <w:szCs w:val="28"/>
        </w:rPr>
        <w:t xml:space="preserve">6,7 </w:t>
      </w:r>
      <w:r w:rsidRPr="003D29EE">
        <w:rPr>
          <w:rFonts w:ascii="Times New Roman" w:hAnsi="Times New Roman" w:cs="Times New Roman"/>
          <w:sz w:val="28"/>
          <w:szCs w:val="28"/>
        </w:rPr>
        <w:t xml:space="preserve">процента.    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2015 года, а также на   01 января и  01 июля 2016 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984EF1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  <w:r w:rsidR="00D60C6B" w:rsidRPr="00984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Объем задолженности плательщиков по состоянию </w:t>
            </w:r>
            <w:proofErr w:type="gramStart"/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C6B"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от графы 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EF1" w:rsidRPr="00984EF1" w:rsidTr="003D29EE">
        <w:trPr>
          <w:trHeight w:val="1063"/>
        </w:trPr>
        <w:tc>
          <w:tcPr>
            <w:tcW w:w="3652" w:type="dxa"/>
            <w:vMerge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58" w:type="dxa"/>
          </w:tcPr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F1" w:rsidRPr="00984EF1" w:rsidTr="003D29EE">
        <w:trPr>
          <w:trHeight w:val="316"/>
        </w:trPr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3D29EE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3D29EE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5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85" w:type="dxa"/>
          </w:tcPr>
          <w:p w:rsidR="003D29EE" w:rsidRPr="00984EF1" w:rsidRDefault="003D29EE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58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65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61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885" w:type="dxa"/>
          </w:tcPr>
          <w:p w:rsidR="003D29EE" w:rsidRPr="00984EF1" w:rsidRDefault="003D29EE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958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053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073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5" w:type="dxa"/>
          </w:tcPr>
          <w:p w:rsidR="003D29EE" w:rsidRPr="00984EF1" w:rsidRDefault="003D29EE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8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53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3D29EE" w:rsidRPr="00984EF1" w:rsidRDefault="003D29EE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3D29EE" w:rsidRPr="00984EF1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P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значительный  рост  задолженности плательщиков по платежам в бюджет  в сравнении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задолженности на 01.01.2016 года с аналогичным периодом прошлого года 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27,5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58,8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%. Н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а 01.07. 2016 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ри сравнении недоимки  с аналогичным периодом прошлого года  наблюдается рост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17,9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51,9%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  <w:proofErr w:type="gramEnd"/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рост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5,9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51,3 процента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по земельному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11,9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на 39,0 процента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E0D" w:rsidRP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Из имеющихся данных на 01.07.2016 года следует, что наибольший удельный вес в структуре недоимки по платежам 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66,5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eastAsia="Times New Roman" w:hAnsi="Times New Roman" w:cs="Times New Roman"/>
          <w:sz w:val="28"/>
          <w:szCs w:val="28"/>
        </w:rPr>
        <w:t>33,0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>
        <w:rPr>
          <w:sz w:val="28"/>
          <w:szCs w:val="28"/>
        </w:rPr>
        <w:t xml:space="preserve">от общей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pStyle w:val="ab"/>
        <w:spacing w:after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D60C6B" w:rsidRPr="0013238C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13238C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5D521D" w:rsidRPr="0013238C" w:rsidRDefault="00D60C6B" w:rsidP="005D5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 за 1 полугодие  2016 года  исполнены в сумме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1856,2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45,9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4041,7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1 полугодием 2015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176,1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10,5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5D521D" w:rsidRPr="0013238C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полугодием 2015 года отражена на следующей диаграмме:</w:t>
      </w:r>
      <w:r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5D521D" w:rsidRPr="00C068E9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тыс. руб.</w:t>
      </w: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772587F3" wp14:editId="75DD75C7">
            <wp:extent cx="6305550" cy="4019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C068E9" w:rsidRPr="0013238C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5D521D" w:rsidRPr="0013238C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C068E9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62,7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%, «Культура и кинематография» -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%. На  долю расходов по разделам «Национальная оборона», «Национальная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», «Социальная политика», 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5D521D" w:rsidRPr="00C068E9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1 полугодие 2016 года отражена на диаграмме:   </w:t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5D521D" w:rsidRPr="0013238C" w:rsidRDefault="008079C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76B6F257" wp14:editId="25845B1A">
            <wp:extent cx="6267450" cy="4429125"/>
            <wp:effectExtent l="3810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В течение отчетного периода не производились расходы, предусмотренны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>е решением о бюджете, по разделам «Национальная безопасность и пр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авоохранительная деятельность»,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«Образование». </w:t>
      </w:r>
    </w:p>
    <w:p w:rsidR="005D521D" w:rsidRPr="00AC31B3" w:rsidRDefault="005D521D" w:rsidP="00AC31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данн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r w:rsidR="00AC31B3" w:rsidRPr="00AC31B3">
        <w:rPr>
          <w:rFonts w:ascii="Times New Roman" w:hAnsi="Times New Roman" w:cs="Times New Roman"/>
          <w:sz w:val="28"/>
          <w:szCs w:val="28"/>
        </w:rPr>
        <w:t xml:space="preserve">на обеспечение противопожарной безопасности,  </w:t>
      </w:r>
      <w:r w:rsidR="0062087D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на проведение мероприятий по молодежной политике и оздоровлению детей.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  за исключением раздела  «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Общегосударственных вопросов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»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всего лишь 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5F" w:rsidRPr="006D185F" w:rsidRDefault="00694D8E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6D185F" w:rsidRPr="006D185F" w:rsidTr="006D185F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  1 полугодии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6D185F" w:rsidRPr="006D185F" w:rsidRDefault="006D185F" w:rsidP="0047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475935">
              <w:rPr>
                <w:rFonts w:ascii="Times New Roman" w:eastAsia="Times New Roman" w:hAnsi="Times New Roman" w:cs="Times New Roman"/>
              </w:rPr>
              <w:t>6</w:t>
            </w:r>
            <w:r w:rsidRPr="006D185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D185F" w:rsidRPr="006D185F" w:rsidRDefault="006D185F" w:rsidP="0047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proofErr w:type="gramStart"/>
            <w:r w:rsidRPr="006D185F">
              <w:rPr>
                <w:rFonts w:ascii="Times New Roman" w:eastAsia="Calibri" w:hAnsi="Times New Roman" w:cs="Times New Roman"/>
              </w:rPr>
              <w:t>полугодии</w:t>
            </w:r>
            <w:proofErr w:type="gramEnd"/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475935">
              <w:rPr>
                <w:rFonts w:ascii="Times New Roman" w:eastAsia="Calibri" w:hAnsi="Times New Roman" w:cs="Times New Roman"/>
              </w:rPr>
              <w:t>6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475935">
              <w:rPr>
                <w:rFonts w:ascii="Times New Roman" w:eastAsia="Calibri" w:hAnsi="Times New Roman" w:cs="Times New Roman"/>
              </w:rPr>
              <w:t>6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 от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475935">
              <w:rPr>
                <w:rFonts w:ascii="Times New Roman" w:eastAsia="Calibri" w:hAnsi="Times New Roman" w:cs="Times New Roman"/>
              </w:rPr>
              <w:t>5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к уровню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</w:t>
            </w:r>
          </w:p>
          <w:p w:rsidR="006D185F" w:rsidRPr="006D185F" w:rsidRDefault="006D185F" w:rsidP="0047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475935">
              <w:rPr>
                <w:rFonts w:ascii="Times New Roman" w:eastAsia="Calibri" w:hAnsi="Times New Roman" w:cs="Times New Roman"/>
              </w:rPr>
              <w:t>5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1041,8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1163,3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121,5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111,7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34,9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475935" w:rsidRPr="006D185F" w:rsidRDefault="00475935" w:rsidP="004759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204,8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84,9</w:t>
            </w:r>
          </w:p>
        </w:tc>
        <w:tc>
          <w:tcPr>
            <w:tcW w:w="1323" w:type="dxa"/>
          </w:tcPr>
          <w:p w:rsidR="006D185F" w:rsidRPr="006D185F" w:rsidRDefault="00B62A53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346,8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-12,5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406,1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1082,4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436,8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107,6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81,9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216,2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21,7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-34,9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57,4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-3,5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6D185F" w:rsidRPr="006D185F" w:rsidTr="006D185F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6D185F" w:rsidRPr="006D185F" w:rsidRDefault="006D185F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1680,1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4041,7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1856,2</w:t>
            </w:r>
          </w:p>
        </w:tc>
        <w:tc>
          <w:tcPr>
            <w:tcW w:w="1277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45,9</w:t>
            </w:r>
          </w:p>
        </w:tc>
        <w:tc>
          <w:tcPr>
            <w:tcW w:w="1344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176,1</w:t>
            </w:r>
          </w:p>
        </w:tc>
        <w:tc>
          <w:tcPr>
            <w:tcW w:w="1212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110,5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>1163,3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>58,3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1995,1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1 полугодием  2015 года расходы увеличились  на 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>121,5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>11,7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>220,6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>941,4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в том числе:</w:t>
      </w:r>
    </w:p>
    <w:p w:rsidR="005D521D" w:rsidRPr="00B04F44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23,4 тыс. рублей;</w:t>
      </w:r>
    </w:p>
    <w:p w:rsidR="00B04F44" w:rsidRPr="00B04F44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- на другие общегосударственные вопросы -</w:t>
      </w:r>
      <w:r w:rsidR="001B39D2" w:rsidRPr="00B04F44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04F44" w:rsidRPr="00B04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в 1 полугодии 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45,4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49,9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91,0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полугодием  2015 года расходы увеличились на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10,5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30,0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расходы составили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годовы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назначениям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утверждены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В 1 полугодии 2015 году расходы по данному разделу также не проводились.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64,3 тыс. рублей, или 31,4% к годовым назначениям в сумме 204,8 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1 полугодием  2015 года расходы увеличились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64,3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72,4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346,8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 подразделу «Жилищное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 оплату взносов на капитальный ремонт муниципального жилищного фонда;</w:t>
      </w:r>
    </w:p>
    <w:p w:rsidR="00E739C3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 подразделу «Благоустройство»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расходы составили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51,4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из них,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оплату уличного освещения на территории поселения –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30,7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на прочие мероприятия по благоустройству –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1 полугодием   2015 года расходы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12,5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14,7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«Образование»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в 1 полугодии 2016 года не осуществлялись.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«Культура и  кинематография»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436,8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40,4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1082,4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полугодием  2015 года расходы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>по подразделу «Культура»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436,8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40,4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proofErr w:type="spellStart"/>
      <w:r w:rsidR="004F5F84">
        <w:rPr>
          <w:rFonts w:ascii="Times New Roman" w:eastAsia="Times New Roman" w:hAnsi="Times New Roman" w:cs="Times New Roman"/>
          <w:sz w:val="28"/>
          <w:szCs w:val="28"/>
        </w:rPr>
        <w:t>Игумниц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евский</w:t>
      </w:r>
      <w:proofErr w:type="spellEnd"/>
      <w:r w:rsidR="00E739C3">
        <w:rPr>
          <w:rFonts w:ascii="Times New Roman" w:eastAsia="Times New Roman" w:hAnsi="Times New Roman" w:cs="Times New Roman"/>
          <w:sz w:val="28"/>
          <w:szCs w:val="28"/>
        </w:rPr>
        <w:t xml:space="preserve"> Дом к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47,0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21,7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216,2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1 полугодием   2015  года расходы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34,9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42,6%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). На доплаты к пенсиям муниципальных служащих направлено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13,5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выплату ежемесячной денежной компенсации работникам учреждений культуры поселения –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33,5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27,0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34,6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 2015  года расходы уменьшились  на 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11,5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проведение физкультурно-оздоровительных мероприятий на территории сельского поселения.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B32B54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28F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В  приложении 1 к постановлению администрации поселения 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Ботановское 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27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.07.2016 года №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33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 xml:space="preserve"> не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верно указаны  цифры: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в столбце «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Годовой план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», цифры «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3192,8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, 297,6» и «4052,5»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заменить цифрами «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3156,0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» , «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>260,8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C623A"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 и «4015,7»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739C3" w:rsidRPr="00B32B54" w:rsidRDefault="00E739C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521D" w:rsidRPr="00B32B54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     в столбце «% исполнения»,  цифры «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47,7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», «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34,6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» и                          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45,3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» заменить цифрами « 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48,2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>», «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39,5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» и 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45,7</w:t>
      </w:r>
      <w:r w:rsidR="005F6B5C">
        <w:rPr>
          <w:rFonts w:ascii="Times New Roman" w:eastAsia="Times New Roman" w:hAnsi="Times New Roman" w:cs="Times New Roman"/>
          <w:i/>
          <w:sz w:val="28"/>
          <w:szCs w:val="28"/>
        </w:rPr>
        <w:t>»;</w:t>
      </w:r>
      <w:r w:rsidRPr="00B32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32B54" w:rsidRPr="00DE28FA" w:rsidRDefault="005D521D" w:rsidP="00B32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DE28F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   </w:t>
      </w:r>
      <w:r w:rsidR="00B32B54" w:rsidRPr="00B32B54">
        <w:rPr>
          <w:rFonts w:ascii="Times New Roman" w:eastAsia="Times New Roman" w:hAnsi="Times New Roman" w:cs="Times New Roman"/>
          <w:i/>
          <w:sz w:val="28"/>
          <w:szCs w:val="28"/>
        </w:rPr>
        <w:t>добавить строку «Субсидии бюджетам поселений  125,0»</w:t>
      </w:r>
      <w:r w:rsidR="005F6B5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D521D" w:rsidRPr="005F6B5C" w:rsidRDefault="005F6B5C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5D521D"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В  приложении 2 к постановлению администрации поселения </w:t>
      </w:r>
      <w:r w:rsidR="00B32B54"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Ботановское </w:t>
      </w:r>
      <w:r w:rsidR="005D521D"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B32B54"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27.07.2016 года №33 </w:t>
      </w:r>
      <w:r w:rsidR="005D521D" w:rsidRPr="005F6B5C">
        <w:rPr>
          <w:rFonts w:ascii="Times New Roman" w:eastAsia="Times New Roman" w:hAnsi="Times New Roman" w:cs="Times New Roman"/>
          <w:i/>
          <w:sz w:val="28"/>
          <w:szCs w:val="28"/>
        </w:rPr>
        <w:t>такж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>е не</w:t>
      </w:r>
      <w:r w:rsidR="005D521D" w:rsidRPr="005F6B5C">
        <w:rPr>
          <w:rFonts w:ascii="Times New Roman" w:eastAsia="Times New Roman" w:hAnsi="Times New Roman" w:cs="Times New Roman"/>
          <w:i/>
          <w:sz w:val="28"/>
          <w:szCs w:val="28"/>
        </w:rPr>
        <w:t>верно указаны  цифры:</w:t>
      </w:r>
    </w:p>
    <w:p w:rsidR="005D521D" w:rsidRPr="005F6B5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    в столбце «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Годовой план в соответствии с решением о бюджете поселения на 2016 год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», цифру «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383,6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»,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 xml:space="preserve"> «63,2» и «4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078,5»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заменить 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цифр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>ами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346,8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, «26,4» и «4041,7»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60C6B" w:rsidRDefault="005D521D" w:rsidP="00D53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  в столбце «% исполнения»,  цифр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 «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18,9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«33,4» и «45,5» 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заменить 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>цифрами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20,9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34E3E" w:rsidRPr="005F6B5C">
        <w:rPr>
          <w:rFonts w:ascii="Times New Roman" w:eastAsia="Times New Roman" w:hAnsi="Times New Roman" w:cs="Times New Roman"/>
          <w:i/>
          <w:sz w:val="28"/>
          <w:szCs w:val="28"/>
        </w:rPr>
        <w:t>, «79,9» и «45,9»</w:t>
      </w:r>
      <w:r w:rsidR="005F6B5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F6B5C" w:rsidRDefault="005F6B5C" w:rsidP="00D53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В приложении 3 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 xml:space="preserve">к постановлению администрации поселения Ботановское от 27.07.2016 года №33 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верно указан дефицит бюджета поселения:</w:t>
      </w:r>
    </w:p>
    <w:p w:rsidR="005F6B5C" w:rsidRPr="005F6B5C" w:rsidRDefault="005F6B5C" w:rsidP="00D53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E739C3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столбце «Фактическое исполнение за отчетный период, тыс. руб.», цифру «-20,3» заменить цифрой «-20,4».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5C2F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2F87">
        <w:rPr>
          <w:rFonts w:ascii="Times New Roman" w:hAnsi="Times New Roman" w:cs="Times New Roman"/>
          <w:sz w:val="28"/>
          <w:szCs w:val="28"/>
        </w:rPr>
        <w:t xml:space="preserve">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 xml:space="preserve">1),  на 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Pr="005C2F87">
        <w:rPr>
          <w:rFonts w:ascii="Times New Roman" w:hAnsi="Times New Roman" w:cs="Times New Roman"/>
          <w:sz w:val="28"/>
          <w:szCs w:val="28"/>
        </w:rPr>
        <w:t>1).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A67018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 xml:space="preserve">4,5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A67018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 </w:t>
      </w:r>
      <w:r w:rsidR="00286C10">
        <w:rPr>
          <w:rFonts w:ascii="Times New Roman" w:hAnsi="Times New Roman" w:cs="Times New Roman"/>
          <w:sz w:val="28"/>
          <w:szCs w:val="28"/>
        </w:rPr>
        <w:t xml:space="preserve">3,5 </w:t>
      </w:r>
      <w:r w:rsidRPr="005C2F87">
        <w:rPr>
          <w:rFonts w:ascii="Times New Roman" w:hAnsi="Times New Roman" w:cs="Times New Roman"/>
          <w:sz w:val="28"/>
          <w:szCs w:val="28"/>
        </w:rPr>
        <w:t>ед.</w:t>
      </w:r>
    </w:p>
    <w:p w:rsidR="00286C10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C10">
        <w:rPr>
          <w:rFonts w:ascii="Times New Roman" w:hAnsi="Times New Roman" w:cs="Times New Roman"/>
          <w:sz w:val="28"/>
          <w:szCs w:val="28"/>
        </w:rPr>
        <w:t>уменьшилась</w:t>
      </w:r>
      <w:r w:rsid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6C10">
        <w:rPr>
          <w:rFonts w:ascii="Times New Roman" w:hAnsi="Times New Roman" w:cs="Times New Roman"/>
          <w:sz w:val="28"/>
          <w:szCs w:val="28"/>
        </w:rPr>
        <w:t>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штатную </w:t>
      </w:r>
      <w:r w:rsidRPr="005C2F87">
        <w:rPr>
          <w:rFonts w:ascii="Times New Roman" w:hAnsi="Times New Roman" w:cs="Times New Roman"/>
          <w:sz w:val="28"/>
          <w:szCs w:val="28"/>
        </w:rPr>
        <w:t>единицу,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или </w:t>
      </w:r>
      <w:r w:rsidR="00286C10">
        <w:rPr>
          <w:rFonts w:ascii="Times New Roman" w:hAnsi="Times New Roman" w:cs="Times New Roman"/>
          <w:sz w:val="28"/>
          <w:szCs w:val="28"/>
        </w:rPr>
        <w:t>22,2 процента, что связано с сокращением штатной единицы.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286C10">
        <w:rPr>
          <w:rFonts w:ascii="Times New Roman" w:hAnsi="Times New Roman" w:cs="Times New Roman"/>
          <w:sz w:val="28"/>
          <w:szCs w:val="28"/>
        </w:rPr>
        <w:t>258,4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286C10">
        <w:rPr>
          <w:rFonts w:ascii="Times New Roman" w:hAnsi="Times New Roman" w:cs="Times New Roman"/>
          <w:sz w:val="28"/>
          <w:szCs w:val="28"/>
        </w:rPr>
        <w:t>283,2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286C10">
        <w:rPr>
          <w:rFonts w:ascii="Times New Roman" w:hAnsi="Times New Roman" w:cs="Times New Roman"/>
          <w:sz w:val="28"/>
          <w:szCs w:val="28"/>
        </w:rPr>
        <w:t>24,8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86C10">
        <w:rPr>
          <w:rFonts w:ascii="Times New Roman" w:hAnsi="Times New Roman" w:cs="Times New Roman"/>
          <w:sz w:val="28"/>
          <w:szCs w:val="28"/>
        </w:rPr>
        <w:t>9,6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должностей, не отнесенных к муниципальной службе в органах местного самоуправления по состоянию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C2F87">
        <w:rPr>
          <w:rFonts w:ascii="Times New Roman" w:hAnsi="Times New Roman" w:cs="Times New Roman"/>
          <w:sz w:val="28"/>
          <w:szCs w:val="28"/>
        </w:rPr>
        <w:t>года составило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00F2E">
        <w:rPr>
          <w:rFonts w:ascii="Times New Roman" w:hAnsi="Times New Roman" w:cs="Times New Roman"/>
          <w:sz w:val="28"/>
          <w:szCs w:val="28"/>
        </w:rPr>
        <w:t>496,8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00F2E">
        <w:rPr>
          <w:rFonts w:ascii="Times New Roman" w:hAnsi="Times New Roman" w:cs="Times New Roman"/>
          <w:sz w:val="28"/>
          <w:szCs w:val="28"/>
        </w:rPr>
        <w:t>596,9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Произошло увеличение  расходов на оплату труда работников  органов местного самоуправления в сравнении с аналогичным периодом прошлого года на </w:t>
      </w:r>
      <w:r w:rsidR="00C00F2E">
        <w:rPr>
          <w:rFonts w:ascii="Times New Roman" w:hAnsi="Times New Roman" w:cs="Times New Roman"/>
          <w:sz w:val="28"/>
          <w:szCs w:val="28"/>
        </w:rPr>
        <w:t>100,1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0F2E">
        <w:rPr>
          <w:rFonts w:ascii="Times New Roman" w:hAnsi="Times New Roman" w:cs="Times New Roman"/>
          <w:sz w:val="28"/>
          <w:szCs w:val="28"/>
        </w:rPr>
        <w:t>20,1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В течение 1</w:t>
      </w:r>
      <w:r w:rsidR="003F0111">
        <w:rPr>
          <w:rFonts w:ascii="Times New Roman" w:hAnsi="Times New Roman" w:cs="Times New Roman"/>
          <w:sz w:val="28"/>
          <w:szCs w:val="28"/>
        </w:rPr>
        <w:t xml:space="preserve"> </w:t>
      </w:r>
      <w:r w:rsidR="00A66F2D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111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B935B2">
        <w:rPr>
          <w:rFonts w:ascii="Times New Roman" w:hAnsi="Times New Roman" w:cs="Times New Roman"/>
          <w:sz w:val="28"/>
          <w:szCs w:val="28"/>
        </w:rPr>
        <w:t xml:space="preserve">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5B2">
        <w:rPr>
          <w:rFonts w:ascii="Times New Roman" w:hAnsi="Times New Roman" w:cs="Times New Roman"/>
          <w:sz w:val="28"/>
          <w:szCs w:val="28"/>
        </w:rPr>
        <w:t xml:space="preserve"> три раза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5B2">
        <w:rPr>
          <w:rFonts w:ascii="Times New Roman" w:hAnsi="Times New Roman" w:cs="Times New Roman"/>
          <w:sz w:val="28"/>
          <w:szCs w:val="28"/>
        </w:rPr>
        <w:t>в результате чего,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дефицит в ра</w:t>
      </w:r>
      <w:r w:rsidR="003F0111">
        <w:rPr>
          <w:rFonts w:ascii="Times New Roman" w:hAnsi="Times New Roman" w:cs="Times New Roman"/>
          <w:sz w:val="28"/>
          <w:szCs w:val="28"/>
        </w:rPr>
        <w:t>змере 26,0 тыс. рублей,  или 3,0</w:t>
      </w:r>
      <w:r>
        <w:rPr>
          <w:rFonts w:ascii="Times New Roman" w:hAnsi="Times New Roman" w:cs="Times New Roman"/>
          <w:sz w:val="28"/>
          <w:szCs w:val="28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 состоянию на 01.01.2016 года.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3F0111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F0111">
        <w:rPr>
          <w:rFonts w:ascii="Times New Roman" w:hAnsi="Times New Roman" w:cs="Times New Roman"/>
          <w:sz w:val="28"/>
          <w:szCs w:val="28"/>
        </w:rPr>
        <w:t>20,4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по причине недофинансирования (отсутствия финансирования) мероприятий, утвержденных решением о бюджете.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1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поселения Ботановское</w:t>
      </w:r>
      <w:r w:rsidRPr="005C2F87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5C2F8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5C2F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300</w:t>
      </w:r>
      <w:r w:rsidRPr="005C2F87">
        <w:rPr>
          <w:sz w:val="28"/>
          <w:szCs w:val="28"/>
        </w:rPr>
        <w:t xml:space="preserve"> установлен верхний предел муниципального внутреннего долга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по состоянию на 1 января 201</w:t>
      </w:r>
      <w:r>
        <w:rPr>
          <w:sz w:val="28"/>
          <w:szCs w:val="28"/>
        </w:rPr>
        <w:t>7</w:t>
      </w:r>
      <w:r w:rsidRPr="005C2F87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376,0</w:t>
      </w:r>
      <w:r w:rsidRPr="005C2F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3A362D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Кредиторская задолженность поселения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Объем кредиторской задолженности  получателей средств бюджета  поселения  по состоянию на 01.01.2016 года  составил 371,1 тыс. рублей, на 01.01.2015 года объем кредиторской задолженности составил 131,1 тыс. рублей.  По сравнению с 201</w:t>
      </w:r>
      <w:r w:rsidR="003A362D" w:rsidRPr="003A362D">
        <w:rPr>
          <w:rFonts w:ascii="Times New Roman" w:hAnsi="Times New Roman" w:cs="Times New Roman"/>
          <w:sz w:val="28"/>
          <w:szCs w:val="28"/>
        </w:rPr>
        <w:t>5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годом объем задолженности  увеличился   на 240,0 тыс. рублей, или почти в 3 раза.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01 </w:t>
      </w:r>
      <w:r w:rsidR="003A362D" w:rsidRPr="003A362D">
        <w:rPr>
          <w:rFonts w:ascii="Times New Roman" w:hAnsi="Times New Roman" w:cs="Times New Roman"/>
          <w:sz w:val="28"/>
          <w:szCs w:val="28"/>
        </w:rPr>
        <w:t>июля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 2016 года составил </w:t>
      </w:r>
      <w:r w:rsidR="003A362D" w:rsidRPr="003A362D">
        <w:rPr>
          <w:rFonts w:ascii="Times New Roman" w:hAnsi="Times New Roman" w:cs="Times New Roman"/>
          <w:sz w:val="28"/>
          <w:szCs w:val="28"/>
        </w:rPr>
        <w:t>327,1</w:t>
      </w:r>
      <w:r w:rsidRPr="003A362D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3A362D">
        <w:rPr>
          <w:rFonts w:ascii="Times New Roman" w:hAnsi="Times New Roman" w:cs="Times New Roman"/>
          <w:sz w:val="28"/>
          <w:szCs w:val="28"/>
        </w:rPr>
        <w:t>, 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152BE9">
        <w:rPr>
          <w:rFonts w:ascii="Times New Roman" w:hAnsi="Times New Roman" w:cs="Times New Roman"/>
          <w:sz w:val="28"/>
          <w:szCs w:val="28"/>
        </w:rPr>
        <w:t>64,8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связи – </w:t>
      </w:r>
      <w:r w:rsidR="003A362D">
        <w:rPr>
          <w:rFonts w:ascii="Times New Roman" w:hAnsi="Times New Roman" w:cs="Times New Roman"/>
          <w:sz w:val="28"/>
          <w:szCs w:val="28"/>
        </w:rPr>
        <w:t>5,8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152BE9">
        <w:rPr>
          <w:rFonts w:ascii="Times New Roman" w:hAnsi="Times New Roman" w:cs="Times New Roman"/>
          <w:sz w:val="28"/>
          <w:szCs w:val="28"/>
        </w:rPr>
        <w:t>74,4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proofErr w:type="gramStart"/>
      <w:r w:rsidRPr="003A36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2D">
        <w:rPr>
          <w:rFonts w:ascii="Times New Roman" w:hAnsi="Times New Roman" w:cs="Times New Roman"/>
          <w:sz w:val="28"/>
          <w:szCs w:val="28"/>
        </w:rPr>
        <w:t>: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ТО пожарная сигнализация зданий – 21,6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содержание дорог – 27,7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вывоз мусора – </w:t>
      </w:r>
      <w:r w:rsidR="003A362D" w:rsidRPr="003A362D">
        <w:rPr>
          <w:rFonts w:ascii="Times New Roman" w:hAnsi="Times New Roman" w:cs="Times New Roman"/>
          <w:sz w:val="28"/>
          <w:szCs w:val="28"/>
        </w:rPr>
        <w:t>4,5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ремонт водопровода – 20,5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3A362D" w:rsidRPr="003A362D">
        <w:rPr>
          <w:rFonts w:ascii="Times New Roman" w:hAnsi="Times New Roman" w:cs="Times New Roman"/>
          <w:sz w:val="28"/>
          <w:szCs w:val="28"/>
        </w:rPr>
        <w:t>153,2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proofErr w:type="gramStart"/>
      <w:r w:rsidRPr="003A36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2D">
        <w:rPr>
          <w:rFonts w:ascii="Times New Roman" w:hAnsi="Times New Roman" w:cs="Times New Roman"/>
          <w:sz w:val="28"/>
          <w:szCs w:val="28"/>
        </w:rPr>
        <w:t>: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ремонт канализации – 5,7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проектные работы  по переводу земель – 87,8 тыс. рублей; 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обслуживание программных продуктов – </w:t>
      </w:r>
      <w:r w:rsidR="003A362D">
        <w:rPr>
          <w:rFonts w:ascii="Times New Roman" w:hAnsi="Times New Roman" w:cs="Times New Roman"/>
          <w:sz w:val="28"/>
          <w:szCs w:val="28"/>
        </w:rPr>
        <w:t>22,5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публикация нормативно-правовых актов – </w:t>
      </w:r>
      <w:r w:rsidR="003A362D">
        <w:rPr>
          <w:rFonts w:ascii="Times New Roman" w:hAnsi="Times New Roman" w:cs="Times New Roman"/>
          <w:sz w:val="28"/>
          <w:szCs w:val="28"/>
        </w:rPr>
        <w:t>34,8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0642D0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ТО компьютерной техники – </w:t>
      </w:r>
      <w:r w:rsidR="003A362D">
        <w:rPr>
          <w:rFonts w:ascii="Times New Roman" w:hAnsi="Times New Roman" w:cs="Times New Roman"/>
          <w:sz w:val="28"/>
          <w:szCs w:val="28"/>
        </w:rPr>
        <w:t>2,4</w:t>
      </w:r>
      <w:r w:rsidRPr="000642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– </w:t>
      </w:r>
      <w:r w:rsidR="00152BE9">
        <w:rPr>
          <w:rFonts w:ascii="Times New Roman" w:hAnsi="Times New Roman" w:cs="Times New Roman"/>
          <w:sz w:val="28"/>
          <w:szCs w:val="28"/>
        </w:rPr>
        <w:t>28,9 тыс. рублей.</w:t>
      </w:r>
    </w:p>
    <w:p w:rsidR="00D60C6B" w:rsidRPr="00FA5DF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За аналогичный период прошлого года объем кредиторской задолженности составлял </w:t>
      </w:r>
      <w:r w:rsidR="00152BE9">
        <w:rPr>
          <w:rFonts w:ascii="Times New Roman" w:hAnsi="Times New Roman" w:cs="Times New Roman"/>
          <w:sz w:val="28"/>
          <w:szCs w:val="28"/>
        </w:rPr>
        <w:t>352,5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роста кредиторской задолженности на </w:t>
      </w:r>
      <w:r w:rsidR="00152BE9">
        <w:rPr>
          <w:rFonts w:ascii="Times New Roman" w:hAnsi="Times New Roman" w:cs="Times New Roman"/>
          <w:sz w:val="28"/>
          <w:szCs w:val="28"/>
        </w:rPr>
        <w:t>25,4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объеме кредиторской задолженности занимает задолженность за </w:t>
      </w:r>
      <w:r w:rsidR="00152BE9">
        <w:rPr>
          <w:rFonts w:ascii="Times New Roman" w:hAnsi="Times New Roman" w:cs="Times New Roman"/>
          <w:sz w:val="28"/>
          <w:szCs w:val="28"/>
        </w:rPr>
        <w:t>проектные работы  по переводу земель</w:t>
      </w:r>
      <w:r w:rsidRPr="00FA5DF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2B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2BE9">
        <w:rPr>
          <w:rFonts w:ascii="Times New Roman" w:hAnsi="Times New Roman" w:cs="Times New Roman"/>
          <w:sz w:val="28"/>
          <w:szCs w:val="28"/>
        </w:rPr>
        <w:t>8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FA5DF7" w:rsidRDefault="00450990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01.07.2016 года составил 170,9 тыс. рублей за аренду муниципального имущества (помещения).</w:t>
      </w:r>
    </w:p>
    <w:p w:rsidR="00D60C6B" w:rsidRPr="00DA3227" w:rsidRDefault="00D60C6B" w:rsidP="00D60C6B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DA322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0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 w:rsidR="00450990">
        <w:rPr>
          <w:rFonts w:ascii="Times New Roman" w:hAnsi="Times New Roman" w:cs="Times New Roman"/>
          <w:sz w:val="28"/>
          <w:szCs w:val="28"/>
        </w:rPr>
        <w:t>полугодии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9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450990">
        <w:rPr>
          <w:rFonts w:ascii="Times New Roman" w:hAnsi="Times New Roman" w:cs="Times New Roman"/>
          <w:sz w:val="28"/>
          <w:szCs w:val="28"/>
        </w:rPr>
        <w:t>а</w:t>
      </w:r>
      <w:r w:rsidR="00C509D9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50990">
        <w:rPr>
          <w:rFonts w:ascii="Times New Roman" w:hAnsi="Times New Roman" w:cs="Times New Roman"/>
          <w:sz w:val="28"/>
          <w:szCs w:val="28"/>
        </w:rPr>
        <w:t>решениями Совета поселения от 25.03., 30.05., 28.06.2016 года № 311, 315, 317 соответственно</w:t>
      </w:r>
      <w:r w:rsidR="00450990"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1 </w:t>
      </w:r>
      <w:r w:rsidR="00C509D9">
        <w:rPr>
          <w:rFonts w:ascii="Times New Roman" w:hAnsi="Times New Roman" w:cs="Times New Roman"/>
          <w:sz w:val="28"/>
          <w:szCs w:val="28"/>
        </w:rPr>
        <w:t>полугодия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509D9">
        <w:rPr>
          <w:rFonts w:ascii="Times New Roman" w:hAnsi="Times New Roman" w:cs="Times New Roman"/>
          <w:sz w:val="28"/>
          <w:szCs w:val="28"/>
        </w:rPr>
        <w:t>1835,8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509D9">
        <w:rPr>
          <w:rFonts w:ascii="Times New Roman" w:hAnsi="Times New Roman" w:cs="Times New Roman"/>
          <w:sz w:val="28"/>
          <w:szCs w:val="28"/>
        </w:rPr>
        <w:t>45,7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C509D9">
        <w:rPr>
          <w:rFonts w:ascii="Times New Roman" w:hAnsi="Times New Roman" w:cs="Times New Roman"/>
          <w:sz w:val="28"/>
          <w:szCs w:val="28"/>
        </w:rPr>
        <w:t>4015,7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C509D9">
        <w:rPr>
          <w:rFonts w:ascii="Times New Roman" w:hAnsi="Times New Roman" w:cs="Times New Roman"/>
          <w:sz w:val="28"/>
          <w:szCs w:val="28"/>
        </w:rPr>
        <w:t>313,3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509D9">
        <w:rPr>
          <w:rFonts w:ascii="Times New Roman" w:hAnsi="Times New Roman" w:cs="Times New Roman"/>
          <w:sz w:val="28"/>
          <w:szCs w:val="28"/>
        </w:rPr>
        <w:t>36,4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C509D9">
        <w:rPr>
          <w:rFonts w:ascii="Times New Roman" w:hAnsi="Times New Roman" w:cs="Times New Roman"/>
          <w:sz w:val="28"/>
          <w:szCs w:val="28"/>
        </w:rPr>
        <w:t>1522,5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509D9">
        <w:rPr>
          <w:rFonts w:ascii="Times New Roman" w:hAnsi="Times New Roman" w:cs="Times New Roman"/>
          <w:sz w:val="28"/>
          <w:szCs w:val="28"/>
        </w:rPr>
        <w:t>48,2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доходы от сдачи в аренду муниципального имущества,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,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509D9">
        <w:rPr>
          <w:rFonts w:ascii="Times New Roman" w:hAnsi="Times New Roman" w:cs="Times New Roman"/>
          <w:sz w:val="28"/>
          <w:szCs w:val="28"/>
        </w:rPr>
        <w:t>82,4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C509D9">
        <w:rPr>
          <w:rFonts w:ascii="Times New Roman" w:hAnsi="Times New Roman" w:cs="Times New Roman"/>
          <w:sz w:val="28"/>
          <w:szCs w:val="28"/>
        </w:rPr>
        <w:t>17,1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C509D9">
        <w:rPr>
          <w:rFonts w:ascii="Times New Roman" w:hAnsi="Times New Roman" w:cs="Times New Roman"/>
          <w:sz w:val="28"/>
          <w:szCs w:val="28"/>
        </w:rPr>
        <w:t>82,9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C509D9">
        <w:rPr>
          <w:rFonts w:ascii="Times New Roman" w:hAnsi="Times New Roman" w:cs="Times New Roman"/>
          <w:sz w:val="28"/>
          <w:szCs w:val="28"/>
        </w:rPr>
        <w:t>1856,2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509D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C509D9">
        <w:rPr>
          <w:rFonts w:ascii="Times New Roman" w:hAnsi="Times New Roman" w:cs="Times New Roman"/>
          <w:sz w:val="28"/>
          <w:szCs w:val="28"/>
        </w:rPr>
        <w:t>4041,7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1 </w:t>
      </w:r>
      <w:r w:rsidR="00C509D9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7A4886">
        <w:rPr>
          <w:rFonts w:ascii="Times New Roman" w:hAnsi="Times New Roman" w:cs="Times New Roman"/>
          <w:sz w:val="28"/>
          <w:szCs w:val="28"/>
        </w:rPr>
        <w:t>510,8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A4886">
        <w:rPr>
          <w:rFonts w:ascii="Times New Roman" w:hAnsi="Times New Roman" w:cs="Times New Roman"/>
          <w:sz w:val="28"/>
          <w:szCs w:val="28"/>
        </w:rPr>
        <w:t>27,5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«Национальная безопасность и право</w:t>
      </w:r>
      <w:r w:rsidR="00B935B2">
        <w:rPr>
          <w:rFonts w:ascii="Times New Roman" w:hAnsi="Times New Roman" w:cs="Times New Roman"/>
          <w:sz w:val="28"/>
          <w:szCs w:val="28"/>
        </w:rPr>
        <w:t>охранительная деятельность»,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F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</w:t>
      </w:r>
      <w:r>
        <w:rPr>
          <w:rFonts w:ascii="Times New Roman" w:hAnsi="Times New Roman" w:cs="Times New Roman"/>
          <w:sz w:val="28"/>
          <w:szCs w:val="28"/>
        </w:rPr>
        <w:t>, кроме раздела «Общегосударственные вопросы»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</w:t>
      </w:r>
      <w:r w:rsidR="007A4886">
        <w:rPr>
          <w:rFonts w:ascii="Times New Roman" w:hAnsi="Times New Roman" w:cs="Times New Roman"/>
          <w:sz w:val="28"/>
          <w:szCs w:val="28"/>
        </w:rPr>
        <w:t>50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4. За 1 </w:t>
      </w:r>
      <w:r w:rsidR="007A4886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7A4886">
        <w:rPr>
          <w:rFonts w:ascii="Times New Roman" w:hAnsi="Times New Roman" w:cs="Times New Roman"/>
          <w:sz w:val="28"/>
          <w:szCs w:val="28"/>
        </w:rPr>
        <w:t>20,4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пределах остатка средств на счетах по состоянию на 01.01.2016 года.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 1 </w:t>
      </w:r>
      <w:r w:rsidR="007A488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4886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7A4886">
        <w:rPr>
          <w:rFonts w:ascii="Times New Roman" w:hAnsi="Times New Roman" w:cs="Times New Roman"/>
          <w:sz w:val="28"/>
          <w:szCs w:val="28"/>
        </w:rPr>
        <w:t>371,1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7A4886">
        <w:rPr>
          <w:rFonts w:ascii="Times New Roman" w:hAnsi="Times New Roman" w:cs="Times New Roman"/>
          <w:sz w:val="28"/>
          <w:szCs w:val="28"/>
        </w:rPr>
        <w:t>327,1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4886">
        <w:rPr>
          <w:rFonts w:ascii="Times New Roman" w:hAnsi="Times New Roman" w:cs="Times New Roman"/>
          <w:sz w:val="28"/>
          <w:szCs w:val="28"/>
        </w:rPr>
        <w:t>11,8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7A4886">
        <w:rPr>
          <w:rFonts w:ascii="Times New Roman" w:hAnsi="Times New Roman" w:cs="Times New Roman"/>
          <w:sz w:val="28"/>
          <w:szCs w:val="28"/>
        </w:rPr>
        <w:t>352,5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роста кредиторской задолженности на </w:t>
      </w:r>
      <w:r w:rsidR="007A4886">
        <w:rPr>
          <w:rFonts w:ascii="Times New Roman" w:hAnsi="Times New Roman" w:cs="Times New Roman"/>
          <w:sz w:val="28"/>
          <w:szCs w:val="28"/>
        </w:rPr>
        <w:t>25,4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земельного налога с физических лиц и доходов от сдачи в аренду имущества.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 кредиторской задолженности.</w:t>
      </w:r>
    </w:p>
    <w:p w:rsidR="007A4886" w:rsidRPr="00841E12" w:rsidRDefault="00A5503B" w:rsidP="00A5503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5503B">
        <w:rPr>
          <w:rFonts w:ascii="Times New Roman" w:hAnsi="Times New Roman" w:cs="Times New Roman"/>
          <w:sz w:val="28"/>
          <w:szCs w:val="28"/>
        </w:rPr>
        <w:t>Устранить ошибки в Приложении 1,2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A5503B">
        <w:rPr>
          <w:rFonts w:ascii="Times New Roman" w:hAnsi="Times New Roman" w:cs="Times New Roman"/>
          <w:sz w:val="28"/>
          <w:szCs w:val="28"/>
        </w:rPr>
        <w:t xml:space="preserve">  к   отчету об исполнении бюджета поселения, указанные в настоящем заключении.</w:t>
      </w:r>
    </w:p>
    <w:p w:rsidR="00D60C6B" w:rsidRPr="00841E12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5C2F87">
        <w:rPr>
          <w:rFonts w:ascii="Times New Roman" w:hAnsi="Times New Roman" w:cs="Times New Roman"/>
          <w:sz w:val="28"/>
          <w:szCs w:val="28"/>
        </w:rPr>
        <w:t>М.И.Шестакова</w:t>
      </w:r>
      <w:proofErr w:type="spell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90" w:rsidRDefault="00B06490">
      <w:pPr>
        <w:spacing w:after="0" w:line="240" w:lineRule="auto"/>
      </w:pPr>
      <w:r>
        <w:separator/>
      </w:r>
    </w:p>
  </w:endnote>
  <w:endnote w:type="continuationSeparator" w:id="0">
    <w:p w:rsidR="00B06490" w:rsidRDefault="00B0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90" w:rsidRDefault="00B06490">
      <w:pPr>
        <w:spacing w:after="0" w:line="240" w:lineRule="auto"/>
      </w:pPr>
      <w:r>
        <w:separator/>
      </w:r>
    </w:p>
  </w:footnote>
  <w:footnote w:type="continuationSeparator" w:id="0">
    <w:p w:rsidR="00B06490" w:rsidRDefault="00B0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8B" w:rsidRDefault="00FC168B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68B" w:rsidRDefault="00FC1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8B" w:rsidRDefault="00FC168B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9A9">
      <w:rPr>
        <w:rStyle w:val="a5"/>
        <w:noProof/>
      </w:rPr>
      <w:t>15</w:t>
    </w:r>
    <w:r>
      <w:rPr>
        <w:rStyle w:val="a5"/>
      </w:rPr>
      <w:fldChar w:fldCharType="end"/>
    </w:r>
  </w:p>
  <w:p w:rsidR="00FC168B" w:rsidRDefault="00FC1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70F90"/>
    <w:rsid w:val="00091356"/>
    <w:rsid w:val="000C059E"/>
    <w:rsid w:val="0010585D"/>
    <w:rsid w:val="0013238C"/>
    <w:rsid w:val="001342AD"/>
    <w:rsid w:val="00145998"/>
    <w:rsid w:val="00152BE9"/>
    <w:rsid w:val="00170735"/>
    <w:rsid w:val="00183868"/>
    <w:rsid w:val="00192658"/>
    <w:rsid w:val="001B39D2"/>
    <w:rsid w:val="001B4298"/>
    <w:rsid w:val="00205AB8"/>
    <w:rsid w:val="00262877"/>
    <w:rsid w:val="00286C10"/>
    <w:rsid w:val="00336BE2"/>
    <w:rsid w:val="003A362D"/>
    <w:rsid w:val="003A4570"/>
    <w:rsid w:val="003A4AFC"/>
    <w:rsid w:val="003D29EE"/>
    <w:rsid w:val="003F0111"/>
    <w:rsid w:val="003F4D42"/>
    <w:rsid w:val="004136BF"/>
    <w:rsid w:val="00442696"/>
    <w:rsid w:val="00450990"/>
    <w:rsid w:val="00475935"/>
    <w:rsid w:val="004815E6"/>
    <w:rsid w:val="004B1422"/>
    <w:rsid w:val="004F5F84"/>
    <w:rsid w:val="00513606"/>
    <w:rsid w:val="00550170"/>
    <w:rsid w:val="005B5B64"/>
    <w:rsid w:val="005D521D"/>
    <w:rsid w:val="005F1E2D"/>
    <w:rsid w:val="005F6B5C"/>
    <w:rsid w:val="00607E0D"/>
    <w:rsid w:val="0062087D"/>
    <w:rsid w:val="00634E3E"/>
    <w:rsid w:val="00694D8E"/>
    <w:rsid w:val="006D185F"/>
    <w:rsid w:val="006F6DBB"/>
    <w:rsid w:val="0077199A"/>
    <w:rsid w:val="007A4886"/>
    <w:rsid w:val="007B310B"/>
    <w:rsid w:val="008079C4"/>
    <w:rsid w:val="00834CF1"/>
    <w:rsid w:val="008B125A"/>
    <w:rsid w:val="008C5700"/>
    <w:rsid w:val="009315D6"/>
    <w:rsid w:val="00957259"/>
    <w:rsid w:val="00975A18"/>
    <w:rsid w:val="00984EF1"/>
    <w:rsid w:val="00993F42"/>
    <w:rsid w:val="00A06558"/>
    <w:rsid w:val="00A5503B"/>
    <w:rsid w:val="00A66F2D"/>
    <w:rsid w:val="00A67018"/>
    <w:rsid w:val="00AC31B3"/>
    <w:rsid w:val="00AC623A"/>
    <w:rsid w:val="00AD5CE4"/>
    <w:rsid w:val="00B04F44"/>
    <w:rsid w:val="00B06490"/>
    <w:rsid w:val="00B23389"/>
    <w:rsid w:val="00B32B54"/>
    <w:rsid w:val="00B62A53"/>
    <w:rsid w:val="00B8691A"/>
    <w:rsid w:val="00B935B2"/>
    <w:rsid w:val="00BC0AC4"/>
    <w:rsid w:val="00C00F2E"/>
    <w:rsid w:val="00C04761"/>
    <w:rsid w:val="00C063DC"/>
    <w:rsid w:val="00C068E9"/>
    <w:rsid w:val="00C3200D"/>
    <w:rsid w:val="00C33678"/>
    <w:rsid w:val="00C509D9"/>
    <w:rsid w:val="00CC4602"/>
    <w:rsid w:val="00D333B3"/>
    <w:rsid w:val="00D539EE"/>
    <w:rsid w:val="00D60C6B"/>
    <w:rsid w:val="00DE28FA"/>
    <w:rsid w:val="00E739C3"/>
    <w:rsid w:val="00EE5089"/>
    <w:rsid w:val="00F239A9"/>
    <w:rsid w:val="00F514A1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Лист1!$B$97</c:f>
              <c:strCache>
                <c:ptCount val="1"/>
                <c:pt idx="0">
                  <c:v>1полугодие2015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4.190476190476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0975609756097936E-3"/>
                  <c:y val="2.5157232704402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354297693920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Лист1!$A$98:$A$107</c:f>
              <c:strCache>
                <c:ptCount val="7"/>
                <c:pt idx="0">
                  <c:v>НДФЛ</c:v>
                </c:pt>
                <c:pt idx="1">
                  <c:v>Акцизы по подакцизным товарам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государственная пошлина </c:v>
                </c:pt>
                <c:pt idx="5">
                  <c:v>доходы от сдачи в аренду имущества</c:v>
                </c:pt>
                <c:pt idx="6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Лист1!$B$98:$B$107</c:f>
              <c:numCache>
                <c:formatCode>General</c:formatCode>
                <c:ptCount val="10"/>
                <c:pt idx="0">
                  <c:v>40.6</c:v>
                </c:pt>
                <c:pt idx="1">
                  <c:v>113</c:v>
                </c:pt>
                <c:pt idx="2">
                  <c:v>9.8000000000000007</c:v>
                </c:pt>
                <c:pt idx="3">
                  <c:v>77.8</c:v>
                </c:pt>
                <c:pt idx="4">
                  <c:v>3.9</c:v>
                </c:pt>
                <c:pt idx="5">
                  <c:v>167.3</c:v>
                </c:pt>
                <c:pt idx="6">
                  <c:v>0</c:v>
                </c:pt>
                <c:pt idx="7">
                  <c:v>412.4</c:v>
                </c:pt>
              </c:numCache>
            </c:numRef>
          </c:val>
        </c:ser>
        <c:ser>
          <c:idx val="1"/>
          <c:order val="1"/>
          <c:tx>
            <c:strRef>
              <c:f>Лист1!$C$97</c:f>
              <c:strCache>
                <c:ptCount val="1"/>
                <c:pt idx="0">
                  <c:v>1полугодие 2016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325203252032522E-3"/>
                  <c:y val="-2.2361984626135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236198462613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325203252032522E-3"/>
                  <c:y val="-4.19287211740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357723577235811E-2"/>
                  <c:y val="-2.236198462613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50406504065054E-3"/>
                  <c:y val="-3.354297693920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162601626016281E-2"/>
                  <c:y val="8.3857442348008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325203252032522E-3"/>
                  <c:y val="-3.633822501747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0325203252032522E-3"/>
                  <c:y val="-3.074772886093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Лист1!$A$98:$A$107</c:f>
              <c:strCache>
                <c:ptCount val="7"/>
                <c:pt idx="0">
                  <c:v>НДФЛ</c:v>
                </c:pt>
                <c:pt idx="1">
                  <c:v>Акцизы по подакцизным товарам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государственная пошлина </c:v>
                </c:pt>
                <c:pt idx="5">
                  <c:v>доходы от сдачи в аренду имущества</c:v>
                </c:pt>
                <c:pt idx="6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Лист1!$C$98:$C$107</c:f>
              <c:numCache>
                <c:formatCode>General</c:formatCode>
                <c:ptCount val="10"/>
                <c:pt idx="0">
                  <c:v>46.3</c:v>
                </c:pt>
                <c:pt idx="1">
                  <c:v>0</c:v>
                </c:pt>
                <c:pt idx="2">
                  <c:v>-0.1</c:v>
                </c:pt>
                <c:pt idx="3">
                  <c:v>79.7</c:v>
                </c:pt>
                <c:pt idx="4">
                  <c:v>5.2</c:v>
                </c:pt>
                <c:pt idx="5">
                  <c:v>132.19999999999999</c:v>
                </c:pt>
                <c:pt idx="6">
                  <c:v>50</c:v>
                </c:pt>
                <c:pt idx="7">
                  <c:v>313.29999999999995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659648"/>
        <c:axId val="25661440"/>
        <c:axId val="0"/>
      </c:bar3DChart>
      <c:catAx>
        <c:axId val="2565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661440"/>
        <c:crosses val="autoZero"/>
        <c:auto val="1"/>
        <c:lblAlgn val="ctr"/>
        <c:lblOffset val="100"/>
        <c:noMultiLvlLbl val="0"/>
      </c:catAx>
      <c:valAx>
        <c:axId val="256614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565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61915507436570427"/>
          <c:y val="7.407407407407407E-2"/>
          <c:w val="0.28977690288713909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Лист1!$B$196</c:f>
              <c:strCache>
                <c:ptCount val="1"/>
                <c:pt idx="0">
                  <c:v>за 6 месяцев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Лист1!$A$197:$A$200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Лист1!$B$197:$B$200</c:f>
              <c:numCache>
                <c:formatCode>General</c:formatCode>
                <c:ptCount val="4"/>
                <c:pt idx="0">
                  <c:v>1212.3</c:v>
                </c:pt>
                <c:pt idx="1">
                  <c:v>0</c:v>
                </c:pt>
                <c:pt idx="2">
                  <c:v>35.299999999999997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Лист1!$C$196</c:f>
              <c:strCache>
                <c:ptCount val="1"/>
                <c:pt idx="0">
                  <c:v>за 6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Лист1!$A$197:$A$200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Лист1!$C$197:$C$200</c:f>
              <c:numCache>
                <c:formatCode>General</c:formatCode>
                <c:ptCount val="4"/>
                <c:pt idx="0">
                  <c:v>1374.2</c:v>
                </c:pt>
                <c:pt idx="1">
                  <c:v>0</c:v>
                </c:pt>
                <c:pt idx="2">
                  <c:v>45.4</c:v>
                </c:pt>
                <c:pt idx="3">
                  <c:v>102.9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206592"/>
        <c:axId val="156208128"/>
        <c:axId val="0"/>
      </c:bar3DChart>
      <c:catAx>
        <c:axId val="156206592"/>
        <c:scaling>
          <c:orientation val="minMax"/>
        </c:scaling>
        <c:delete val="0"/>
        <c:axPos val="l"/>
        <c:majorTickMark val="out"/>
        <c:minorTickMark val="none"/>
        <c:tickLblPos val="nextTo"/>
        <c:crossAx val="156208128"/>
        <c:crosses val="autoZero"/>
        <c:auto val="1"/>
        <c:lblAlgn val="ctr"/>
        <c:lblOffset val="100"/>
        <c:noMultiLvlLbl val="0"/>
      </c:catAx>
      <c:valAx>
        <c:axId val="156208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620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1041.8</c:v>
                </c:pt>
                <c:pt idx="1">
                  <c:v>34.9</c:v>
                </c:pt>
                <c:pt idx="2">
                  <c:v>0</c:v>
                </c:pt>
                <c:pt idx="3">
                  <c:v>0</c:v>
                </c:pt>
                <c:pt idx="4">
                  <c:v>84.9</c:v>
                </c:pt>
                <c:pt idx="5">
                  <c:v>0</c:v>
                </c:pt>
                <c:pt idx="6">
                  <c:v>406.1</c:v>
                </c:pt>
                <c:pt idx="7">
                  <c:v>81.900000000000006</c:v>
                </c:pt>
                <c:pt idx="8">
                  <c:v>30.5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1163.3</c:v>
                </c:pt>
                <c:pt idx="1">
                  <c:v>45.4</c:v>
                </c:pt>
                <c:pt idx="2">
                  <c:v>0</c:v>
                </c:pt>
                <c:pt idx="3">
                  <c:v>64.3</c:v>
                </c:pt>
                <c:pt idx="4">
                  <c:v>72.400000000000006</c:v>
                </c:pt>
                <c:pt idx="5">
                  <c:v>0</c:v>
                </c:pt>
                <c:pt idx="6">
                  <c:v>436.8</c:v>
                </c:pt>
                <c:pt idx="7">
                  <c:v>47</c:v>
                </c:pt>
                <c:pt idx="8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233728"/>
        <c:axId val="156235264"/>
      </c:barChart>
      <c:catAx>
        <c:axId val="156233728"/>
        <c:scaling>
          <c:orientation val="minMax"/>
        </c:scaling>
        <c:delete val="0"/>
        <c:axPos val="l"/>
        <c:majorTickMark val="out"/>
        <c:minorTickMark val="none"/>
        <c:tickLblPos val="nextTo"/>
        <c:crossAx val="156235264"/>
        <c:crosses val="autoZero"/>
        <c:auto val="1"/>
        <c:lblAlgn val="ctr"/>
        <c:lblOffset val="100"/>
        <c:noMultiLvlLbl val="0"/>
      </c:catAx>
      <c:valAx>
        <c:axId val="156235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623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85185185185186"/>
          <c:w val="0.92940855694009161"/>
          <c:h val="0.898148042375532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Общегосударственные вопросы - 62,7%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877676474651195E-2"/>
                  <c:y val="-8.87103749337032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- 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- </a:t>
                    </a:r>
                    <a:r>
                      <a:rPr lang="en-US"/>
                      <a:t>3,5</a:t>
                    </a:r>
                    <a:r>
                      <a:rPr lang="ru-RU"/>
                      <a:t> 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 - </a:t>
                    </a:r>
                    <a:r>
                      <a:rPr lang="en-US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  <a:r>
                      <a:rPr lang="ru-RU" baseline="0"/>
                      <a:t> - </a:t>
                    </a:r>
                    <a:r>
                      <a:rPr lang="en-US"/>
                      <a:t>53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- </a:t>
                    </a:r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- </a:t>
                    </a:r>
                    <a:r>
                      <a:rPr lang="en-US"/>
                      <a:t>14,9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 </a:t>
                    </a:r>
                    <a:r>
                      <a:rPr lang="en-US"/>
                      <a:t>1,1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 СМИ -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Трансферты - </a:t>
                    </a:r>
                    <a:r>
                      <a:rPr lang="en-US"/>
                      <a:t>9,6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Лист1!$A$230:$A$240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Лист1!$B$230:$B$240</c:f>
              <c:numCache>
                <c:formatCode>General</c:formatCode>
                <c:ptCount val="11"/>
                <c:pt idx="0">
                  <c:v>62.7</c:v>
                </c:pt>
                <c:pt idx="1">
                  <c:v>2.4</c:v>
                </c:pt>
                <c:pt idx="2">
                  <c:v>3.5</c:v>
                </c:pt>
                <c:pt idx="3">
                  <c:v>3.9</c:v>
                </c:pt>
                <c:pt idx="5">
                  <c:v>23.5</c:v>
                </c:pt>
                <c:pt idx="6">
                  <c:v>2.5</c:v>
                </c:pt>
                <c:pt idx="7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DED7-2BBA-4E05-AB7F-1FDD099D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2016-08-10T06:50:00Z</cp:lastPrinted>
  <dcterms:created xsi:type="dcterms:W3CDTF">2016-09-27T12:38:00Z</dcterms:created>
  <dcterms:modified xsi:type="dcterms:W3CDTF">2016-09-27T12:38:00Z</dcterms:modified>
</cp:coreProperties>
</file>