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192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УТВЕРЖДАЮ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Представительного Собрания района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 xml:space="preserve">____________________О.А.Дудина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92E">
        <w:rPr>
          <w:rFonts w:ascii="Times New Roman" w:hAnsi="Times New Roman" w:cs="Times New Roman"/>
          <w:b/>
          <w:sz w:val="32"/>
          <w:szCs w:val="32"/>
        </w:rPr>
        <w:t xml:space="preserve"> ЗАКЛЮЧЕНИЕ</w:t>
      </w: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на отчет об исполнении бюджета поселения </w:t>
      </w:r>
      <w:r w:rsidR="00755149">
        <w:rPr>
          <w:rFonts w:ascii="Times New Roman" w:hAnsi="Times New Roman" w:cs="Times New Roman"/>
          <w:sz w:val="28"/>
          <w:szCs w:val="28"/>
        </w:rPr>
        <w:t>Туро</w:t>
      </w:r>
      <w:r>
        <w:rPr>
          <w:rFonts w:ascii="Times New Roman" w:hAnsi="Times New Roman" w:cs="Times New Roman"/>
          <w:sz w:val="28"/>
          <w:szCs w:val="28"/>
        </w:rPr>
        <w:t>вецкое</w:t>
      </w: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за 1 квартал   2016 года</w:t>
      </w:r>
    </w:p>
    <w:p w:rsidR="006C192E" w:rsidRP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C192E">
        <w:rPr>
          <w:rFonts w:ascii="Times New Roman" w:hAnsi="Times New Roman" w:cs="Times New Roman"/>
          <w:sz w:val="28"/>
          <w:szCs w:val="28"/>
        </w:rPr>
        <w:t xml:space="preserve"> » мая  2016 г.                                                                                  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</w:t>
      </w:r>
      <w:r w:rsidR="00755149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57C8B">
        <w:rPr>
          <w:rFonts w:ascii="Times New Roman" w:hAnsi="Times New Roman" w:cs="Times New Roman"/>
          <w:sz w:val="28"/>
          <w:szCs w:val="28"/>
        </w:rPr>
        <w:t>18 раздела «</w:t>
      </w:r>
      <w:r w:rsidRPr="006C192E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мероприятия»  Плана работы  ревизионной комиссии </w:t>
      </w:r>
      <w:r w:rsidRPr="006C192E">
        <w:rPr>
          <w:rFonts w:ascii="Times New Roman" w:hAnsi="Times New Roman" w:cs="Times New Roman"/>
          <w:sz w:val="28"/>
          <w:szCs w:val="28"/>
        </w:rPr>
        <w:tab/>
        <w:t>Представительного Собрания района на 2016 год, ревизионной комиссией проведен анализ исполнения бюджета поселения  за 1 квартал  2016 года.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Отчет об исполнении бюджета поселения за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квартал 2016 года утвержден постановлением администрации  поселения </w:t>
      </w:r>
      <w:r>
        <w:rPr>
          <w:rFonts w:ascii="Times New Roman" w:hAnsi="Times New Roman" w:cs="Times New Roman"/>
          <w:sz w:val="28"/>
          <w:szCs w:val="28"/>
        </w:rPr>
        <w:t>Туровецко</w:t>
      </w:r>
      <w:r w:rsidR="00390C79">
        <w:rPr>
          <w:rFonts w:ascii="Times New Roman" w:hAnsi="Times New Roman" w:cs="Times New Roman"/>
          <w:sz w:val="28"/>
          <w:szCs w:val="28"/>
        </w:rPr>
        <w:t>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11 мая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2016 года №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сопоставление исполненных показателей бюджета поселения  за 1 квартал 2016 года с годовыми назначениями, а также  с показателями за аналогичный период предыдущего года;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выявление возможных несоответствий (нарушений) и подготовка предложений, направленных на их устранение.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Заключение ревизионной комиссии на отчет об исполнении бюджета поселения за 1</w:t>
      </w:r>
      <w:r w:rsidR="002B201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квартал 2016 года (далее - Заключение)подготовлено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6C192E">
        <w:rPr>
          <w:rFonts w:ascii="Times New Roman" w:hAnsi="Times New Roman" w:cs="Times New Roman"/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6C192E">
        <w:rPr>
          <w:rFonts w:ascii="Times New Roman" w:hAnsi="Times New Roman" w:cs="Times New Roman"/>
          <w:sz w:val="28"/>
          <w:szCs w:val="28"/>
        </w:rPr>
        <w:tab/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 поселения.</w:t>
      </w:r>
    </w:p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поселения за 1 квартал  2016 года утвержден постановлением администрации поселения </w:t>
      </w:r>
      <w:r w:rsidR="002B2016">
        <w:rPr>
          <w:rFonts w:ascii="Times New Roman" w:hAnsi="Times New Roman" w:cs="Times New Roman"/>
          <w:sz w:val="28"/>
          <w:szCs w:val="28"/>
        </w:rPr>
        <w:t>Туровецкое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6808A9" w:rsidRPr="006808A9" w:rsidRDefault="006808A9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08A9">
        <w:rPr>
          <w:rFonts w:ascii="Times New Roman" w:hAnsi="Times New Roman" w:cs="Times New Roman"/>
          <w:i/>
          <w:sz w:val="28"/>
          <w:szCs w:val="28"/>
        </w:rPr>
        <w:t xml:space="preserve">     В приложении 1 и 2</w:t>
      </w:r>
      <w:r w:rsidR="001747DD">
        <w:rPr>
          <w:rFonts w:ascii="Times New Roman" w:hAnsi="Times New Roman" w:cs="Times New Roman"/>
          <w:i/>
          <w:sz w:val="28"/>
          <w:szCs w:val="28"/>
        </w:rPr>
        <w:t xml:space="preserve"> к постановлению от 11.05.2016 года №29</w:t>
      </w:r>
      <w:r w:rsidRPr="006808A9">
        <w:rPr>
          <w:rFonts w:ascii="Times New Roman" w:hAnsi="Times New Roman" w:cs="Times New Roman"/>
          <w:i/>
          <w:sz w:val="28"/>
          <w:szCs w:val="28"/>
        </w:rPr>
        <w:t xml:space="preserve"> не</w:t>
      </w:r>
      <w:r w:rsidR="00857C8B">
        <w:rPr>
          <w:rFonts w:ascii="Times New Roman" w:hAnsi="Times New Roman" w:cs="Times New Roman"/>
          <w:i/>
          <w:sz w:val="28"/>
          <w:szCs w:val="28"/>
        </w:rPr>
        <w:t xml:space="preserve"> все </w:t>
      </w:r>
      <w:r w:rsidRPr="006808A9">
        <w:rPr>
          <w:rFonts w:ascii="Times New Roman" w:hAnsi="Times New Roman" w:cs="Times New Roman"/>
          <w:i/>
          <w:sz w:val="28"/>
          <w:szCs w:val="28"/>
        </w:rPr>
        <w:t>верные данные в столбцах  годовой план и процент исполнения.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Изменения в решение «О бюджете поселения на 2016 год» в 1 квартале 2016 года не вносились.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Первоначальный бюджет поселения на 2016 год утвержден  решением Совета поселения </w:t>
      </w:r>
      <w:r w:rsidR="002B2016">
        <w:rPr>
          <w:rFonts w:ascii="Times New Roman" w:hAnsi="Times New Roman" w:cs="Times New Roman"/>
          <w:sz w:val="28"/>
          <w:szCs w:val="28"/>
        </w:rPr>
        <w:t xml:space="preserve">Туровецкое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от 25 декабря 2015 года № </w:t>
      </w:r>
      <w:r w:rsidR="002B2016">
        <w:rPr>
          <w:rFonts w:ascii="Times New Roman" w:hAnsi="Times New Roman" w:cs="Times New Roman"/>
          <w:sz w:val="28"/>
          <w:szCs w:val="28"/>
        </w:rPr>
        <w:t>61</w:t>
      </w:r>
      <w:r w:rsidRPr="006C192E">
        <w:rPr>
          <w:rFonts w:ascii="Times New Roman" w:hAnsi="Times New Roman" w:cs="Times New Roman"/>
          <w:sz w:val="28"/>
          <w:szCs w:val="28"/>
        </w:rPr>
        <w:t xml:space="preserve"> со  следующими параметрами: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- объем доходов бюджета поселения –</w:t>
      </w:r>
      <w:r w:rsidR="002B2016">
        <w:rPr>
          <w:rFonts w:ascii="Times New Roman" w:hAnsi="Times New Roman" w:cs="Times New Roman"/>
          <w:sz w:val="28"/>
          <w:szCs w:val="28"/>
        </w:rPr>
        <w:t xml:space="preserve">3822,8 </w:t>
      </w:r>
      <w:r w:rsidRPr="006C19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- расходы бюджета поселения–</w:t>
      </w:r>
      <w:r w:rsidR="002B2016">
        <w:rPr>
          <w:rFonts w:ascii="Times New Roman" w:hAnsi="Times New Roman" w:cs="Times New Roman"/>
          <w:sz w:val="28"/>
          <w:szCs w:val="28"/>
        </w:rPr>
        <w:t>3822,8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92E" w:rsidRPr="006C192E" w:rsidRDefault="006C192E" w:rsidP="006C192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дефицит бюджета поселения - принят без дефицита.</w:t>
      </w:r>
    </w:p>
    <w:p w:rsidR="006C192E" w:rsidRPr="006C192E" w:rsidRDefault="002B2016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По данным отчета об исполнении бюджета доходы составили</w:t>
      </w:r>
      <w:r>
        <w:rPr>
          <w:rFonts w:ascii="Times New Roman" w:hAnsi="Times New Roman" w:cs="Times New Roman"/>
          <w:sz w:val="28"/>
          <w:szCs w:val="28"/>
        </w:rPr>
        <w:t xml:space="preserve"> 935,8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857C8B">
        <w:rPr>
          <w:rFonts w:ascii="Times New Roman" w:hAnsi="Times New Roman" w:cs="Times New Roman"/>
          <w:sz w:val="28"/>
          <w:szCs w:val="28"/>
        </w:rPr>
        <w:t>24,5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>
        <w:rPr>
          <w:rFonts w:ascii="Times New Roman" w:hAnsi="Times New Roman" w:cs="Times New Roman"/>
          <w:sz w:val="28"/>
          <w:szCs w:val="28"/>
        </w:rPr>
        <w:t>3822,8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расходы – </w:t>
      </w:r>
      <w:r>
        <w:rPr>
          <w:rFonts w:ascii="Times New Roman" w:hAnsi="Times New Roman" w:cs="Times New Roman"/>
          <w:sz w:val="28"/>
          <w:szCs w:val="28"/>
        </w:rPr>
        <w:t>971,0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857C8B">
        <w:rPr>
          <w:rFonts w:ascii="Times New Roman" w:hAnsi="Times New Roman" w:cs="Times New Roman"/>
          <w:sz w:val="28"/>
          <w:szCs w:val="28"/>
        </w:rPr>
        <w:t>25,4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</w:t>
      </w:r>
      <w:r>
        <w:rPr>
          <w:rFonts w:ascii="Times New Roman" w:hAnsi="Times New Roman" w:cs="Times New Roman"/>
          <w:sz w:val="28"/>
          <w:szCs w:val="28"/>
        </w:rPr>
        <w:t>3822,8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дефицит – </w:t>
      </w:r>
      <w:r>
        <w:rPr>
          <w:rFonts w:ascii="Times New Roman" w:hAnsi="Times New Roman" w:cs="Times New Roman"/>
          <w:sz w:val="28"/>
          <w:szCs w:val="28"/>
        </w:rPr>
        <w:t>35,2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Исполнение бюджета поселения за 1 квартал 2016 года в сравнении с аналогичным периодом 2015 года характеризуется следующими данными.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0"/>
          <w:szCs w:val="20"/>
        </w:rPr>
        <w:t>Таблица № 1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B364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192E">
        <w:rPr>
          <w:rFonts w:ascii="Times New Roman" w:hAnsi="Times New Roman" w:cs="Times New Roman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417"/>
        <w:gridCol w:w="1417"/>
      </w:tblGrid>
      <w:tr w:rsidR="006C192E" w:rsidRPr="006C192E" w:rsidTr="00B36491">
        <w:trPr>
          <w:trHeight w:val="2158"/>
        </w:trPr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Испол-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 за 1 квартал2015 года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2016года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 ис-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полнее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Абсолютное откло-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 1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квартала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 от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1 квартала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Исполнение к уровню   1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полугодия 2015 года  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192E" w:rsidRPr="006C192E" w:rsidTr="00B36491"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C192E" w:rsidRPr="006C192E" w:rsidTr="00B36491"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6C192E" w:rsidRPr="006C192E" w:rsidRDefault="00EA53D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911,1</w:t>
            </w:r>
          </w:p>
        </w:tc>
        <w:tc>
          <w:tcPr>
            <w:tcW w:w="1276" w:type="dxa"/>
          </w:tcPr>
          <w:p w:rsidR="006C192E" w:rsidRPr="006C192E" w:rsidRDefault="00EA53D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3822,8</w:t>
            </w:r>
          </w:p>
        </w:tc>
        <w:tc>
          <w:tcPr>
            <w:tcW w:w="1276" w:type="dxa"/>
          </w:tcPr>
          <w:p w:rsidR="006C192E" w:rsidRPr="006C192E" w:rsidRDefault="00EA53D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935,8</w:t>
            </w:r>
          </w:p>
        </w:tc>
        <w:tc>
          <w:tcPr>
            <w:tcW w:w="1276" w:type="dxa"/>
          </w:tcPr>
          <w:p w:rsidR="006C192E" w:rsidRPr="006C192E" w:rsidRDefault="00EA53D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417" w:type="dxa"/>
          </w:tcPr>
          <w:p w:rsidR="006C192E" w:rsidRPr="006C192E" w:rsidRDefault="00EA53D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417" w:type="dxa"/>
          </w:tcPr>
          <w:p w:rsidR="006C192E" w:rsidRPr="006C192E" w:rsidRDefault="00EA53D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</w:tr>
      <w:tr w:rsidR="006C192E" w:rsidRPr="006C192E" w:rsidTr="00B36491"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6C192E" w:rsidRPr="006C192E" w:rsidRDefault="00EA53D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1146,2</w:t>
            </w:r>
          </w:p>
        </w:tc>
        <w:tc>
          <w:tcPr>
            <w:tcW w:w="1276" w:type="dxa"/>
          </w:tcPr>
          <w:p w:rsidR="006C192E" w:rsidRPr="006C192E" w:rsidRDefault="00EA53D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3822,8</w:t>
            </w:r>
          </w:p>
        </w:tc>
        <w:tc>
          <w:tcPr>
            <w:tcW w:w="1276" w:type="dxa"/>
          </w:tcPr>
          <w:p w:rsidR="006C192E" w:rsidRPr="006C192E" w:rsidRDefault="00EA53D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971,0</w:t>
            </w:r>
          </w:p>
        </w:tc>
        <w:tc>
          <w:tcPr>
            <w:tcW w:w="1276" w:type="dxa"/>
          </w:tcPr>
          <w:p w:rsidR="006C192E" w:rsidRPr="006C192E" w:rsidRDefault="00EA53D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25,4</w:t>
            </w:r>
          </w:p>
        </w:tc>
        <w:tc>
          <w:tcPr>
            <w:tcW w:w="1417" w:type="dxa"/>
          </w:tcPr>
          <w:p w:rsidR="006C192E" w:rsidRPr="006C192E" w:rsidRDefault="00EA53D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-175,2</w:t>
            </w:r>
          </w:p>
        </w:tc>
        <w:tc>
          <w:tcPr>
            <w:tcW w:w="1417" w:type="dxa"/>
          </w:tcPr>
          <w:p w:rsidR="006C192E" w:rsidRPr="006C192E" w:rsidRDefault="00EA53D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</w:tr>
      <w:tr w:rsidR="006C192E" w:rsidRPr="006C192E" w:rsidTr="00B36491"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Дефицит (-),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профицит (+)</w:t>
            </w:r>
          </w:p>
        </w:tc>
        <w:tc>
          <w:tcPr>
            <w:tcW w:w="1276" w:type="dxa"/>
          </w:tcPr>
          <w:p w:rsidR="006C192E" w:rsidRPr="006C192E" w:rsidRDefault="006C192E" w:rsidP="00EA53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53DB">
              <w:rPr>
                <w:rFonts w:ascii="Times New Roman" w:hAnsi="Times New Roman" w:cs="Times New Roman"/>
                <w:sz w:val="20"/>
                <w:szCs w:val="20"/>
              </w:rPr>
              <w:t>235,1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C192E" w:rsidRPr="006C192E" w:rsidRDefault="006C192E" w:rsidP="00EA53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A53DB">
              <w:rPr>
                <w:rFonts w:ascii="Times New Roman" w:hAnsi="Times New Roman" w:cs="Times New Roman"/>
                <w:sz w:val="20"/>
                <w:szCs w:val="20"/>
              </w:rPr>
              <w:t>35,2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6C192E" w:rsidRPr="006C192E" w:rsidRDefault="00EA53D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-199,9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По сравнению с 1 кварталом 2015 года доходы бюджета поселения увеличились </w:t>
      </w:r>
      <w:r w:rsidR="00EA53DB">
        <w:rPr>
          <w:rFonts w:ascii="Times New Roman" w:hAnsi="Times New Roman" w:cs="Times New Roman"/>
          <w:sz w:val="28"/>
          <w:szCs w:val="28"/>
        </w:rPr>
        <w:t>24,7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A53DB">
        <w:rPr>
          <w:rFonts w:ascii="Times New Roman" w:hAnsi="Times New Roman" w:cs="Times New Roman"/>
          <w:sz w:val="28"/>
          <w:szCs w:val="28"/>
        </w:rPr>
        <w:t xml:space="preserve">2,7 </w:t>
      </w:r>
      <w:r w:rsidRPr="006C192E">
        <w:rPr>
          <w:rFonts w:ascii="Times New Roman" w:hAnsi="Times New Roman" w:cs="Times New Roman"/>
          <w:sz w:val="28"/>
          <w:szCs w:val="28"/>
        </w:rPr>
        <w:t xml:space="preserve">%, расходы </w:t>
      </w:r>
      <w:r w:rsidR="00EA53DB">
        <w:rPr>
          <w:rFonts w:ascii="Times New Roman" w:hAnsi="Times New Roman" w:cs="Times New Roman"/>
          <w:sz w:val="28"/>
          <w:szCs w:val="28"/>
        </w:rPr>
        <w:t>уменьшились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EA53DB">
        <w:rPr>
          <w:rFonts w:ascii="Times New Roman" w:hAnsi="Times New Roman" w:cs="Times New Roman"/>
          <w:sz w:val="28"/>
          <w:szCs w:val="28"/>
        </w:rPr>
        <w:t>175,2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 </w:t>
      </w:r>
      <w:r w:rsidR="00EA53DB">
        <w:rPr>
          <w:rFonts w:ascii="Times New Roman" w:hAnsi="Times New Roman" w:cs="Times New Roman"/>
          <w:sz w:val="28"/>
          <w:szCs w:val="28"/>
        </w:rPr>
        <w:t>5,3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%. Бюджет поселения за 1 квартал 2016 года исполнен с дефицитом в сумме  </w:t>
      </w:r>
      <w:r w:rsidR="00EA53DB">
        <w:rPr>
          <w:rFonts w:ascii="Times New Roman" w:hAnsi="Times New Roman" w:cs="Times New Roman"/>
          <w:sz w:val="28"/>
          <w:szCs w:val="28"/>
        </w:rPr>
        <w:t>35,2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за аналогичный период 2015 года бюджет исполнен также с дефицитом в сумме </w:t>
      </w:r>
      <w:r w:rsidR="00EA53DB">
        <w:rPr>
          <w:rFonts w:ascii="Times New Roman" w:hAnsi="Times New Roman" w:cs="Times New Roman"/>
          <w:sz w:val="28"/>
          <w:szCs w:val="28"/>
        </w:rPr>
        <w:t>235,1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A53DB" w:rsidRPr="006C192E" w:rsidRDefault="00EA53DB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6C192E" w:rsidRDefault="006C192E" w:rsidP="00EA53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z w:val="28"/>
          <w:szCs w:val="28"/>
        </w:rPr>
        <w:t>Доходы бюджета поселения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Исполнение бюджета поселения по доходам за 1 квартал  2016 года представлено в следующей таблице.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</w:rPr>
        <w:t>Таблица № 2</w:t>
      </w:r>
      <w:r w:rsidRPr="006C192E">
        <w:rPr>
          <w:rFonts w:ascii="Times New Roman" w:hAnsi="Times New Roman" w:cs="Times New Roman"/>
        </w:rPr>
        <w:tab/>
      </w:r>
      <w:r w:rsidR="00EA53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6C192E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2015год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 за 1 квартал 2015 года</w:t>
            </w:r>
          </w:p>
        </w:tc>
        <w:tc>
          <w:tcPr>
            <w:tcW w:w="7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2016 год</w:t>
            </w:r>
          </w:p>
        </w:tc>
        <w:tc>
          <w:tcPr>
            <w:tcW w:w="851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за 1 квартал 2016 год </w:t>
            </w:r>
          </w:p>
        </w:tc>
        <w:tc>
          <w:tcPr>
            <w:tcW w:w="850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6C192E" w:rsidRPr="006C192E" w:rsidRDefault="006C192E" w:rsidP="006C192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квартала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2016 года от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1 квартала</w:t>
            </w:r>
          </w:p>
          <w:p w:rsidR="006C192E" w:rsidRPr="006C192E" w:rsidRDefault="006C192E" w:rsidP="006C192E">
            <w:pPr>
              <w:spacing w:after="0" w:line="240" w:lineRule="auto"/>
              <w:ind w:left="-108" w:righ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2015 года</w:t>
            </w:r>
          </w:p>
        </w:tc>
        <w:tc>
          <w:tcPr>
            <w:tcW w:w="850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к уровню 1 квартала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2015года</w:t>
            </w:r>
          </w:p>
          <w:p w:rsidR="006C192E" w:rsidRPr="006C192E" w:rsidRDefault="006C192E" w:rsidP="006C192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533,0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101,0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18,9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248,0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38,9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15,7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-62,1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38,5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182,5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доходы от уплаты акцизов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249,0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67,8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-67,8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налог на имущество физ</w:t>
            </w:r>
            <w:r>
              <w:rPr>
                <w:rFonts w:ascii="Times New Roman" w:hAnsi="Times New Roman" w:cs="Times New Roman"/>
              </w:rPr>
              <w:t xml:space="preserve">ических </w:t>
            </w:r>
            <w:r w:rsidRPr="006C192E">
              <w:rPr>
                <w:rFonts w:ascii="Times New Roman" w:hAnsi="Times New Roman" w:cs="Times New Roman"/>
              </w:rPr>
              <w:t>лиц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-3,7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-2,6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24,7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98,8</w:t>
            </w:r>
          </w:p>
        </w:tc>
        <w:tc>
          <w:tcPr>
            <w:tcW w:w="850" w:type="dxa"/>
          </w:tcPr>
          <w:p w:rsidR="00D82570" w:rsidRPr="00D82570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851" w:type="dxa"/>
          </w:tcPr>
          <w:p w:rsidR="00D82570" w:rsidRPr="00D82570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D82570" w:rsidRPr="00D82570" w:rsidRDefault="00D82570" w:rsidP="00D82570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D82570" w:rsidRPr="00D82570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-24,7</w:t>
            </w:r>
          </w:p>
        </w:tc>
        <w:tc>
          <w:tcPr>
            <w:tcW w:w="850" w:type="dxa"/>
          </w:tcPr>
          <w:p w:rsidR="00D82570" w:rsidRPr="00D82570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850" w:type="dxa"/>
          </w:tcPr>
          <w:p w:rsidR="00D82570" w:rsidRPr="00D82570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</w:tcPr>
          <w:p w:rsidR="00D82570" w:rsidRPr="00D82570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82570" w:rsidRPr="00D82570" w:rsidRDefault="00D82570" w:rsidP="00D82570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 xml:space="preserve">        0,0</w:t>
            </w:r>
          </w:p>
        </w:tc>
        <w:tc>
          <w:tcPr>
            <w:tcW w:w="851" w:type="dxa"/>
          </w:tcPr>
          <w:p w:rsidR="00D82570" w:rsidRPr="00D82570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-24,7</w:t>
            </w:r>
          </w:p>
        </w:tc>
        <w:tc>
          <w:tcPr>
            <w:tcW w:w="850" w:type="dxa"/>
          </w:tcPr>
          <w:p w:rsidR="00D82570" w:rsidRPr="00D82570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 xml:space="preserve">- доходы от </w:t>
            </w:r>
            <w:r>
              <w:rPr>
                <w:rFonts w:ascii="Times New Roman" w:hAnsi="Times New Roman" w:cs="Times New Roman"/>
              </w:rPr>
              <w:t>продажи материальных и нематериальных активов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558,0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125,7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22,5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273,0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38,9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14,2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-86,8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69,1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4133,6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785,4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3785,2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896,9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23,7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111,5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114,2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3198,9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768,3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3458,4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864,2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112,5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77,9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</w:t>
            </w:r>
          </w:p>
        </w:tc>
      </w:tr>
      <w:tr w:rsidR="00D82570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856,8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</w:rPr>
            </w:pPr>
            <w:r w:rsidRPr="00D8257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D82570" w:rsidRPr="006C192E" w:rsidTr="00D82570">
        <w:trPr>
          <w:trHeight w:val="309"/>
        </w:trPr>
        <w:tc>
          <w:tcPr>
            <w:tcW w:w="2802" w:type="dxa"/>
          </w:tcPr>
          <w:p w:rsidR="00D82570" w:rsidRPr="006C192E" w:rsidRDefault="00D8257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4691,6</w:t>
            </w:r>
          </w:p>
        </w:tc>
        <w:tc>
          <w:tcPr>
            <w:tcW w:w="992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911,1</w:t>
            </w:r>
          </w:p>
        </w:tc>
        <w:tc>
          <w:tcPr>
            <w:tcW w:w="709" w:type="dxa"/>
          </w:tcPr>
          <w:p w:rsidR="00D82570" w:rsidRPr="00D82570" w:rsidRDefault="00D82570" w:rsidP="00D82570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82570">
              <w:rPr>
                <w:rFonts w:ascii="Times New Roman" w:hAnsi="Times New Roman" w:cs="Times New Roman"/>
                <w:b/>
              </w:rPr>
              <w:t>19,4</w:t>
            </w:r>
          </w:p>
        </w:tc>
        <w:tc>
          <w:tcPr>
            <w:tcW w:w="850" w:type="dxa"/>
          </w:tcPr>
          <w:p w:rsidR="00D82570" w:rsidRPr="006C192E" w:rsidRDefault="00D82570" w:rsidP="00D82570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3822,8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935,8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D82570" w:rsidRPr="006C192E" w:rsidRDefault="00D82570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82570" w:rsidRPr="006C192E" w:rsidRDefault="00D8257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C192E" w:rsidRP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82570" w:rsidRPr="006C192E" w:rsidRDefault="00D82570" w:rsidP="00D8257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192E" w:rsidRPr="006C192E" w:rsidRDefault="006C192E" w:rsidP="00D8257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Налоговые и неналоговые доходы бюджета поселения</w:t>
      </w:r>
    </w:p>
    <w:p w:rsidR="006C192E" w:rsidRP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5B73FA">
        <w:rPr>
          <w:rFonts w:ascii="Times New Roman" w:hAnsi="Times New Roman" w:cs="Times New Roman"/>
          <w:sz w:val="28"/>
          <w:szCs w:val="28"/>
        </w:rPr>
        <w:t>38,9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5B73FA">
        <w:rPr>
          <w:rFonts w:ascii="Times New Roman" w:hAnsi="Times New Roman" w:cs="Times New Roman"/>
          <w:sz w:val="28"/>
          <w:szCs w:val="28"/>
        </w:rPr>
        <w:t>14,2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5B73FA">
        <w:rPr>
          <w:rFonts w:ascii="Times New Roman" w:hAnsi="Times New Roman" w:cs="Times New Roman"/>
          <w:sz w:val="28"/>
          <w:szCs w:val="28"/>
        </w:rPr>
        <w:t>273,0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2015 года уменьшились на   </w:t>
      </w:r>
      <w:r w:rsidR="005B73FA">
        <w:rPr>
          <w:rFonts w:ascii="Times New Roman" w:hAnsi="Times New Roman" w:cs="Times New Roman"/>
          <w:sz w:val="28"/>
          <w:szCs w:val="28"/>
        </w:rPr>
        <w:t>86,8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5B73FA">
        <w:rPr>
          <w:rFonts w:ascii="Times New Roman" w:hAnsi="Times New Roman" w:cs="Times New Roman"/>
          <w:sz w:val="28"/>
          <w:szCs w:val="28"/>
        </w:rPr>
        <w:t>30,9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 Значительное уменьшение суммы налоговых и неналоговых доходов связано с тем, что доходы от уплаты акцизов, поступавшие ранее в бюджет поселения, с 1 января 2016 года поступают в бюджет района.</w:t>
      </w:r>
    </w:p>
    <w:p w:rsidR="006C192E" w:rsidRPr="006C192E" w:rsidRDefault="005B73FA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налоговых  и неналоговых доходов бюджета района в сравнении с 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кварталом 2015 года отражена на следующей диаграмме: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="005B73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тыс. руб.</w:t>
      </w:r>
    </w:p>
    <w:p w:rsidR="00B36491" w:rsidRDefault="00B36491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36491" w:rsidRPr="006C192E" w:rsidRDefault="00B36491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6491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6223706" cy="4109155"/>
            <wp:effectExtent l="19050" t="0" r="24694" b="56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B36491">
      <w:pPr>
        <w:spacing w:after="0" w:line="240" w:lineRule="auto"/>
        <w:ind w:firstLine="705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Налоговые доходы.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Налоговые доходы  исполнены в сумме </w:t>
      </w:r>
      <w:r w:rsidR="00B36491">
        <w:rPr>
          <w:rFonts w:ascii="Times New Roman" w:eastAsiaTheme="minorHAnsi" w:hAnsi="Times New Roman" w:cs="Times New Roman"/>
          <w:sz w:val="28"/>
          <w:szCs w:val="28"/>
          <w:lang w:eastAsia="en-US"/>
        </w:rPr>
        <w:t>38,9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</w:t>
      </w:r>
      <w:r w:rsidR="00B3649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15,7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 в сумме </w:t>
      </w:r>
      <w:r w:rsidR="00B36491">
        <w:rPr>
          <w:rFonts w:ascii="Times New Roman" w:eastAsiaTheme="minorHAnsi" w:hAnsi="Times New Roman" w:cs="Times New Roman"/>
          <w:sz w:val="28"/>
          <w:szCs w:val="28"/>
          <w:lang w:eastAsia="en-US"/>
        </w:rPr>
        <w:t>248,0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тыс.рублей. Доля налоговых доходов в структуре доходов бюджета  поселения составила </w:t>
      </w:r>
      <w:r w:rsidR="00B36491">
        <w:rPr>
          <w:rFonts w:ascii="Times New Roman" w:eastAsiaTheme="minorHAnsi" w:hAnsi="Times New Roman" w:cs="Times New Roman"/>
          <w:sz w:val="28"/>
          <w:szCs w:val="28"/>
          <w:lang w:eastAsia="en-US"/>
        </w:rPr>
        <w:t>4,2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lastRenderedPageBreak/>
        <w:t>Анализ поступления налога на доходы  физических лиц в  1 квартале 2016 года в сравнении с аналогичным периодом прошлого года представлен в следующей таблице.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>Таблица № 3</w:t>
      </w:r>
      <w:r w:rsidRPr="006C192E">
        <w:rPr>
          <w:rFonts w:ascii="Times New Roman" w:hAnsi="Times New Roman" w:cs="Times New Roman"/>
        </w:rPr>
        <w:tab/>
        <w:t xml:space="preserve">                      </w:t>
      </w:r>
      <w:r w:rsidR="00B36491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 xml:space="preserve">     тыс. руб.</w:t>
      </w:r>
    </w:p>
    <w:tbl>
      <w:tblPr>
        <w:tblStyle w:val="a3"/>
        <w:tblW w:w="9781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2126"/>
      </w:tblGrid>
      <w:tr w:rsidR="006C192E" w:rsidRPr="006C192E" w:rsidTr="00B36491">
        <w:tc>
          <w:tcPr>
            <w:tcW w:w="1862" w:type="dxa"/>
          </w:tcPr>
          <w:p w:rsidR="006C192E" w:rsidRPr="006C192E" w:rsidRDefault="006C192E" w:rsidP="006C192E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Фактическое исполнение за 1 квартал 2015 года</w:t>
            </w:r>
          </w:p>
        </w:tc>
        <w:tc>
          <w:tcPr>
            <w:tcW w:w="1970" w:type="dxa"/>
          </w:tcPr>
          <w:p w:rsidR="006C192E" w:rsidRPr="006C192E" w:rsidRDefault="006C192E" w:rsidP="006C192E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% исполнения от плановых назначений на 2015 год</w:t>
            </w:r>
          </w:p>
        </w:tc>
        <w:tc>
          <w:tcPr>
            <w:tcW w:w="1971" w:type="dxa"/>
          </w:tcPr>
          <w:p w:rsidR="006C192E" w:rsidRPr="006C192E" w:rsidRDefault="006C192E" w:rsidP="006C192E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Фактическое исполнение за 1 квартал 2016 года</w:t>
            </w:r>
          </w:p>
        </w:tc>
        <w:tc>
          <w:tcPr>
            <w:tcW w:w="1852" w:type="dxa"/>
          </w:tcPr>
          <w:p w:rsidR="006C192E" w:rsidRPr="006C192E" w:rsidRDefault="006C192E" w:rsidP="006C192E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2126" w:type="dxa"/>
          </w:tcPr>
          <w:p w:rsidR="006C192E" w:rsidRPr="006C192E" w:rsidRDefault="006C192E" w:rsidP="006C192E">
            <w:pPr>
              <w:contextualSpacing/>
              <w:jc w:val="both"/>
              <w:rPr>
                <w:sz w:val="28"/>
                <w:szCs w:val="28"/>
              </w:rPr>
            </w:pPr>
            <w:r w:rsidRPr="006C192E">
              <w:rPr>
                <w:sz w:val="28"/>
                <w:szCs w:val="28"/>
              </w:rPr>
              <w:t>Отклонение 1 квартала 2016года от 1 квартала 2015 года</w:t>
            </w:r>
          </w:p>
        </w:tc>
      </w:tr>
      <w:tr w:rsidR="006C192E" w:rsidRPr="006C192E" w:rsidTr="00B36491">
        <w:tc>
          <w:tcPr>
            <w:tcW w:w="1862" w:type="dxa"/>
          </w:tcPr>
          <w:p w:rsidR="006C192E" w:rsidRPr="006C192E" w:rsidRDefault="00B36491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970" w:type="dxa"/>
          </w:tcPr>
          <w:p w:rsidR="006C192E" w:rsidRPr="006C192E" w:rsidRDefault="00857C8B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  <w:tc>
          <w:tcPr>
            <w:tcW w:w="1971" w:type="dxa"/>
          </w:tcPr>
          <w:p w:rsidR="006C192E" w:rsidRPr="006C192E" w:rsidRDefault="00B36491" w:rsidP="006C192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26,1</w:t>
            </w:r>
          </w:p>
        </w:tc>
        <w:tc>
          <w:tcPr>
            <w:tcW w:w="1852" w:type="dxa"/>
          </w:tcPr>
          <w:p w:rsidR="006C192E" w:rsidRPr="006C192E" w:rsidRDefault="00B36491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37,8</w:t>
            </w:r>
          </w:p>
        </w:tc>
        <w:tc>
          <w:tcPr>
            <w:tcW w:w="2126" w:type="dxa"/>
          </w:tcPr>
          <w:p w:rsidR="006C192E" w:rsidRPr="006C192E" w:rsidRDefault="00B36491" w:rsidP="006C192E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</w:tr>
    </w:tbl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B36491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Т.о.,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первое место по объему налоговых доходов занимает налог на доходы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физических лиц (далее - НДФЛ). Объем поступлений указанного налога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26,1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37,8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 к плановым назначениям в размере</w:t>
      </w:r>
      <w:r w:rsidR="000A10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69,0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что выше уровня 1квартала 2015 года на </w:t>
      </w:r>
      <w:r w:rsidR="000A100F">
        <w:rPr>
          <w:rFonts w:ascii="Times New Roman" w:eastAsiaTheme="minorHAnsi" w:hAnsi="Times New Roman" w:cs="Times New Roman"/>
          <w:sz w:val="28"/>
          <w:szCs w:val="28"/>
          <w:lang w:eastAsia="en-US"/>
        </w:rPr>
        <w:t>11,8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0A100F">
        <w:rPr>
          <w:rFonts w:ascii="Times New Roman" w:eastAsiaTheme="minorHAnsi" w:hAnsi="Times New Roman" w:cs="Times New Roman"/>
          <w:sz w:val="28"/>
          <w:szCs w:val="28"/>
          <w:lang w:eastAsia="en-US"/>
        </w:rPr>
        <w:t>82,5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%. Доля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НДФЛ в налоговых доходах бюджета возросла   на 26,7% и составила </w:t>
      </w:r>
      <w:r w:rsidR="000A100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67,1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FE0009" w:rsidRPr="006C192E" w:rsidRDefault="000A100F" w:rsidP="00FE00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Второе  место по величине поступлений в бюджет поселения</w:t>
      </w:r>
      <w:r w:rsidR="00B36491" w:rsidRP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занимает</w:t>
      </w:r>
      <w:r w:rsidR="00B36491" w:rsidRPr="0031301D"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налоговый доходный источник –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земельный налог. Поступление указанного налога составило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11,0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14,9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74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,0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По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сравнению с 1 кварталом 2015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поступление земельного налога снизилось  на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3,7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25,2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%. Доля земельного налога в налоговых доходах бюджета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увеличилась с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14,5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28,5</w:t>
      </w:r>
      <w:r w:rsidR="00FE0009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процента.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Третий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последн</w:t>
      </w:r>
      <w:r w:rsidR="00857C8B">
        <w:rPr>
          <w:rFonts w:ascii="Times New Roman" w:eastAsiaTheme="minorHAnsi" w:hAnsi="Times New Roman" w:cs="Times New Roman"/>
          <w:sz w:val="28"/>
          <w:szCs w:val="28"/>
          <w:lang w:eastAsia="en-US"/>
        </w:rPr>
        <w:t>ий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  величине налоговый доходный источник –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 на имущество физических лиц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Поступление указанного налога составило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1,8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2,2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83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,0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По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сравнению с 1 кварталом 2015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поступление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налога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незначительно увеличилось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0,2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12,5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налога </w:t>
      </w:r>
      <w:r w:rsidR="00857C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имущество физических лиц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налоговых доходах бюджета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увеличилась с 1,6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FE0009">
        <w:rPr>
          <w:rFonts w:ascii="Times New Roman" w:eastAsiaTheme="minorHAnsi" w:hAnsi="Times New Roman" w:cs="Times New Roman"/>
          <w:sz w:val="28"/>
          <w:szCs w:val="28"/>
          <w:lang w:eastAsia="en-US"/>
        </w:rPr>
        <w:t>4,6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процента.</w:t>
      </w:r>
    </w:p>
    <w:p w:rsidR="006C192E" w:rsidRPr="006C192E" w:rsidRDefault="00FE0009" w:rsidP="006C192E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Невысокий уровень исполнения кассового плана за 1 квартал 2016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</w:p>
    <w:p w:rsidR="006C192E" w:rsidRPr="006C192E" w:rsidRDefault="006C192E" w:rsidP="006C192E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92E" w:rsidRPr="006C192E" w:rsidRDefault="006C192E" w:rsidP="00FE0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C192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Неналоговые доходы.</w:t>
      </w:r>
    </w:p>
    <w:p w:rsidR="006C192E" w:rsidRPr="006C192E" w:rsidRDefault="006C192E" w:rsidP="00FE0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163F2A" w:rsidRDefault="00FE0009" w:rsidP="00163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Неналоговые доходы исполнены в сумме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>0,0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>Сумма утвержденных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показател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>ей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год  составляет - 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63F2A">
        <w:rPr>
          <w:rFonts w:ascii="Times New Roman" w:eastAsiaTheme="minorHAnsi" w:hAnsi="Times New Roman" w:cs="Times New Roman"/>
          <w:sz w:val="28"/>
          <w:szCs w:val="28"/>
          <w:lang w:eastAsia="en-US"/>
        </w:rPr>
        <w:t>25,0</w:t>
      </w:r>
      <w:r w:rsidR="00163F2A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тыс.рублей. </w:t>
      </w:r>
    </w:p>
    <w:p w:rsidR="00163F2A" w:rsidRPr="00F55FD7" w:rsidRDefault="00163F2A" w:rsidP="00163F2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сравнении с 1кварталом 2015 года поступление неналоговых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доходов снизилось 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24,7</w:t>
      </w:r>
      <w:r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 процентов.</w:t>
      </w:r>
    </w:p>
    <w:p w:rsidR="00163F2A" w:rsidRDefault="00163F2A" w:rsidP="00163F2A">
      <w:pPr>
        <w:pStyle w:val="ConsPlusNonforma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2EFA">
        <w:rPr>
          <w:rFonts w:ascii="Times New Roman" w:hAnsi="Times New Roman" w:cs="Times New Roman"/>
          <w:i/>
          <w:sz w:val="28"/>
          <w:szCs w:val="28"/>
        </w:rPr>
        <w:t xml:space="preserve">          В соответствии  </w:t>
      </w:r>
      <w:r w:rsidRPr="00A52EF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 пояснительной запиской администрации поселения</w:t>
      </w:r>
      <w:r w:rsidRPr="00A52EFA">
        <w:rPr>
          <w:rFonts w:ascii="Times New Roman" w:hAnsi="Times New Roman" w:cs="Times New Roman"/>
          <w:i/>
          <w:sz w:val="28"/>
          <w:szCs w:val="28"/>
        </w:rPr>
        <w:t xml:space="preserve"> причина низкого исполнения доходов от сдачи в аренду имущества не указана. </w:t>
      </w:r>
    </w:p>
    <w:p w:rsidR="00F01D1B" w:rsidRDefault="00F01D1B" w:rsidP="00163F2A">
      <w:pPr>
        <w:pStyle w:val="ConsPlusNonforma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01D1B" w:rsidRPr="00A52EFA" w:rsidRDefault="00F01D1B" w:rsidP="00163F2A">
      <w:pPr>
        <w:pStyle w:val="ConsPlusNonformat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192E" w:rsidRPr="0036750B" w:rsidRDefault="006C192E" w:rsidP="00F01D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36750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Безвозмездные поступления.</w:t>
      </w:r>
    </w:p>
    <w:p w:rsidR="006C192E" w:rsidRPr="0036750B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6C192E" w:rsidRPr="0036750B" w:rsidRDefault="00F01D1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Безвозмездные поступления в бюджет поселения</w:t>
      </w:r>
      <w:r w:rsidR="00583DDD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составили 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896,9</w:t>
      </w:r>
      <w:r w:rsidR="00583DDD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рублей, или 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23,7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назначениям в сумме 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3785,2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рублей. По сравнению с 1 кварталом 2015 года безвозмездные поступления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увеличились на 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111,5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их доля в общих доходах бюджета поселения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составила </w:t>
      </w:r>
      <w:r w:rsidR="0036750B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95,8 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36750B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36750B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безвозмездных поступлений в сравнении с 1 кварталом 2015 года отражена на следующей диаграмме:</w:t>
      </w:r>
    </w:p>
    <w:p w:rsidR="0036750B" w:rsidRPr="0036750B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color w:val="C00000"/>
        </w:rPr>
        <w:t xml:space="preserve">                                                                                                                          </w:t>
      </w:r>
      <w:r w:rsidR="004D1A68">
        <w:rPr>
          <w:rFonts w:ascii="Times New Roman" w:hAnsi="Times New Roman" w:cs="Times New Roman"/>
          <w:noProof/>
          <w:color w:val="C00000"/>
        </w:rPr>
        <w:t xml:space="preserve">                  </w:t>
      </w:r>
      <w:r>
        <w:rPr>
          <w:rFonts w:ascii="Times New Roman" w:hAnsi="Times New Roman" w:cs="Times New Roman"/>
          <w:noProof/>
          <w:color w:val="C00000"/>
        </w:rPr>
        <w:t xml:space="preserve">    </w:t>
      </w:r>
      <w:r w:rsidR="004D1A68">
        <w:rPr>
          <w:rFonts w:ascii="Times New Roman" w:hAnsi="Times New Roman" w:cs="Times New Roman"/>
          <w:noProof/>
          <w:color w:val="C00000"/>
        </w:rPr>
        <w:t xml:space="preserve">         </w:t>
      </w:r>
      <w:r>
        <w:rPr>
          <w:rFonts w:ascii="Times New Roman" w:hAnsi="Times New Roman" w:cs="Times New Roman"/>
          <w:noProof/>
          <w:color w:val="C00000"/>
        </w:rPr>
        <w:t xml:space="preserve"> </w:t>
      </w:r>
      <w:r w:rsidRPr="0036750B">
        <w:rPr>
          <w:rFonts w:ascii="Times New Roman" w:hAnsi="Times New Roman" w:cs="Times New Roman"/>
          <w:noProof/>
        </w:rPr>
        <w:t>тыс. руб.</w:t>
      </w:r>
    </w:p>
    <w:p w:rsidR="0036750B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4D1A68">
        <w:rPr>
          <w:rFonts w:ascii="Times New Roman" w:hAnsi="Times New Roman" w:cs="Times New Roman"/>
          <w:noProof/>
        </w:rPr>
        <w:drawing>
          <wp:inline distT="0" distB="0" distL="0" distR="0">
            <wp:extent cx="6009217" cy="3736622"/>
            <wp:effectExtent l="19050" t="0" r="10583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D1A68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4D1A68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отчетном периоде дотации из районного бюджета бюджетам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субъектов Российской Федерации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образованиям поступили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сумме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864,2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25,0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 назначениям в сумме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3458,4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</w:t>
      </w:r>
    </w:p>
    <w:p w:rsidR="006C192E" w:rsidRPr="006C192E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96,4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Субвенции бюджетам субъектов Российской Федерации и муниципальных образований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поступили в сумме 22,7 тыс. рублей, или 24,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8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назначениям в сумме 91,4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Из 2 видов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субвенций в течение 1 квартала текущего года поступила субвенция на осуществление первичного воинского учета. По сравнению с 1 кварталом 2015 года субвенция возросла на 5,6 тыс. рублей, или на 32,7 процента. Доля субвенций в общем объеме безвозмездных поступлений составила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2,5</w:t>
      </w:r>
      <w:r w:rsidR="006C192E"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8809CE" w:rsidRDefault="008809C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809CE" w:rsidRPr="006C192E" w:rsidRDefault="008809C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4D1A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Поступление иных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межбюджетные трансферт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1 квартале 2016 года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составило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572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10,0 </w:t>
      </w:r>
      <w:r w:rsidR="00845E77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</w:t>
      </w:r>
      <w:r w:rsidR="00845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572A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пе</w:t>
      </w:r>
      <w:r w:rsidR="00845E7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редаваемы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полномочи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уровня района </w:t>
      </w:r>
      <w:r w:rsidR="008809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уровень поселения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заключенными соглашениями в сумме </w:t>
      </w:r>
      <w:r w:rsidR="00845E77">
        <w:rPr>
          <w:rFonts w:ascii="Times New Roman" w:eastAsiaTheme="minorHAnsi" w:hAnsi="Times New Roman" w:cs="Times New Roman"/>
          <w:sz w:val="28"/>
          <w:szCs w:val="28"/>
          <w:lang w:eastAsia="en-US"/>
        </w:rPr>
        <w:t>10,0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</w:t>
      </w:r>
      <w:r w:rsidR="00845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содержание дорог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45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 бюджетом поселения иные межбюджетные трансферты не предусмотрены. 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сравнению с 1 кварталом 2015 года иные межбюджетные трансферты возросли на </w:t>
      </w:r>
      <w:r w:rsidR="00845E77">
        <w:rPr>
          <w:rFonts w:ascii="Times New Roman" w:eastAsiaTheme="minorHAnsi" w:hAnsi="Times New Roman" w:cs="Times New Roman"/>
          <w:sz w:val="28"/>
          <w:szCs w:val="28"/>
          <w:lang w:eastAsia="en-US"/>
        </w:rPr>
        <w:t>10,0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100 процентов. Доля иных межбюджетных трансфертов в общем объеме безвозмездных поступлений составила </w:t>
      </w:r>
      <w:r w:rsidR="00845E77">
        <w:rPr>
          <w:rFonts w:ascii="Times New Roman" w:eastAsiaTheme="minorHAnsi" w:hAnsi="Times New Roman" w:cs="Times New Roman"/>
          <w:sz w:val="28"/>
          <w:szCs w:val="28"/>
          <w:lang w:eastAsia="en-US"/>
        </w:rPr>
        <w:t>1,1</w:t>
      </w:r>
      <w:r w:rsidRPr="006C19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192E" w:rsidRPr="006C192E" w:rsidRDefault="006C192E" w:rsidP="00AA4B3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налоговых доходов бюджета поселения проведен анализ объема задолженности плательщиков по налогам по состоянию на 01января и 01 апреля 2015 года, а также на   01 января и  01 апреля 2016 года. </w:t>
      </w:r>
    </w:p>
    <w:p w:rsidR="006C192E" w:rsidRPr="006C192E" w:rsidRDefault="006C192E" w:rsidP="00AA4B3F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6C192E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 xml:space="preserve">Таблица № 4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6C192E" w:rsidRPr="006C192E" w:rsidTr="00390C79">
        <w:trPr>
          <w:trHeight w:val="1985"/>
        </w:trPr>
        <w:tc>
          <w:tcPr>
            <w:tcW w:w="322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по состоянию на 01.01.2015 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01.01.2016 года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01.04.2015</w:t>
            </w:r>
            <w:r w:rsidR="00E50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01.04.2016 года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Отклонение недоимки   на 01.01.2016года от 01.01.2015года (+увеличение;- уменьшение</w:t>
            </w:r>
          </w:p>
        </w:tc>
        <w:tc>
          <w:tcPr>
            <w:tcW w:w="993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Отклонение недоимки на 01.04.2016 года от 01.04.2015 года (+-увеличение;- уменьшение)</w:t>
            </w:r>
          </w:p>
        </w:tc>
      </w:tr>
      <w:tr w:rsidR="006C192E" w:rsidRPr="006C192E" w:rsidTr="00390C79">
        <w:tc>
          <w:tcPr>
            <w:tcW w:w="322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19173A" w:rsidRPr="006C192E" w:rsidTr="00390C79">
        <w:tc>
          <w:tcPr>
            <w:tcW w:w="3227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9173A" w:rsidRPr="006C192E" w:rsidRDefault="0019173A" w:rsidP="004477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3" w:type="dxa"/>
          </w:tcPr>
          <w:p w:rsidR="0019173A" w:rsidRPr="006C192E" w:rsidRDefault="0019173A" w:rsidP="0019173A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   </w:t>
            </w:r>
          </w:p>
        </w:tc>
      </w:tr>
      <w:tr w:rsidR="0019173A" w:rsidRPr="006C192E" w:rsidTr="00390C79">
        <w:tc>
          <w:tcPr>
            <w:tcW w:w="3227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11,8</w:t>
            </w:r>
          </w:p>
        </w:tc>
        <w:tc>
          <w:tcPr>
            <w:tcW w:w="992" w:type="dxa"/>
          </w:tcPr>
          <w:p w:rsidR="0019173A" w:rsidRPr="006C192E" w:rsidRDefault="0019173A" w:rsidP="004477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992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1134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28,8</w:t>
            </w:r>
          </w:p>
        </w:tc>
        <w:tc>
          <w:tcPr>
            <w:tcW w:w="1134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19,2</w:t>
            </w:r>
          </w:p>
        </w:tc>
        <w:tc>
          <w:tcPr>
            <w:tcW w:w="993" w:type="dxa"/>
          </w:tcPr>
          <w:p w:rsidR="0019173A" w:rsidRPr="006C192E" w:rsidRDefault="00201E23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</w:tr>
      <w:tr w:rsidR="0019173A" w:rsidRPr="006C192E" w:rsidTr="00390C79">
        <w:tc>
          <w:tcPr>
            <w:tcW w:w="3227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19173A" w:rsidRPr="006C192E" w:rsidRDefault="0019173A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</w:t>
            </w:r>
          </w:p>
        </w:tc>
        <w:tc>
          <w:tcPr>
            <w:tcW w:w="992" w:type="dxa"/>
          </w:tcPr>
          <w:p w:rsidR="0019173A" w:rsidRPr="006C192E" w:rsidRDefault="0019173A" w:rsidP="004477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92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</w:t>
            </w:r>
          </w:p>
        </w:tc>
        <w:tc>
          <w:tcPr>
            <w:tcW w:w="1134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1134" w:type="dxa"/>
          </w:tcPr>
          <w:p w:rsidR="0019173A" w:rsidRPr="006C192E" w:rsidRDefault="0019173A" w:rsidP="00201E2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</w:t>
            </w:r>
            <w:r w:rsidR="00201E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</w:tcPr>
          <w:p w:rsidR="0019173A" w:rsidRPr="006C192E" w:rsidRDefault="00201E23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-1,8</w:t>
            </w:r>
          </w:p>
        </w:tc>
      </w:tr>
      <w:tr w:rsidR="0019173A" w:rsidRPr="006C192E" w:rsidTr="00390C79">
        <w:tc>
          <w:tcPr>
            <w:tcW w:w="3227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992" w:type="dxa"/>
          </w:tcPr>
          <w:p w:rsidR="0019173A" w:rsidRPr="006C192E" w:rsidRDefault="0019173A" w:rsidP="0044779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992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18,3</w:t>
            </w:r>
          </w:p>
        </w:tc>
        <w:tc>
          <w:tcPr>
            <w:tcW w:w="1134" w:type="dxa"/>
          </w:tcPr>
          <w:p w:rsidR="0019173A" w:rsidRPr="006C192E" w:rsidRDefault="0019173A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35,0</w:t>
            </w:r>
          </w:p>
        </w:tc>
        <w:tc>
          <w:tcPr>
            <w:tcW w:w="1134" w:type="dxa"/>
          </w:tcPr>
          <w:p w:rsidR="0019173A" w:rsidRPr="006C192E" w:rsidRDefault="00201E23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993" w:type="dxa"/>
          </w:tcPr>
          <w:p w:rsidR="0019173A" w:rsidRPr="006C192E" w:rsidRDefault="00201E23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16,7</w:t>
            </w:r>
          </w:p>
        </w:tc>
      </w:tr>
    </w:tbl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2E" w:rsidRPr="006C192E" w:rsidRDefault="003D1EF9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вышеприведенного анализа  наблюдается  рост  задолженности плательщиков по платежам в бюджет  в сравнении задолженности на 01.01.2016 года с аналогичным периодом прошлого года   на </w:t>
      </w:r>
      <w:r>
        <w:rPr>
          <w:rFonts w:ascii="Times New Roman" w:hAnsi="Times New Roman" w:cs="Times New Roman"/>
          <w:color w:val="000000"/>
          <w:sz w:val="28"/>
          <w:szCs w:val="28"/>
        </w:rPr>
        <w:t>20,7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в </w:t>
      </w:r>
      <w:r>
        <w:rPr>
          <w:rFonts w:ascii="Times New Roman" w:hAnsi="Times New Roman" w:cs="Times New Roman"/>
          <w:color w:val="000000"/>
          <w:sz w:val="28"/>
          <w:szCs w:val="28"/>
        </w:rPr>
        <w:t>2,1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раза, на 01.04.2016 года на </w:t>
      </w:r>
      <w:r>
        <w:rPr>
          <w:rFonts w:ascii="Times New Roman" w:hAnsi="Times New Roman" w:cs="Times New Roman"/>
          <w:color w:val="000000"/>
          <w:sz w:val="28"/>
          <w:szCs w:val="28"/>
        </w:rPr>
        <w:t>16,7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в </w:t>
      </w:r>
      <w:r>
        <w:rPr>
          <w:rFonts w:ascii="Times New Roman" w:hAnsi="Times New Roman" w:cs="Times New Roman"/>
          <w:color w:val="000000"/>
          <w:sz w:val="28"/>
          <w:szCs w:val="28"/>
        </w:rPr>
        <w:t>1,9</w:t>
      </w:r>
      <w:r w:rsidR="00BF0986">
        <w:rPr>
          <w:rFonts w:ascii="Times New Roman" w:hAnsi="Times New Roman" w:cs="Times New Roman"/>
          <w:color w:val="000000"/>
          <w:sz w:val="28"/>
          <w:szCs w:val="28"/>
        </w:rPr>
        <w:t xml:space="preserve"> раз</w:t>
      </w:r>
      <w:r w:rsidR="006C192E" w:rsidRPr="006C192E">
        <w:rPr>
          <w:rFonts w:ascii="Times New Roman" w:hAnsi="Times New Roman" w:cs="Times New Roman"/>
          <w:color w:val="000000"/>
          <w:sz w:val="28"/>
          <w:szCs w:val="28"/>
        </w:rPr>
        <w:t>, в том числе в разрезе налоговых источников:</w:t>
      </w:r>
    </w:p>
    <w:p w:rsidR="006C192E" w:rsidRP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 w:rsidR="003D1EF9">
        <w:rPr>
          <w:rFonts w:ascii="Times New Roman" w:hAnsi="Times New Roman" w:cs="Times New Roman"/>
          <w:color w:val="000000"/>
          <w:sz w:val="28"/>
          <w:szCs w:val="28"/>
        </w:rPr>
        <w:t>18,5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в </w:t>
      </w:r>
      <w:r w:rsidR="003D1EF9">
        <w:rPr>
          <w:rFonts w:ascii="Times New Roman" w:hAnsi="Times New Roman" w:cs="Times New Roman"/>
          <w:color w:val="000000"/>
          <w:sz w:val="28"/>
          <w:szCs w:val="28"/>
        </w:rPr>
        <w:t>2,8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раза;</w:t>
      </w:r>
    </w:p>
    <w:p w:rsidR="006C192E" w:rsidRP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по земельному налогу </w:t>
      </w:r>
      <w:r w:rsidR="003D1EF9">
        <w:rPr>
          <w:rFonts w:ascii="Times New Roman" w:hAnsi="Times New Roman" w:cs="Times New Roman"/>
          <w:sz w:val="28"/>
          <w:szCs w:val="28"/>
        </w:rPr>
        <w:t>снижение</w:t>
      </w:r>
      <w:r w:rsidR="00AA4B3F">
        <w:rPr>
          <w:rFonts w:ascii="Times New Roman" w:hAnsi="Times New Roman" w:cs="Times New Roman"/>
          <w:sz w:val="28"/>
          <w:szCs w:val="28"/>
        </w:rPr>
        <w:t xml:space="preserve"> на</w:t>
      </w:r>
      <w:r w:rsidR="003D1EF9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3D1EF9">
        <w:rPr>
          <w:rFonts w:ascii="Times New Roman" w:hAnsi="Times New Roman" w:cs="Times New Roman"/>
          <w:sz w:val="28"/>
          <w:szCs w:val="28"/>
        </w:rPr>
        <w:t>1,8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D1EF9">
        <w:rPr>
          <w:rFonts w:ascii="Times New Roman" w:hAnsi="Times New Roman" w:cs="Times New Roman"/>
          <w:sz w:val="28"/>
          <w:szCs w:val="28"/>
        </w:rPr>
        <w:t>22,5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Pr="006C192E" w:rsidRDefault="003D1EF9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Из имеющихся данных на 01.04.2016 года следует, </w:t>
      </w:r>
      <w:r>
        <w:rPr>
          <w:rFonts w:ascii="Times New Roman" w:hAnsi="Times New Roman" w:cs="Times New Roman"/>
          <w:sz w:val="28"/>
          <w:szCs w:val="28"/>
        </w:rPr>
        <w:t xml:space="preserve"> что только по одному виду налога имеется недоимка –</w:t>
      </w:r>
      <w:r w:rsidR="00AA4B3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налогу на имущество физических лиц.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pStyle w:val="a9"/>
        <w:spacing w:after="0"/>
        <w:ind w:firstLine="709"/>
        <w:contextualSpacing/>
        <w:jc w:val="both"/>
        <w:rPr>
          <w:color w:val="FF0000"/>
          <w:sz w:val="28"/>
          <w:szCs w:val="28"/>
        </w:rPr>
      </w:pPr>
    </w:p>
    <w:p w:rsidR="006C192E" w:rsidRPr="00F37EB6" w:rsidRDefault="006C192E" w:rsidP="006C19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7EB6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6C192E" w:rsidRPr="00F37EB6" w:rsidRDefault="006C192E" w:rsidP="006C19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F37EB6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7EB6">
        <w:rPr>
          <w:rFonts w:ascii="Times New Roman" w:hAnsi="Times New Roman" w:cs="Times New Roman"/>
          <w:sz w:val="28"/>
          <w:szCs w:val="28"/>
        </w:rPr>
        <w:tab/>
        <w:t xml:space="preserve"> Расходы бюджета поселения за 1 квартал 2016 года исполнены в сумме</w:t>
      </w:r>
      <w:r w:rsidR="00BF7F3C" w:rsidRPr="00F37EB6">
        <w:rPr>
          <w:rFonts w:ascii="Times New Roman" w:hAnsi="Times New Roman" w:cs="Times New Roman"/>
          <w:sz w:val="28"/>
          <w:szCs w:val="28"/>
        </w:rPr>
        <w:t xml:space="preserve"> </w:t>
      </w:r>
      <w:r w:rsidR="00F37EB6" w:rsidRPr="00F37EB6">
        <w:rPr>
          <w:rFonts w:ascii="Times New Roman" w:hAnsi="Times New Roman" w:cs="Times New Roman"/>
          <w:sz w:val="28"/>
          <w:szCs w:val="28"/>
        </w:rPr>
        <w:t>971,0</w:t>
      </w:r>
      <w:r w:rsidRPr="00F37EB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37EB6" w:rsidRPr="00F37EB6">
        <w:rPr>
          <w:rFonts w:ascii="Times New Roman" w:hAnsi="Times New Roman" w:cs="Times New Roman"/>
          <w:sz w:val="28"/>
          <w:szCs w:val="28"/>
        </w:rPr>
        <w:t>25,4</w:t>
      </w:r>
      <w:r w:rsidRPr="00F37EB6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F37EB6" w:rsidRPr="00F37EB6">
        <w:rPr>
          <w:rFonts w:ascii="Times New Roman" w:hAnsi="Times New Roman" w:cs="Times New Roman"/>
          <w:sz w:val="28"/>
          <w:szCs w:val="28"/>
        </w:rPr>
        <w:t>3822,8</w:t>
      </w:r>
      <w:r w:rsidRPr="00F37EB6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2015 года  расходы у</w:t>
      </w:r>
      <w:r w:rsidR="00F37EB6" w:rsidRPr="00F37EB6">
        <w:rPr>
          <w:rFonts w:ascii="Times New Roman" w:hAnsi="Times New Roman" w:cs="Times New Roman"/>
          <w:sz w:val="28"/>
          <w:szCs w:val="28"/>
        </w:rPr>
        <w:t>меньшились</w:t>
      </w:r>
      <w:r w:rsidRPr="00F37EB6">
        <w:rPr>
          <w:rFonts w:ascii="Times New Roman" w:hAnsi="Times New Roman" w:cs="Times New Roman"/>
          <w:sz w:val="28"/>
          <w:szCs w:val="28"/>
        </w:rPr>
        <w:t xml:space="preserve"> на </w:t>
      </w:r>
      <w:r w:rsidR="00F37EB6" w:rsidRPr="00F37EB6">
        <w:rPr>
          <w:rFonts w:ascii="Times New Roman" w:hAnsi="Times New Roman" w:cs="Times New Roman"/>
          <w:sz w:val="28"/>
          <w:szCs w:val="28"/>
        </w:rPr>
        <w:t>175,2</w:t>
      </w:r>
      <w:r w:rsidRPr="00F37EB6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F37EB6" w:rsidRPr="00F37EB6">
        <w:rPr>
          <w:rFonts w:ascii="Times New Roman" w:hAnsi="Times New Roman" w:cs="Times New Roman"/>
          <w:sz w:val="28"/>
          <w:szCs w:val="28"/>
        </w:rPr>
        <w:t>15,3</w:t>
      </w:r>
      <w:r w:rsidRPr="00F37EB6">
        <w:rPr>
          <w:rFonts w:ascii="Times New Roman" w:hAnsi="Times New Roman" w:cs="Times New Roman"/>
          <w:sz w:val="28"/>
          <w:szCs w:val="28"/>
        </w:rPr>
        <w:t>%).</w:t>
      </w:r>
    </w:p>
    <w:p w:rsidR="006C192E" w:rsidRPr="00F37EB6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F37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F37EB6" w:rsidRPr="00F37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F37EB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Структура  исполнения бюджета поселения по расходам в сравнении с 1 кварталом 2015 года отражена на следующей диаграмме:</w:t>
      </w:r>
    </w:p>
    <w:p w:rsid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F37EB6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</w:t>
      </w:r>
      <w:r w:rsidR="00F37EB6">
        <w:rPr>
          <w:rFonts w:ascii="Times New Roman" w:hAnsi="Times New Roman" w:cs="Times New Roman"/>
          <w:noProof/>
        </w:rPr>
        <w:t xml:space="preserve">                                </w:t>
      </w:r>
      <w:r w:rsidRPr="00F37EB6">
        <w:rPr>
          <w:rFonts w:ascii="Times New Roman" w:hAnsi="Times New Roman" w:cs="Times New Roman"/>
          <w:noProof/>
        </w:rPr>
        <w:t xml:space="preserve">     тыс. руб.</w:t>
      </w:r>
    </w:p>
    <w:p w:rsidR="00F37EB6" w:rsidRDefault="00F37EB6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F37EB6" w:rsidRDefault="003F07EA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3F07EA">
        <w:rPr>
          <w:rFonts w:ascii="Times New Roman" w:hAnsi="Times New Roman" w:cs="Times New Roman"/>
          <w:noProof/>
        </w:rPr>
        <w:drawing>
          <wp:inline distT="0" distB="0" distL="0" distR="0">
            <wp:extent cx="6194637" cy="3872088"/>
            <wp:effectExtent l="19050" t="0" r="15663" b="0"/>
            <wp:docPr id="8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37EB6" w:rsidRDefault="00F37EB6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6C192E" w:rsidRDefault="007C6236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Бюджет поселения за 1 квартал 2016 года сохранил социальную  направленность. Расходы бюджета поселения на социальную сферу составили </w:t>
      </w:r>
      <w:r w:rsidR="007A238E">
        <w:rPr>
          <w:rFonts w:ascii="Times New Roman" w:hAnsi="Times New Roman" w:cs="Times New Roman"/>
          <w:sz w:val="28"/>
          <w:szCs w:val="28"/>
        </w:rPr>
        <w:t>354,9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A238E">
        <w:rPr>
          <w:rFonts w:ascii="Times New Roman" w:hAnsi="Times New Roman" w:cs="Times New Roman"/>
          <w:sz w:val="28"/>
          <w:szCs w:val="28"/>
        </w:rPr>
        <w:t>20,6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с 1 кварталом 2015 года расходы на социальную сферу  </w:t>
      </w:r>
      <w:r w:rsidR="007A238E">
        <w:rPr>
          <w:rFonts w:ascii="Times New Roman" w:hAnsi="Times New Roman" w:cs="Times New Roman"/>
          <w:sz w:val="28"/>
          <w:szCs w:val="28"/>
        </w:rPr>
        <w:t>снизились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7A238E">
        <w:rPr>
          <w:rFonts w:ascii="Times New Roman" w:hAnsi="Times New Roman" w:cs="Times New Roman"/>
          <w:sz w:val="28"/>
          <w:szCs w:val="28"/>
        </w:rPr>
        <w:t>133,6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A238E">
        <w:rPr>
          <w:rFonts w:ascii="Times New Roman" w:hAnsi="Times New Roman" w:cs="Times New Roman"/>
          <w:sz w:val="28"/>
          <w:szCs w:val="28"/>
        </w:rPr>
        <w:t>27,3</w:t>
      </w:r>
      <w:r w:rsidR="006C192E" w:rsidRPr="006C192E">
        <w:rPr>
          <w:rFonts w:ascii="Times New Roman" w:hAnsi="Times New Roman" w:cs="Times New Roman"/>
          <w:sz w:val="28"/>
          <w:szCs w:val="28"/>
        </w:rPr>
        <w:t>%),   их доля  в расходах бюджета поселения</w:t>
      </w:r>
      <w:r w:rsidR="007A238E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так же у</w:t>
      </w:r>
      <w:r w:rsidR="007A238E">
        <w:rPr>
          <w:rFonts w:ascii="Times New Roman" w:hAnsi="Times New Roman" w:cs="Times New Roman"/>
          <w:sz w:val="28"/>
          <w:szCs w:val="28"/>
        </w:rPr>
        <w:t>меньшилас</w:t>
      </w:r>
      <w:r w:rsidR="006C192E" w:rsidRPr="006C192E">
        <w:rPr>
          <w:rFonts w:ascii="Times New Roman" w:hAnsi="Times New Roman" w:cs="Times New Roman"/>
          <w:sz w:val="28"/>
          <w:szCs w:val="28"/>
        </w:rPr>
        <w:t>ь с</w:t>
      </w:r>
      <w:r w:rsidR="007A238E">
        <w:rPr>
          <w:rFonts w:ascii="Times New Roman" w:hAnsi="Times New Roman" w:cs="Times New Roman"/>
          <w:sz w:val="28"/>
          <w:szCs w:val="28"/>
        </w:rPr>
        <w:t xml:space="preserve"> 42,6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до </w:t>
      </w:r>
      <w:r w:rsidR="007A238E">
        <w:rPr>
          <w:rFonts w:ascii="Times New Roman" w:hAnsi="Times New Roman" w:cs="Times New Roman"/>
          <w:sz w:val="28"/>
          <w:szCs w:val="28"/>
        </w:rPr>
        <w:t>36,5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6C192E" w:rsidRPr="006C192E" w:rsidRDefault="007A238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Наибольший удельный вес в расходах бюджета поселения занимают расходы  по разделу «Общегосударственные вопросы»-</w:t>
      </w:r>
      <w:r>
        <w:rPr>
          <w:rFonts w:ascii="Times New Roman" w:hAnsi="Times New Roman" w:cs="Times New Roman"/>
          <w:sz w:val="28"/>
          <w:szCs w:val="28"/>
        </w:rPr>
        <w:t>56,8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%, «Физическая культура и спорт» - </w:t>
      </w:r>
      <w:r>
        <w:rPr>
          <w:rFonts w:ascii="Times New Roman" w:hAnsi="Times New Roman" w:cs="Times New Roman"/>
          <w:sz w:val="28"/>
          <w:szCs w:val="28"/>
        </w:rPr>
        <w:t>23,1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%,«Культура и кинематография» - </w:t>
      </w:r>
      <w:r>
        <w:rPr>
          <w:rFonts w:ascii="Times New Roman" w:hAnsi="Times New Roman" w:cs="Times New Roman"/>
          <w:sz w:val="28"/>
          <w:szCs w:val="28"/>
        </w:rPr>
        <w:t>13,5</w:t>
      </w:r>
      <w:r w:rsidR="006C192E" w:rsidRPr="006C192E">
        <w:rPr>
          <w:rFonts w:ascii="Times New Roman" w:hAnsi="Times New Roman" w:cs="Times New Roman"/>
          <w:sz w:val="28"/>
          <w:szCs w:val="28"/>
        </w:rPr>
        <w:t>%,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4,3</w:t>
      </w:r>
      <w:r w:rsidR="006C192E" w:rsidRPr="006C192E">
        <w:rPr>
          <w:rFonts w:ascii="Times New Roman" w:hAnsi="Times New Roman" w:cs="Times New Roman"/>
          <w:sz w:val="28"/>
          <w:szCs w:val="28"/>
        </w:rPr>
        <w:t>%. На долю расходов по раздел</w:t>
      </w:r>
      <w:r>
        <w:rPr>
          <w:rFonts w:ascii="Times New Roman" w:hAnsi="Times New Roman" w:cs="Times New Roman"/>
          <w:sz w:val="28"/>
          <w:szCs w:val="28"/>
        </w:rPr>
        <w:t xml:space="preserve">у «Национальная оборона»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2,3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 Структура  расходов бюджета поселения за 1 квартал 2016 года отражена на диаграмме:</w:t>
      </w:r>
    </w:p>
    <w:p w:rsidR="006F48BA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8BA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8BA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8BA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8BA" w:rsidRPr="006C192E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8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59969" cy="4526844"/>
            <wp:effectExtent l="19050" t="0" r="21731" b="7056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6C192E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В течение отчетного периода не производились расходы, предусмотренные решением о бюдж</w:t>
      </w:r>
      <w:r>
        <w:rPr>
          <w:rFonts w:ascii="Times New Roman" w:hAnsi="Times New Roman" w:cs="Times New Roman"/>
          <w:sz w:val="28"/>
          <w:szCs w:val="28"/>
        </w:rPr>
        <w:t>ете, по разделам «Образование»,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>, «Национальная экономика» и «Социальная политика»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По данным разделам предусмотрены бюджетные ассигнования на проведение мероприятий по молодежной </w:t>
      </w:r>
      <w:r w:rsidR="00AA4B3F">
        <w:rPr>
          <w:rFonts w:ascii="Times New Roman" w:hAnsi="Times New Roman" w:cs="Times New Roman"/>
          <w:sz w:val="28"/>
          <w:szCs w:val="28"/>
        </w:rPr>
        <w:t>политике и оздоровлению детей,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пожарной безопасности</w:t>
      </w:r>
      <w:r w:rsidR="006C4D36">
        <w:rPr>
          <w:rFonts w:ascii="Times New Roman" w:hAnsi="Times New Roman" w:cs="Times New Roman"/>
          <w:sz w:val="28"/>
          <w:szCs w:val="28"/>
        </w:rPr>
        <w:t xml:space="preserve">, на содержание дорог, на выплаты муниципальных пенсий и </w:t>
      </w:r>
      <w:r w:rsidR="00046315">
        <w:rPr>
          <w:rFonts w:ascii="Times New Roman" w:hAnsi="Times New Roman" w:cs="Times New Roman"/>
          <w:sz w:val="28"/>
          <w:szCs w:val="28"/>
        </w:rPr>
        <w:t>ЕДК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По разделам классификации расходов</w:t>
      </w:r>
      <w:r w:rsidR="006C4D36">
        <w:rPr>
          <w:rFonts w:ascii="Times New Roman" w:hAnsi="Times New Roman" w:cs="Times New Roman"/>
          <w:sz w:val="28"/>
          <w:szCs w:val="28"/>
        </w:rPr>
        <w:t xml:space="preserve"> «Общегосударственные вопросы», </w:t>
      </w:r>
      <w:r w:rsidRPr="006C192E">
        <w:rPr>
          <w:rFonts w:ascii="Times New Roman" w:hAnsi="Times New Roman" w:cs="Times New Roman"/>
          <w:sz w:val="28"/>
          <w:szCs w:val="28"/>
        </w:rPr>
        <w:t xml:space="preserve">«Физическая культура и спорт» </w:t>
      </w:r>
      <w:r w:rsidR="006C4D36">
        <w:rPr>
          <w:rFonts w:ascii="Times New Roman" w:hAnsi="Times New Roman" w:cs="Times New Roman"/>
          <w:sz w:val="28"/>
          <w:szCs w:val="28"/>
        </w:rPr>
        <w:t xml:space="preserve">и «Национальная оборона» </w:t>
      </w:r>
      <w:r w:rsidRPr="006C192E">
        <w:rPr>
          <w:rFonts w:ascii="Times New Roman" w:hAnsi="Times New Roman" w:cs="Times New Roman"/>
          <w:sz w:val="28"/>
          <w:szCs w:val="28"/>
        </w:rPr>
        <w:t xml:space="preserve">уровень исполнения к годовым назначениям выше 25 процентов, по  остальным </w:t>
      </w:r>
      <w:r w:rsidR="006C4D36">
        <w:rPr>
          <w:rFonts w:ascii="Times New Roman" w:hAnsi="Times New Roman" w:cs="Times New Roman"/>
          <w:sz w:val="28"/>
          <w:szCs w:val="28"/>
        </w:rPr>
        <w:t>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разделам классификации расходов уровень исполнения значительно ниже 25 процентов.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315" w:rsidRDefault="00046315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315" w:rsidRDefault="00046315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6315" w:rsidRPr="006C192E" w:rsidRDefault="00046315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>Таблица 5</w:t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="00CF3210">
        <w:rPr>
          <w:rFonts w:ascii="Times New Roman" w:hAnsi="Times New Roman" w:cs="Times New Roman"/>
        </w:rPr>
        <w:t xml:space="preserve">                           </w:t>
      </w:r>
      <w:r w:rsidRPr="006C192E">
        <w:rPr>
          <w:rFonts w:ascii="Times New Roman" w:hAnsi="Times New Roman" w:cs="Times New Roman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046315" w:rsidRPr="006C192E" w:rsidTr="00D671E2">
        <w:trPr>
          <w:trHeight w:val="970"/>
        </w:trPr>
        <w:tc>
          <w:tcPr>
            <w:tcW w:w="2273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 xml:space="preserve">Исполнено в   1 квартале 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2015 года</w:t>
            </w:r>
          </w:p>
        </w:tc>
        <w:tc>
          <w:tcPr>
            <w:tcW w:w="1323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Утверждено в бюджете на 2016год</w:t>
            </w:r>
          </w:p>
        </w:tc>
        <w:tc>
          <w:tcPr>
            <w:tcW w:w="1212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Исполнено в 1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квартале 2016 года</w:t>
            </w:r>
          </w:p>
        </w:tc>
        <w:tc>
          <w:tcPr>
            <w:tcW w:w="127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 xml:space="preserve">Процент 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отклонение 1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квартала 2016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года от 1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квартала 2015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Исполнено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 уровню 1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квартала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2015 года,%</w:t>
            </w:r>
          </w:p>
        </w:tc>
      </w:tr>
      <w:tr w:rsidR="00046315" w:rsidRPr="006C192E" w:rsidTr="00D671E2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CF3210" w:rsidRPr="00CF3210" w:rsidRDefault="00CF3210" w:rsidP="00447797">
            <w:pPr>
              <w:jc w:val="right"/>
              <w:rPr>
                <w:rFonts w:ascii="Times New Roman" w:hAnsi="Times New Roman" w:cs="Times New Roman"/>
              </w:rPr>
            </w:pPr>
            <w:r w:rsidRPr="00CF3210">
              <w:rPr>
                <w:rFonts w:ascii="Times New Roman" w:hAnsi="Times New Roman" w:cs="Times New Roman"/>
              </w:rPr>
              <w:t>567,7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1626,3</w:t>
            </w:r>
          </w:p>
        </w:tc>
        <w:tc>
          <w:tcPr>
            <w:tcW w:w="1212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551,1</w:t>
            </w:r>
          </w:p>
        </w:tc>
        <w:tc>
          <w:tcPr>
            <w:tcW w:w="1277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1344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-16,6</w:t>
            </w:r>
          </w:p>
        </w:tc>
        <w:tc>
          <w:tcPr>
            <w:tcW w:w="1212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97,1</w:t>
            </w:r>
          </w:p>
        </w:tc>
      </w:tr>
      <w:tr w:rsidR="00046315" w:rsidRPr="006C192E" w:rsidTr="00D671E2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12" w:type="dxa"/>
          </w:tcPr>
          <w:p w:rsidR="00CF3210" w:rsidRPr="00CF3210" w:rsidRDefault="00CF3210" w:rsidP="00447797">
            <w:pPr>
              <w:jc w:val="right"/>
              <w:rPr>
                <w:rFonts w:ascii="Times New Roman" w:hAnsi="Times New Roman" w:cs="Times New Roman"/>
              </w:rPr>
            </w:pPr>
            <w:r w:rsidRPr="00CF3210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91,0</w:t>
            </w:r>
          </w:p>
        </w:tc>
        <w:tc>
          <w:tcPr>
            <w:tcW w:w="1212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</w:t>
            </w:r>
          </w:p>
        </w:tc>
        <w:tc>
          <w:tcPr>
            <w:tcW w:w="1277" w:type="dxa"/>
          </w:tcPr>
          <w:p w:rsidR="00CF3210" w:rsidRPr="006C192E" w:rsidRDefault="004C5FE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1344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212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</w:t>
            </w:r>
          </w:p>
        </w:tc>
      </w:tr>
      <w:tr w:rsidR="00046315" w:rsidRPr="006C192E" w:rsidTr="00D671E2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CF3210" w:rsidRPr="00CF3210" w:rsidRDefault="00CF3210" w:rsidP="00447797">
            <w:pPr>
              <w:jc w:val="right"/>
              <w:rPr>
                <w:rFonts w:ascii="Times New Roman" w:hAnsi="Times New Roman" w:cs="Times New Roman"/>
              </w:rPr>
            </w:pPr>
            <w:r w:rsidRPr="00CF32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12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315" w:rsidRPr="006C192E" w:rsidTr="00D671E2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CF3210" w:rsidRPr="00CF3210" w:rsidRDefault="00CF3210" w:rsidP="00447797">
            <w:pPr>
              <w:jc w:val="right"/>
              <w:rPr>
                <w:rFonts w:ascii="Times New Roman" w:hAnsi="Times New Roman" w:cs="Times New Roman"/>
              </w:rPr>
            </w:pPr>
            <w:r w:rsidRPr="00CF32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315" w:rsidRPr="006C192E" w:rsidTr="00D671E2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CF3210" w:rsidRPr="00CF3210" w:rsidRDefault="00CF3210" w:rsidP="00447797">
            <w:pPr>
              <w:jc w:val="right"/>
              <w:rPr>
                <w:rFonts w:ascii="Times New Roman" w:hAnsi="Times New Roman" w:cs="Times New Roman"/>
              </w:rPr>
            </w:pPr>
            <w:r w:rsidRPr="00CF3210">
              <w:rPr>
                <w:rFonts w:ascii="Times New Roman" w:hAnsi="Times New Roman" w:cs="Times New Roman"/>
              </w:rPr>
              <w:t>72,9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349,5</w:t>
            </w:r>
          </w:p>
        </w:tc>
        <w:tc>
          <w:tcPr>
            <w:tcW w:w="1212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277" w:type="dxa"/>
          </w:tcPr>
          <w:p w:rsidR="00CF3210" w:rsidRPr="006C192E" w:rsidRDefault="00F37EB6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</w:t>
            </w:r>
          </w:p>
        </w:tc>
        <w:tc>
          <w:tcPr>
            <w:tcW w:w="1344" w:type="dxa"/>
          </w:tcPr>
          <w:p w:rsidR="00CF3210" w:rsidRPr="006C192E" w:rsidRDefault="00F37EB6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-30,6</w:t>
            </w:r>
          </w:p>
        </w:tc>
        <w:tc>
          <w:tcPr>
            <w:tcW w:w="1212" w:type="dxa"/>
          </w:tcPr>
          <w:p w:rsidR="00CF3210" w:rsidRPr="006C192E" w:rsidRDefault="00F37EB6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</w:t>
            </w:r>
          </w:p>
        </w:tc>
      </w:tr>
      <w:tr w:rsidR="00046315" w:rsidRPr="006C192E" w:rsidTr="00D671E2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CF3210" w:rsidRPr="00CF3210" w:rsidRDefault="00CF3210" w:rsidP="00447797">
            <w:pPr>
              <w:jc w:val="right"/>
              <w:rPr>
                <w:rFonts w:ascii="Times New Roman" w:hAnsi="Times New Roman" w:cs="Times New Roman"/>
              </w:rPr>
            </w:pPr>
            <w:r w:rsidRPr="00CF32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212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315" w:rsidRPr="006C192E" w:rsidTr="00D671E2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212" w:type="dxa"/>
          </w:tcPr>
          <w:p w:rsidR="00CF3210" w:rsidRPr="00CF3210" w:rsidRDefault="00CF3210" w:rsidP="00447797">
            <w:pPr>
              <w:jc w:val="right"/>
              <w:rPr>
                <w:rFonts w:ascii="Times New Roman" w:hAnsi="Times New Roman" w:cs="Times New Roman"/>
              </w:rPr>
            </w:pPr>
            <w:r w:rsidRPr="00CF3210">
              <w:rPr>
                <w:rFonts w:ascii="Times New Roman" w:hAnsi="Times New Roman" w:cs="Times New Roman"/>
              </w:rPr>
              <w:t>247,6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920,6</w:t>
            </w:r>
          </w:p>
        </w:tc>
        <w:tc>
          <w:tcPr>
            <w:tcW w:w="1212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131,4</w:t>
            </w:r>
          </w:p>
        </w:tc>
        <w:tc>
          <w:tcPr>
            <w:tcW w:w="1277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1344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-116,2</w:t>
            </w:r>
          </w:p>
        </w:tc>
        <w:tc>
          <w:tcPr>
            <w:tcW w:w="1212" w:type="dxa"/>
          </w:tcPr>
          <w:p w:rsidR="00D671E2" w:rsidRPr="006C192E" w:rsidRDefault="00D671E2" w:rsidP="00D671E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</w:tr>
      <w:tr w:rsidR="00046315" w:rsidRPr="006C192E" w:rsidTr="00D671E2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CF3210" w:rsidRPr="00CF3210" w:rsidRDefault="00CF3210" w:rsidP="00447797">
            <w:pPr>
              <w:jc w:val="right"/>
              <w:rPr>
                <w:rFonts w:ascii="Times New Roman" w:hAnsi="Times New Roman" w:cs="Times New Roman"/>
              </w:rPr>
            </w:pPr>
            <w:r w:rsidRPr="00CF321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121,7</w:t>
            </w:r>
          </w:p>
        </w:tc>
        <w:tc>
          <w:tcPr>
            <w:tcW w:w="1212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46315" w:rsidRPr="006C192E" w:rsidTr="00D671E2">
        <w:trPr>
          <w:trHeight w:val="540"/>
        </w:trPr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CF3210" w:rsidRPr="00CF3210" w:rsidRDefault="00CF3210" w:rsidP="00447797">
            <w:pPr>
              <w:jc w:val="right"/>
              <w:rPr>
                <w:rFonts w:ascii="Times New Roman" w:hAnsi="Times New Roman" w:cs="Times New Roman"/>
              </w:rPr>
            </w:pPr>
            <w:r w:rsidRPr="00CF3210">
              <w:rPr>
                <w:rFonts w:ascii="Times New Roman" w:hAnsi="Times New Roman" w:cs="Times New Roman"/>
              </w:rPr>
              <w:t>240,9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682,2</w:t>
            </w:r>
          </w:p>
        </w:tc>
        <w:tc>
          <w:tcPr>
            <w:tcW w:w="1212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223,5</w:t>
            </w:r>
          </w:p>
        </w:tc>
        <w:tc>
          <w:tcPr>
            <w:tcW w:w="1277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344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-17,4</w:t>
            </w:r>
          </w:p>
        </w:tc>
        <w:tc>
          <w:tcPr>
            <w:tcW w:w="1212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92,8</w:t>
            </w:r>
          </w:p>
        </w:tc>
      </w:tr>
      <w:tr w:rsidR="00046315" w:rsidRPr="006C192E" w:rsidTr="00D671E2">
        <w:tc>
          <w:tcPr>
            <w:tcW w:w="227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CF3210" w:rsidRPr="00CF3210" w:rsidRDefault="00CF3210" w:rsidP="0044779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F3210">
              <w:rPr>
                <w:rFonts w:ascii="Times New Roman" w:hAnsi="Times New Roman" w:cs="Times New Roman"/>
                <w:b/>
              </w:rPr>
              <w:t>1146,2</w:t>
            </w:r>
          </w:p>
        </w:tc>
        <w:tc>
          <w:tcPr>
            <w:tcW w:w="1323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3822,8</w:t>
            </w:r>
          </w:p>
        </w:tc>
        <w:tc>
          <w:tcPr>
            <w:tcW w:w="1212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971,0</w:t>
            </w:r>
          </w:p>
        </w:tc>
        <w:tc>
          <w:tcPr>
            <w:tcW w:w="1277" w:type="dxa"/>
          </w:tcPr>
          <w:p w:rsidR="00CF3210" w:rsidRPr="006C192E" w:rsidRDefault="00CF3210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25,4</w:t>
            </w:r>
          </w:p>
        </w:tc>
        <w:tc>
          <w:tcPr>
            <w:tcW w:w="1344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-175,2</w:t>
            </w:r>
          </w:p>
        </w:tc>
        <w:tc>
          <w:tcPr>
            <w:tcW w:w="1212" w:type="dxa"/>
          </w:tcPr>
          <w:p w:rsidR="00CF3210" w:rsidRPr="006C192E" w:rsidRDefault="00D671E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84,7</w:t>
            </w:r>
          </w:p>
        </w:tc>
      </w:tr>
    </w:tbl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046315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C192E" w:rsidRPr="006C192E">
        <w:rPr>
          <w:rFonts w:ascii="Times New Roman" w:hAnsi="Times New Roman" w:cs="Times New Roman"/>
          <w:i/>
          <w:sz w:val="28"/>
          <w:szCs w:val="28"/>
        </w:rPr>
        <w:t>«Общегосударственные вопросы»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-  исполнены  в сумме</w:t>
      </w:r>
      <w:r>
        <w:rPr>
          <w:rFonts w:ascii="Times New Roman" w:hAnsi="Times New Roman" w:cs="Times New Roman"/>
          <w:sz w:val="28"/>
          <w:szCs w:val="28"/>
        </w:rPr>
        <w:t xml:space="preserve"> 551,1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33,9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кварталом 2015 года расходы у</w:t>
      </w:r>
      <w:r>
        <w:rPr>
          <w:rFonts w:ascii="Times New Roman" w:hAnsi="Times New Roman" w:cs="Times New Roman"/>
          <w:sz w:val="28"/>
          <w:szCs w:val="28"/>
        </w:rPr>
        <w:t>меньши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лись на </w:t>
      </w:r>
      <w:r>
        <w:rPr>
          <w:rFonts w:ascii="Times New Roman" w:hAnsi="Times New Roman" w:cs="Times New Roman"/>
          <w:sz w:val="28"/>
          <w:szCs w:val="28"/>
        </w:rPr>
        <w:t>16,6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>
        <w:rPr>
          <w:rFonts w:ascii="Times New Roman" w:hAnsi="Times New Roman" w:cs="Times New Roman"/>
          <w:sz w:val="28"/>
          <w:szCs w:val="28"/>
        </w:rPr>
        <w:t>2,9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%). Средства направлены: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на функционирование высшего должностного лица -</w:t>
      </w:r>
      <w:r w:rsidR="00C51475">
        <w:rPr>
          <w:rFonts w:ascii="Times New Roman" w:hAnsi="Times New Roman" w:cs="Times New Roman"/>
          <w:sz w:val="28"/>
          <w:szCs w:val="28"/>
        </w:rPr>
        <w:t>136,8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на функц</w:t>
      </w:r>
      <w:r w:rsidR="00C51475">
        <w:rPr>
          <w:rFonts w:ascii="Times New Roman" w:hAnsi="Times New Roman" w:cs="Times New Roman"/>
          <w:sz w:val="28"/>
          <w:szCs w:val="28"/>
        </w:rPr>
        <w:t>ионирование администрации -  414,3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05F91">
        <w:rPr>
          <w:rFonts w:ascii="Times New Roman" w:hAnsi="Times New Roman" w:cs="Times New Roman"/>
          <w:sz w:val="28"/>
          <w:szCs w:val="28"/>
        </w:rPr>
        <w:t>.</w:t>
      </w:r>
    </w:p>
    <w:p w:rsidR="00C51475" w:rsidRPr="009C4395" w:rsidRDefault="00C51475" w:rsidP="00C5147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05F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D66">
        <w:rPr>
          <w:rFonts w:ascii="Times New Roman" w:hAnsi="Times New Roman" w:cs="Times New Roman"/>
          <w:sz w:val="28"/>
          <w:szCs w:val="28"/>
        </w:rPr>
        <w:t xml:space="preserve"> 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В нарушение принятых соглашений поселением не перечислялись денежные средства по передаваемым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полномочия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в части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правово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обеспечени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я,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внутрен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внешне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 w:rsidR="006A7D49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финансового контроля.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Таким образом, администрация поселения не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>исполняет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свои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>обязательств</w:t>
      </w:r>
      <w:r w:rsidR="00B87606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соответствии с заключенными соглашения</w:t>
      </w:r>
      <w:r w:rsidR="00B87606">
        <w:rPr>
          <w:rFonts w:ascii="Times New Roman" w:hAnsi="Times New Roman" w:cs="Times New Roman"/>
          <w:i/>
          <w:sz w:val="28"/>
          <w:szCs w:val="28"/>
          <w:u w:val="single"/>
        </w:rPr>
        <w:t>ми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между администрацией района, Представительным Собранием района и администрацией  поселения Туровецкое</w:t>
      </w:r>
      <w:r w:rsidR="002677E6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ссылаясь на отсутствие денежных сред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>ств.  О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днако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>поступление дотации из бюджета района в 1 квартале т.г.  составило 25%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утвержденных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>годовых бюджетных назначений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кроме того,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 расходы 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>содержани</w:t>
      </w:r>
      <w:r w:rsidR="009C4395" w:rsidRPr="009C4395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84D66" w:rsidRPr="009C4395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составили 32,0 процента от утвержденных расходов на 2016 год.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lastRenderedPageBreak/>
        <w:t xml:space="preserve">        «</w:t>
      </w:r>
      <w:r w:rsidRPr="006C192E">
        <w:rPr>
          <w:rFonts w:ascii="Times New Roman" w:hAnsi="Times New Roman" w:cs="Times New Roman"/>
          <w:i/>
          <w:sz w:val="28"/>
          <w:szCs w:val="28"/>
        </w:rPr>
        <w:t>Национальная оборона</w:t>
      </w:r>
      <w:r w:rsidRPr="006C192E">
        <w:rPr>
          <w:rFonts w:ascii="Times New Roman" w:hAnsi="Times New Roman" w:cs="Times New Roman"/>
          <w:sz w:val="28"/>
          <w:szCs w:val="28"/>
        </w:rPr>
        <w:t>» - 22,7 тыс. рублей, или 24,9 % к годовым бюджетным назначениям. По сравнению с 1 кварталом 2015 года расходы увеличились на 5,6 тыс. рублей (32,7 %). Средства направлены на осуществление первичного воинского учета в поселении.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«Национальная безопасность и правоохранительная деятельность»</w:t>
      </w:r>
      <w:r w:rsidRPr="006C192E">
        <w:rPr>
          <w:rFonts w:ascii="Times New Roman" w:hAnsi="Times New Roman" w:cs="Times New Roman"/>
          <w:sz w:val="28"/>
          <w:szCs w:val="28"/>
        </w:rPr>
        <w:t>- расходы в 1 квартале 2016 года не осуществлялись.</w:t>
      </w:r>
    </w:p>
    <w:p w:rsidR="008916A7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«Национальная экономика» -</w:t>
      </w:r>
      <w:r w:rsidR="008916A7" w:rsidRPr="008916A7">
        <w:rPr>
          <w:rFonts w:ascii="Times New Roman" w:hAnsi="Times New Roman" w:cs="Times New Roman"/>
          <w:sz w:val="28"/>
          <w:szCs w:val="28"/>
        </w:rPr>
        <w:t xml:space="preserve"> </w:t>
      </w:r>
      <w:r w:rsidR="008916A7" w:rsidRPr="006C192E">
        <w:rPr>
          <w:rFonts w:ascii="Times New Roman" w:hAnsi="Times New Roman" w:cs="Times New Roman"/>
          <w:sz w:val="28"/>
          <w:szCs w:val="28"/>
        </w:rPr>
        <w:t>расходы в 1 квартале 2016 года не осуществлялись</w:t>
      </w:r>
      <w:r w:rsidR="008916A7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8916A7" w:rsidP="006C19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- расходы составили </w:t>
      </w:r>
      <w:r>
        <w:rPr>
          <w:rFonts w:ascii="Times New Roman" w:hAnsi="Times New Roman" w:cs="Times New Roman"/>
          <w:sz w:val="28"/>
          <w:szCs w:val="28"/>
        </w:rPr>
        <w:t>42,3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12,1</w:t>
      </w:r>
      <w:r w:rsidR="006C192E" w:rsidRPr="006C192E">
        <w:rPr>
          <w:rFonts w:ascii="Times New Roman" w:hAnsi="Times New Roman" w:cs="Times New Roman"/>
          <w:sz w:val="28"/>
          <w:szCs w:val="28"/>
        </w:rPr>
        <w:t>% к годовым назначениям, в том числе  по подразделу «</w:t>
      </w:r>
      <w:r w:rsidR="00712A69">
        <w:rPr>
          <w:rFonts w:ascii="Times New Roman" w:hAnsi="Times New Roman" w:cs="Times New Roman"/>
          <w:sz w:val="28"/>
          <w:szCs w:val="28"/>
        </w:rPr>
        <w:t>Благоустройству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» - </w:t>
      </w:r>
      <w:r w:rsidR="00712A69">
        <w:rPr>
          <w:rFonts w:ascii="Times New Roman" w:hAnsi="Times New Roman" w:cs="Times New Roman"/>
          <w:sz w:val="28"/>
          <w:szCs w:val="28"/>
        </w:rPr>
        <w:t>42,3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 на оплату уличного освещения на территории поселения.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По сравнению с 1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кварталом 2015 </w:t>
      </w:r>
      <w:r w:rsidR="00712A69">
        <w:rPr>
          <w:rFonts w:ascii="Times New Roman" w:hAnsi="Times New Roman" w:cs="Times New Roman"/>
          <w:sz w:val="28"/>
          <w:szCs w:val="28"/>
        </w:rPr>
        <w:t xml:space="preserve">года расходы снизились на  30,6 </w:t>
      </w:r>
      <w:r w:rsidR="006C192E" w:rsidRPr="006C192E">
        <w:rPr>
          <w:rFonts w:ascii="Times New Roman" w:hAnsi="Times New Roman" w:cs="Times New Roman"/>
          <w:sz w:val="28"/>
          <w:szCs w:val="28"/>
        </w:rPr>
        <w:t>тыс. рублей (</w:t>
      </w:r>
      <w:r w:rsidR="00712A69">
        <w:rPr>
          <w:rFonts w:ascii="Times New Roman" w:hAnsi="Times New Roman" w:cs="Times New Roman"/>
          <w:sz w:val="28"/>
          <w:szCs w:val="28"/>
        </w:rPr>
        <w:t>42,0</w:t>
      </w:r>
      <w:r w:rsidR="006C192E" w:rsidRPr="006C192E">
        <w:rPr>
          <w:rFonts w:ascii="Times New Roman" w:hAnsi="Times New Roman" w:cs="Times New Roman"/>
          <w:sz w:val="28"/>
          <w:szCs w:val="28"/>
        </w:rPr>
        <w:t>%).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«Образование»</w:t>
      </w:r>
      <w:r w:rsidRPr="006C192E">
        <w:rPr>
          <w:rFonts w:ascii="Times New Roman" w:hAnsi="Times New Roman" w:cs="Times New Roman"/>
          <w:sz w:val="28"/>
          <w:szCs w:val="28"/>
        </w:rPr>
        <w:t xml:space="preserve"> - расходы в 1 квартале 2016 года не осуществлялись.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«Культура и  кинематография»</w:t>
      </w:r>
      <w:r w:rsidRPr="006C192E">
        <w:rPr>
          <w:rFonts w:ascii="Times New Roman" w:hAnsi="Times New Roman" w:cs="Times New Roman"/>
          <w:sz w:val="28"/>
          <w:szCs w:val="28"/>
        </w:rPr>
        <w:t>-</w:t>
      </w:r>
      <w:r w:rsidR="00712A69">
        <w:rPr>
          <w:rFonts w:ascii="Times New Roman" w:hAnsi="Times New Roman" w:cs="Times New Roman"/>
          <w:sz w:val="28"/>
          <w:szCs w:val="28"/>
        </w:rPr>
        <w:t>131,4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712A69">
        <w:rPr>
          <w:rFonts w:ascii="Times New Roman" w:hAnsi="Times New Roman" w:cs="Times New Roman"/>
          <w:sz w:val="28"/>
          <w:szCs w:val="28"/>
        </w:rPr>
        <w:t>14,3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кварталом 2015 года расходы </w:t>
      </w:r>
      <w:r w:rsidR="00712A69">
        <w:rPr>
          <w:rFonts w:ascii="Times New Roman" w:hAnsi="Times New Roman" w:cs="Times New Roman"/>
          <w:sz w:val="28"/>
          <w:szCs w:val="28"/>
        </w:rPr>
        <w:t>уменьшились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 </w:t>
      </w:r>
      <w:r w:rsidR="009B0A3B">
        <w:rPr>
          <w:rFonts w:ascii="Times New Roman" w:hAnsi="Times New Roman" w:cs="Times New Roman"/>
          <w:sz w:val="28"/>
          <w:szCs w:val="28"/>
        </w:rPr>
        <w:t xml:space="preserve">116,2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0A3B">
        <w:rPr>
          <w:rFonts w:ascii="Times New Roman" w:hAnsi="Times New Roman" w:cs="Times New Roman"/>
          <w:sz w:val="28"/>
          <w:szCs w:val="28"/>
        </w:rPr>
        <w:t>46,9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Расходы по подразделу «Культура» составили </w:t>
      </w:r>
      <w:r w:rsidR="009B0A3B">
        <w:rPr>
          <w:rFonts w:ascii="Times New Roman" w:hAnsi="Times New Roman" w:cs="Times New Roman"/>
          <w:sz w:val="28"/>
          <w:szCs w:val="28"/>
        </w:rPr>
        <w:t>131,4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0A3B">
        <w:rPr>
          <w:rFonts w:ascii="Times New Roman" w:hAnsi="Times New Roman" w:cs="Times New Roman"/>
          <w:sz w:val="28"/>
          <w:szCs w:val="28"/>
        </w:rPr>
        <w:t>14,3</w:t>
      </w:r>
      <w:r w:rsidRPr="006C192E">
        <w:rPr>
          <w:rFonts w:ascii="Times New Roman" w:hAnsi="Times New Roman" w:cs="Times New Roman"/>
          <w:sz w:val="28"/>
          <w:szCs w:val="28"/>
        </w:rPr>
        <w:t>%), или  100 % от общих расходов раздела «Культура и кинематография». Расходы производились на финансовое обеспечение муниципального задания МБУК «</w:t>
      </w:r>
      <w:r w:rsidR="009B0A3B">
        <w:rPr>
          <w:rFonts w:ascii="Times New Roman" w:hAnsi="Times New Roman" w:cs="Times New Roman"/>
          <w:sz w:val="28"/>
          <w:szCs w:val="28"/>
        </w:rPr>
        <w:t>Туровецк</w:t>
      </w:r>
      <w:r w:rsidR="002677E6">
        <w:rPr>
          <w:rFonts w:ascii="Times New Roman" w:hAnsi="Times New Roman" w:cs="Times New Roman"/>
          <w:sz w:val="28"/>
          <w:szCs w:val="28"/>
        </w:rPr>
        <w:t>ий</w:t>
      </w:r>
      <w:r w:rsidRPr="006C192E">
        <w:rPr>
          <w:rFonts w:ascii="Times New Roman" w:hAnsi="Times New Roman" w:cs="Times New Roman"/>
          <w:sz w:val="28"/>
          <w:szCs w:val="28"/>
        </w:rPr>
        <w:t xml:space="preserve"> Дом культуры» в сумме </w:t>
      </w:r>
      <w:r w:rsidR="009B0A3B">
        <w:rPr>
          <w:rFonts w:ascii="Times New Roman" w:hAnsi="Times New Roman" w:cs="Times New Roman"/>
          <w:sz w:val="28"/>
          <w:szCs w:val="28"/>
        </w:rPr>
        <w:t>131,4</w:t>
      </w:r>
      <w:r w:rsidRPr="006C192E">
        <w:rPr>
          <w:rFonts w:ascii="Times New Roman" w:hAnsi="Times New Roman" w:cs="Times New Roman"/>
          <w:sz w:val="28"/>
          <w:szCs w:val="28"/>
        </w:rPr>
        <w:t>5 тыс. рублей.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«Социальная политика»</w:t>
      </w:r>
      <w:r w:rsidR="009B0A3B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9B0A3B" w:rsidRPr="006C192E">
        <w:rPr>
          <w:rFonts w:ascii="Times New Roman" w:hAnsi="Times New Roman" w:cs="Times New Roman"/>
          <w:sz w:val="28"/>
          <w:szCs w:val="28"/>
        </w:rPr>
        <w:t>- расходы в 1 квартале 2016 года не осуществлялись.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6C192E">
        <w:rPr>
          <w:rFonts w:ascii="Times New Roman" w:hAnsi="Times New Roman" w:cs="Times New Roman"/>
          <w:sz w:val="28"/>
          <w:szCs w:val="28"/>
        </w:rPr>
        <w:t xml:space="preserve"> - </w:t>
      </w:r>
      <w:r w:rsidR="009B0A3B">
        <w:rPr>
          <w:rFonts w:ascii="Times New Roman" w:hAnsi="Times New Roman" w:cs="Times New Roman"/>
          <w:sz w:val="28"/>
          <w:szCs w:val="28"/>
        </w:rPr>
        <w:t>223,5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тыс.рублей, или  </w:t>
      </w:r>
      <w:r w:rsidR="009B0A3B">
        <w:rPr>
          <w:rFonts w:ascii="Times New Roman" w:hAnsi="Times New Roman" w:cs="Times New Roman"/>
          <w:sz w:val="28"/>
          <w:szCs w:val="28"/>
        </w:rPr>
        <w:t>32,8</w:t>
      </w:r>
      <w:r w:rsidRPr="006C192E">
        <w:rPr>
          <w:rFonts w:ascii="Times New Roman" w:hAnsi="Times New Roman" w:cs="Times New Roman"/>
          <w:sz w:val="28"/>
          <w:szCs w:val="28"/>
        </w:rPr>
        <w:t xml:space="preserve">% к годовым назначениям.  По сравнению с 1 кварталом 2015  года расходы </w:t>
      </w:r>
      <w:r w:rsidR="009B0A3B">
        <w:rPr>
          <w:rFonts w:ascii="Times New Roman" w:hAnsi="Times New Roman" w:cs="Times New Roman"/>
          <w:sz w:val="28"/>
          <w:szCs w:val="28"/>
        </w:rPr>
        <w:t>снизились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9B0A3B">
        <w:rPr>
          <w:rFonts w:ascii="Times New Roman" w:hAnsi="Times New Roman" w:cs="Times New Roman"/>
          <w:sz w:val="28"/>
          <w:szCs w:val="28"/>
        </w:rPr>
        <w:t>17,4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B0A3B">
        <w:rPr>
          <w:rFonts w:ascii="Times New Roman" w:hAnsi="Times New Roman" w:cs="Times New Roman"/>
          <w:sz w:val="28"/>
          <w:szCs w:val="28"/>
        </w:rPr>
        <w:t>7,2</w:t>
      </w:r>
      <w:r w:rsidRPr="006C192E">
        <w:rPr>
          <w:rFonts w:ascii="Times New Roman" w:hAnsi="Times New Roman" w:cs="Times New Roman"/>
          <w:sz w:val="28"/>
          <w:szCs w:val="28"/>
        </w:rPr>
        <w:t>%).  Расходы производились на  финансовое обеспечение выполнения муниципального задания МБУ ФОК «</w:t>
      </w:r>
      <w:r w:rsidR="009B0A3B">
        <w:rPr>
          <w:rFonts w:ascii="Times New Roman" w:hAnsi="Times New Roman" w:cs="Times New Roman"/>
          <w:sz w:val="28"/>
          <w:szCs w:val="28"/>
        </w:rPr>
        <w:t>Олимп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9B0A3B">
        <w:rPr>
          <w:rFonts w:ascii="Times New Roman" w:hAnsi="Times New Roman" w:cs="Times New Roman"/>
          <w:sz w:val="28"/>
          <w:szCs w:val="28"/>
        </w:rPr>
        <w:t>221,5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B0A3B">
        <w:rPr>
          <w:rFonts w:ascii="Times New Roman" w:hAnsi="Times New Roman" w:cs="Times New Roman"/>
          <w:sz w:val="28"/>
          <w:szCs w:val="28"/>
        </w:rPr>
        <w:t>, на проведение мероприятий по физической культуре и спорту – 2,0 тыс. рублей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В рамках проведения анализа исполнения бюджета поселения  за 1 квартал 2016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предоставлена следующими данными: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апреля  2015 года -4 шт. единиц, на 01 апреля 2016 года – </w:t>
      </w:r>
      <w:r w:rsidR="0038600E">
        <w:rPr>
          <w:rFonts w:ascii="Times New Roman" w:hAnsi="Times New Roman" w:cs="Times New Roman"/>
          <w:sz w:val="28"/>
          <w:szCs w:val="28"/>
        </w:rPr>
        <w:t>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за 1 квартал 2015 год –</w:t>
      </w:r>
      <w:r w:rsidR="0038600E">
        <w:rPr>
          <w:rFonts w:ascii="Times New Roman" w:hAnsi="Times New Roman" w:cs="Times New Roman"/>
          <w:sz w:val="28"/>
          <w:szCs w:val="28"/>
        </w:rPr>
        <w:t>277,9</w:t>
      </w:r>
      <w:r w:rsidRPr="006C192E">
        <w:rPr>
          <w:rFonts w:ascii="Times New Roman" w:hAnsi="Times New Roman" w:cs="Times New Roman"/>
          <w:sz w:val="28"/>
          <w:szCs w:val="28"/>
        </w:rPr>
        <w:t>. рублей;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lastRenderedPageBreak/>
        <w:t xml:space="preserve">- за 1 квартал 2016 года – </w:t>
      </w:r>
      <w:r w:rsidR="0038600E">
        <w:rPr>
          <w:rFonts w:ascii="Times New Roman" w:hAnsi="Times New Roman" w:cs="Times New Roman"/>
          <w:sz w:val="28"/>
          <w:szCs w:val="28"/>
        </w:rPr>
        <w:t>263,9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600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поселения за 1 квартал  2016 года составила  </w:t>
      </w:r>
      <w:r w:rsidR="0038600E">
        <w:rPr>
          <w:rFonts w:ascii="Times New Roman" w:hAnsi="Times New Roman" w:cs="Times New Roman"/>
          <w:sz w:val="28"/>
          <w:szCs w:val="28"/>
        </w:rPr>
        <w:t>27,2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расходов.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38600E">
        <w:rPr>
          <w:rFonts w:ascii="Times New Roman" w:hAnsi="Times New Roman" w:cs="Times New Roman"/>
          <w:sz w:val="28"/>
          <w:szCs w:val="28"/>
        </w:rPr>
        <w:t xml:space="preserve">незначительное снижение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расходов на оплату труда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работников органа местного самоуправления  за 1 квартал 2016 года по сравнению с аналогичным периодом прошлого года на </w:t>
      </w:r>
      <w:r w:rsidR="0038600E">
        <w:rPr>
          <w:rFonts w:ascii="Times New Roman" w:hAnsi="Times New Roman" w:cs="Times New Roman"/>
          <w:sz w:val="28"/>
          <w:szCs w:val="28"/>
        </w:rPr>
        <w:t>14,0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8600E">
        <w:rPr>
          <w:rFonts w:ascii="Times New Roman" w:hAnsi="Times New Roman" w:cs="Times New Roman"/>
          <w:sz w:val="28"/>
          <w:szCs w:val="28"/>
        </w:rPr>
        <w:t>5,0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процента, что связано с </w:t>
      </w:r>
      <w:r w:rsidR="0038600E">
        <w:rPr>
          <w:rFonts w:ascii="Times New Roman" w:hAnsi="Times New Roman" w:cs="Times New Roman"/>
          <w:sz w:val="28"/>
          <w:szCs w:val="28"/>
        </w:rPr>
        <w:t xml:space="preserve"> сокращением 1 штатной единицы.</w:t>
      </w:r>
      <w:r w:rsidR="0038600E" w:rsidRPr="006C1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Число бюджетных организаций по состоянию на 01 апреля 2015 года составило  2 (в т.ч. финансируемых за счет собственных доходов  – 2), на 01 апреля  2016 года – 2 (в т.ч. финансируемых за счет собственных доходов – 2).</w:t>
      </w:r>
    </w:p>
    <w:p w:rsidR="0038600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1. Количество работников муниципальных учреждений по состоянию на 01 апреля 2015 года составило</w:t>
      </w:r>
      <w:r w:rsidR="0038600E">
        <w:rPr>
          <w:rFonts w:ascii="Times New Roman" w:hAnsi="Times New Roman" w:cs="Times New Roman"/>
          <w:sz w:val="28"/>
          <w:szCs w:val="28"/>
        </w:rPr>
        <w:t xml:space="preserve"> 11 </w:t>
      </w:r>
      <w:r w:rsidRPr="006C192E">
        <w:rPr>
          <w:rFonts w:ascii="Times New Roman" w:hAnsi="Times New Roman" w:cs="Times New Roman"/>
          <w:sz w:val="28"/>
          <w:szCs w:val="28"/>
        </w:rPr>
        <w:t>шт. единиц, на 01 апреля 2016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года –11 шт. единиц. Штатная численность работников муниципальных учреждений поселения на 01.04.2016 года в сравнении с 01.04.2015 года </w:t>
      </w:r>
      <w:r w:rsidR="0038600E">
        <w:rPr>
          <w:rFonts w:ascii="Times New Roman" w:hAnsi="Times New Roman" w:cs="Times New Roman"/>
          <w:sz w:val="28"/>
          <w:szCs w:val="28"/>
        </w:rPr>
        <w:t>осталась без изменений.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муниципальных учреждений составил: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за 1 квартал 2015 года – </w:t>
      </w:r>
      <w:r w:rsidR="0038600E">
        <w:rPr>
          <w:rFonts w:ascii="Times New Roman" w:hAnsi="Times New Roman" w:cs="Times New Roman"/>
          <w:sz w:val="28"/>
          <w:szCs w:val="28"/>
        </w:rPr>
        <w:t xml:space="preserve">323,3 </w:t>
      </w:r>
      <w:r w:rsidRPr="006C19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за 1 квартал 2016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38600E">
        <w:rPr>
          <w:rFonts w:ascii="Times New Roman" w:hAnsi="Times New Roman" w:cs="Times New Roman"/>
          <w:sz w:val="28"/>
          <w:szCs w:val="28"/>
        </w:rPr>
        <w:t>254,9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муниципальных учреждений  в общей сумме расходов бюджета поселения  за 1 квартал  2016 года составила  </w:t>
      </w:r>
      <w:r w:rsidR="0038600E">
        <w:rPr>
          <w:rFonts w:ascii="Times New Roman" w:hAnsi="Times New Roman" w:cs="Times New Roman"/>
          <w:sz w:val="28"/>
          <w:szCs w:val="28"/>
        </w:rPr>
        <w:t>33,3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Наблюдается снижение    расходов на оплату труда работников муниципальных учреждений  на </w:t>
      </w:r>
      <w:r w:rsidR="0038600E">
        <w:rPr>
          <w:rFonts w:ascii="Times New Roman" w:hAnsi="Times New Roman" w:cs="Times New Roman"/>
          <w:sz w:val="28"/>
          <w:szCs w:val="28"/>
        </w:rPr>
        <w:t>68,4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38600E">
        <w:rPr>
          <w:rFonts w:ascii="Times New Roman" w:hAnsi="Times New Roman" w:cs="Times New Roman"/>
          <w:sz w:val="28"/>
          <w:szCs w:val="28"/>
        </w:rPr>
        <w:t xml:space="preserve">21,2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447797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797">
        <w:rPr>
          <w:rFonts w:ascii="Times New Roman" w:hAnsi="Times New Roman" w:cs="Times New Roman"/>
          <w:b/>
          <w:i/>
          <w:sz w:val="28"/>
          <w:szCs w:val="28"/>
        </w:rPr>
        <w:t>Дефицит бюджета поселения.</w:t>
      </w:r>
    </w:p>
    <w:p w:rsidR="006C192E" w:rsidRPr="00447797" w:rsidRDefault="006C192E" w:rsidP="006C192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7">
        <w:rPr>
          <w:rFonts w:ascii="Times New Roman" w:hAnsi="Times New Roman" w:cs="Times New Roman"/>
          <w:sz w:val="28"/>
          <w:szCs w:val="28"/>
        </w:rPr>
        <w:t xml:space="preserve"> Первоначальный бюджет поселения на 2016 год принят без дефицита. В течение 1 квартала 2016 года изменения в бюджет поселения не вносились.</w:t>
      </w:r>
    </w:p>
    <w:p w:rsidR="006C192E" w:rsidRPr="00447797" w:rsidRDefault="006C192E" w:rsidP="006C192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7">
        <w:rPr>
          <w:rFonts w:ascii="Times New Roman" w:hAnsi="Times New Roman" w:cs="Times New Roman"/>
          <w:sz w:val="28"/>
          <w:szCs w:val="28"/>
        </w:rPr>
        <w:t>Источниками внутреннего финансирования дефицита  бюджета поселения</w:t>
      </w:r>
      <w:r w:rsidR="00B23027" w:rsidRPr="00447797">
        <w:rPr>
          <w:rFonts w:ascii="Times New Roman" w:hAnsi="Times New Roman" w:cs="Times New Roman"/>
          <w:sz w:val="28"/>
          <w:szCs w:val="28"/>
        </w:rPr>
        <w:t xml:space="preserve"> </w:t>
      </w:r>
      <w:r w:rsidRPr="00447797">
        <w:rPr>
          <w:rFonts w:ascii="Times New Roman" w:hAnsi="Times New Roman" w:cs="Times New Roman"/>
          <w:sz w:val="28"/>
          <w:szCs w:val="28"/>
        </w:rPr>
        <w:t>является изменение остатков средств на счетах по учету средств бюджета поселения.</w:t>
      </w:r>
    </w:p>
    <w:p w:rsidR="006C192E" w:rsidRPr="009E58D8" w:rsidRDefault="006C192E" w:rsidP="006C19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7">
        <w:rPr>
          <w:rFonts w:ascii="Times New Roman" w:hAnsi="Times New Roman" w:cs="Times New Roman"/>
          <w:sz w:val="28"/>
          <w:szCs w:val="28"/>
        </w:rPr>
        <w:t xml:space="preserve">Бюджет поселения за 1 квартал  2016 года исполнен с дефицитом в сумме </w:t>
      </w:r>
      <w:r w:rsidR="00447797" w:rsidRPr="00447797">
        <w:rPr>
          <w:rFonts w:ascii="Times New Roman" w:hAnsi="Times New Roman" w:cs="Times New Roman"/>
          <w:sz w:val="28"/>
          <w:szCs w:val="28"/>
        </w:rPr>
        <w:t>35,2</w:t>
      </w:r>
      <w:r w:rsidRPr="00447797"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поселения являются остатки средств бюджета на начало 2016 года в сумме</w:t>
      </w:r>
      <w:r w:rsidRPr="00D858D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9E58D8" w:rsidRPr="009E58D8">
        <w:rPr>
          <w:rFonts w:ascii="Times New Roman" w:hAnsi="Times New Roman" w:cs="Times New Roman"/>
          <w:sz w:val="28"/>
          <w:szCs w:val="28"/>
        </w:rPr>
        <w:t>72,2</w:t>
      </w:r>
      <w:r w:rsidRPr="009E58D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1747DD" w:rsidRDefault="001747DD" w:rsidP="006C19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47DD">
        <w:rPr>
          <w:rFonts w:ascii="Times New Roman" w:hAnsi="Times New Roman" w:cs="Times New Roman"/>
          <w:i/>
          <w:sz w:val="28"/>
          <w:szCs w:val="28"/>
        </w:rPr>
        <w:t>В приложении 3 к постановлению от 11.05.2016 года №29  сумму дефицита -35100,97 рублей   необходимо заменить  на сумму дефицита -35,2 тыс. рублей.</w:t>
      </w:r>
    </w:p>
    <w:p w:rsidR="006C192E" w:rsidRPr="006C192E" w:rsidRDefault="006C192E" w:rsidP="006C192E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192E">
        <w:rPr>
          <w:rFonts w:ascii="Times New Roman" w:hAnsi="Times New Roman" w:cs="Times New Roman"/>
          <w:b/>
          <w:bCs/>
          <w:i/>
          <w:sz w:val="28"/>
          <w:szCs w:val="28"/>
        </w:rPr>
        <w:t>Долговые обязательства бюджета поселения.</w:t>
      </w:r>
    </w:p>
    <w:p w:rsidR="006C192E" w:rsidRPr="006C192E" w:rsidRDefault="006C192E" w:rsidP="006C192E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6C192E" w:rsidRDefault="006C192E" w:rsidP="006C192E">
      <w:pPr>
        <w:pStyle w:val="1"/>
        <w:ind w:firstLine="709"/>
        <w:contextualSpacing/>
        <w:jc w:val="both"/>
        <w:rPr>
          <w:sz w:val="28"/>
          <w:szCs w:val="28"/>
        </w:rPr>
      </w:pPr>
      <w:r w:rsidRPr="006C192E">
        <w:rPr>
          <w:sz w:val="28"/>
          <w:szCs w:val="28"/>
        </w:rPr>
        <w:lastRenderedPageBreak/>
        <w:t xml:space="preserve">Решением Совета поселения </w:t>
      </w:r>
      <w:r w:rsidR="009E58D8">
        <w:rPr>
          <w:sz w:val="28"/>
          <w:szCs w:val="28"/>
        </w:rPr>
        <w:t>Туровецкое</w:t>
      </w:r>
      <w:r w:rsidRPr="006C192E">
        <w:rPr>
          <w:sz w:val="28"/>
          <w:szCs w:val="28"/>
        </w:rPr>
        <w:t xml:space="preserve"> от 25 декабря 2015</w:t>
      </w:r>
      <w:r w:rsidR="009E58D8">
        <w:rPr>
          <w:sz w:val="28"/>
          <w:szCs w:val="28"/>
        </w:rPr>
        <w:t xml:space="preserve"> </w:t>
      </w:r>
      <w:r w:rsidRPr="006C192E">
        <w:rPr>
          <w:sz w:val="28"/>
          <w:szCs w:val="28"/>
        </w:rPr>
        <w:t xml:space="preserve">года № </w:t>
      </w:r>
      <w:r w:rsidR="009E58D8">
        <w:rPr>
          <w:sz w:val="28"/>
          <w:szCs w:val="28"/>
        </w:rPr>
        <w:t>61</w:t>
      </w:r>
      <w:r w:rsidRPr="006C192E">
        <w:rPr>
          <w:sz w:val="28"/>
          <w:szCs w:val="28"/>
        </w:rPr>
        <w:t xml:space="preserve"> установлен верхний предел муниципального внутреннего долга поселения по состоянию на 1 января 2017 года в сумме </w:t>
      </w:r>
      <w:r w:rsidR="00767BF3">
        <w:rPr>
          <w:sz w:val="28"/>
          <w:szCs w:val="28"/>
        </w:rPr>
        <w:t>0,0</w:t>
      </w:r>
      <w:r w:rsidRPr="006C192E">
        <w:rPr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поселения</w:t>
      </w:r>
      <w:r w:rsidR="00816367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6C192E" w:rsidRP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2016 году не запланировано.</w:t>
      </w:r>
    </w:p>
    <w:p w:rsidR="006C192E" w:rsidRP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C192E" w:rsidRP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C192E" w:rsidRP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Кредиторская, дебиторская задолженность</w:t>
      </w:r>
      <w:r w:rsidRPr="006C192E">
        <w:rPr>
          <w:rFonts w:ascii="Times New Roman" w:hAnsi="Times New Roman" w:cs="Times New Roman"/>
          <w:spacing w:val="1"/>
          <w:sz w:val="28"/>
          <w:szCs w:val="28"/>
        </w:rPr>
        <w:tab/>
        <w:t>.</w:t>
      </w:r>
    </w:p>
    <w:p w:rsidR="006C192E" w:rsidRPr="006C192E" w:rsidRDefault="006C192E" w:rsidP="006C192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Объем кредиторской задолженности по состоянию на 01 января 2015 года  </w:t>
      </w:r>
      <w:r w:rsidR="00767BF3" w:rsidRPr="00767BF3">
        <w:rPr>
          <w:rFonts w:ascii="Times New Roman" w:hAnsi="Times New Roman" w:cs="Times New Roman"/>
          <w:sz w:val="28"/>
          <w:szCs w:val="28"/>
        </w:rPr>
        <w:t>237,4</w:t>
      </w:r>
      <w:r w:rsidR="00767BF3" w:rsidRPr="008C5B1E">
        <w:rPr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тыс. рублей, на 01  апреля  2015 года –</w:t>
      </w:r>
      <w:r w:rsidR="00767BF3">
        <w:rPr>
          <w:rFonts w:ascii="Times New Roman" w:hAnsi="Times New Roman" w:cs="Times New Roman"/>
          <w:sz w:val="28"/>
          <w:szCs w:val="28"/>
        </w:rPr>
        <w:t xml:space="preserve">  нет данных</w:t>
      </w:r>
      <w:r w:rsidRPr="006C192E">
        <w:rPr>
          <w:rFonts w:ascii="Times New Roman" w:hAnsi="Times New Roman" w:cs="Times New Roman"/>
          <w:sz w:val="28"/>
          <w:szCs w:val="28"/>
        </w:rPr>
        <w:t>, на 01 января 2016 года –</w:t>
      </w:r>
      <w:r w:rsidR="00767BF3">
        <w:rPr>
          <w:rFonts w:ascii="Times New Roman" w:hAnsi="Times New Roman" w:cs="Times New Roman"/>
          <w:sz w:val="28"/>
          <w:szCs w:val="28"/>
        </w:rPr>
        <w:t>170,2</w:t>
      </w:r>
      <w:r w:rsidR="00767BF3"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тыс. рублей (в том числе просроченной -</w:t>
      </w:r>
      <w:r w:rsidR="00767BF3">
        <w:rPr>
          <w:rFonts w:ascii="Times New Roman" w:hAnsi="Times New Roman" w:cs="Times New Roman"/>
          <w:sz w:val="28"/>
          <w:szCs w:val="28"/>
        </w:rPr>
        <w:t>0,0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рублей), на 01 апреля 2016 года – </w:t>
      </w:r>
      <w:r w:rsidR="00767BF3">
        <w:rPr>
          <w:rFonts w:ascii="Times New Roman" w:hAnsi="Times New Roman" w:cs="Times New Roman"/>
          <w:sz w:val="28"/>
          <w:szCs w:val="28"/>
        </w:rPr>
        <w:t>166,2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(в том числе просроченной -</w:t>
      </w:r>
      <w:r w:rsidR="00767BF3">
        <w:rPr>
          <w:rFonts w:ascii="Times New Roman" w:hAnsi="Times New Roman" w:cs="Times New Roman"/>
          <w:sz w:val="28"/>
          <w:szCs w:val="28"/>
        </w:rPr>
        <w:t>20,7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FD5F32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Объем кредиторской задолженности на начало 2016 года по сравнению с началом прошлого года </w:t>
      </w:r>
      <w:r w:rsidR="00FD5F32">
        <w:rPr>
          <w:rFonts w:ascii="Times New Roman" w:hAnsi="Times New Roman" w:cs="Times New Roman"/>
          <w:sz w:val="28"/>
          <w:szCs w:val="28"/>
        </w:rPr>
        <w:t xml:space="preserve">уменьшился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FD5F32">
        <w:rPr>
          <w:rFonts w:ascii="Times New Roman" w:hAnsi="Times New Roman" w:cs="Times New Roman"/>
          <w:sz w:val="28"/>
          <w:szCs w:val="28"/>
        </w:rPr>
        <w:t>67,2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5F32">
        <w:rPr>
          <w:rFonts w:ascii="Times New Roman" w:hAnsi="Times New Roman" w:cs="Times New Roman"/>
          <w:sz w:val="28"/>
          <w:szCs w:val="28"/>
        </w:rPr>
        <w:t>на 28,3%</w:t>
      </w:r>
      <w:r w:rsidRPr="006C192E">
        <w:rPr>
          <w:rFonts w:ascii="Times New Roman" w:hAnsi="Times New Roman" w:cs="Times New Roman"/>
          <w:sz w:val="28"/>
          <w:szCs w:val="28"/>
        </w:rPr>
        <w:t>. В ходе исполнения бюджета поселения за 1</w:t>
      </w:r>
      <w:r w:rsidR="00FD5F32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квартал текущего года объем кредиторской задолженности составил</w:t>
      </w:r>
      <w:r w:rsidR="002677E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– </w:t>
      </w:r>
      <w:r w:rsidR="00FD5F32">
        <w:rPr>
          <w:rFonts w:ascii="Times New Roman" w:hAnsi="Times New Roman" w:cs="Times New Roman"/>
          <w:sz w:val="28"/>
          <w:szCs w:val="28"/>
        </w:rPr>
        <w:t>166,2 тыс. рублей,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</w:t>
      </w:r>
      <w:r w:rsidR="00FD5F32">
        <w:rPr>
          <w:rFonts w:ascii="Times New Roman" w:hAnsi="Times New Roman" w:cs="Times New Roman"/>
          <w:sz w:val="28"/>
          <w:szCs w:val="28"/>
        </w:rPr>
        <w:t xml:space="preserve">составила  20,7 </w:t>
      </w:r>
      <w:r w:rsidRPr="006C192E">
        <w:rPr>
          <w:rFonts w:ascii="Times New Roman" w:hAnsi="Times New Roman" w:cs="Times New Roman"/>
          <w:sz w:val="28"/>
          <w:szCs w:val="28"/>
        </w:rPr>
        <w:t>тыс. рублей.    Наиболее значительная по объему задолженность за коммунальные услуги -</w:t>
      </w:r>
      <w:r w:rsidR="00FD5F32">
        <w:rPr>
          <w:rFonts w:ascii="Times New Roman" w:hAnsi="Times New Roman" w:cs="Times New Roman"/>
          <w:sz w:val="28"/>
          <w:szCs w:val="28"/>
        </w:rPr>
        <w:t>109,7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D5F32">
        <w:rPr>
          <w:rFonts w:ascii="Times New Roman" w:hAnsi="Times New Roman" w:cs="Times New Roman"/>
          <w:sz w:val="28"/>
          <w:szCs w:val="28"/>
        </w:rPr>
        <w:t xml:space="preserve">прочие услуги – 24,5 тыс. рублей, </w:t>
      </w:r>
      <w:r w:rsidR="006808A9">
        <w:rPr>
          <w:rFonts w:ascii="Times New Roman" w:hAnsi="Times New Roman" w:cs="Times New Roman"/>
          <w:sz w:val="28"/>
          <w:szCs w:val="28"/>
        </w:rPr>
        <w:t xml:space="preserve"> </w:t>
      </w:r>
      <w:r w:rsidR="00FD5F32">
        <w:rPr>
          <w:rFonts w:ascii="Times New Roman" w:hAnsi="Times New Roman" w:cs="Times New Roman"/>
          <w:sz w:val="28"/>
          <w:szCs w:val="28"/>
        </w:rPr>
        <w:t>услуги по содержанию имущества- 22,7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D5F32">
        <w:rPr>
          <w:rFonts w:ascii="Times New Roman" w:hAnsi="Times New Roman" w:cs="Times New Roman"/>
          <w:sz w:val="28"/>
          <w:szCs w:val="28"/>
        </w:rPr>
        <w:t>перечисления другим бюджетам – 8,9 тыс. рублей, услуги связи – 1,9 тыс. рублей.</w:t>
      </w:r>
    </w:p>
    <w:p w:rsidR="000726C8" w:rsidRPr="000726C8" w:rsidRDefault="000726C8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726C8">
        <w:rPr>
          <w:rFonts w:ascii="Times New Roman" w:hAnsi="Times New Roman" w:cs="Times New Roman"/>
          <w:i/>
          <w:sz w:val="28"/>
          <w:szCs w:val="28"/>
          <w:u w:val="single"/>
        </w:rPr>
        <w:t>Объем  кредиторской задолженности не достоверен, так как  не учтена задолженность по межбюджетным трансфертам по  передаваемым  полномочиям.</w:t>
      </w:r>
    </w:p>
    <w:p w:rsidR="000726C8" w:rsidRPr="000726C8" w:rsidRDefault="000726C8" w:rsidP="000726C8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Объем дебиторской задолженности по состоянию  на 01 января 2016</w:t>
      </w:r>
      <w:r w:rsidR="00FD5F32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года  составил </w:t>
      </w:r>
      <w:r w:rsidR="00FD5F32">
        <w:rPr>
          <w:rFonts w:ascii="Times New Roman" w:hAnsi="Times New Roman" w:cs="Times New Roman"/>
          <w:sz w:val="28"/>
          <w:szCs w:val="28"/>
        </w:rPr>
        <w:t>0,0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D5F32">
        <w:rPr>
          <w:rFonts w:ascii="Times New Roman" w:hAnsi="Times New Roman" w:cs="Times New Roman"/>
          <w:sz w:val="28"/>
          <w:szCs w:val="28"/>
        </w:rPr>
        <w:t xml:space="preserve">  </w:t>
      </w:r>
      <w:r w:rsidR="00FD5F32" w:rsidRPr="00470445">
        <w:rPr>
          <w:rFonts w:ascii="Times New Roman" w:hAnsi="Times New Roman" w:cs="Times New Roman"/>
          <w:sz w:val="28"/>
          <w:szCs w:val="28"/>
        </w:rPr>
        <w:t xml:space="preserve">По сравнению с отчетным периодом прошлого года дебиторская задолженность снизилась  на </w:t>
      </w:r>
      <w:r w:rsidR="00FD5F32">
        <w:rPr>
          <w:rFonts w:ascii="Times New Roman" w:hAnsi="Times New Roman" w:cs="Times New Roman"/>
          <w:sz w:val="28"/>
          <w:szCs w:val="28"/>
        </w:rPr>
        <w:t>22,7</w:t>
      </w:r>
      <w:r w:rsidR="00FD5F32"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D5F3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F32">
        <w:rPr>
          <w:rFonts w:ascii="Times New Roman" w:hAnsi="Times New Roman" w:cs="Times New Roman"/>
          <w:sz w:val="28"/>
          <w:szCs w:val="28"/>
        </w:rPr>
        <w:t>процента</w:t>
      </w:r>
      <w:r w:rsidR="00FD5F32" w:rsidRPr="004704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Дебиторская задолженность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на 01апреля 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и на 01 апреля 2016 года – отсутствует.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0726C8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Выводы:</w:t>
      </w:r>
      <w:r w:rsidR="00FD5F32" w:rsidRPr="00FD5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1. Изменения в решение «О бюджете поселения на 2016 год» в 1 квартале  2016  года не вносились.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2. За 1 квартал  2016 года доходы бюджета поселения составили </w:t>
      </w:r>
      <w:r w:rsidR="00BF0986">
        <w:rPr>
          <w:rFonts w:ascii="Times New Roman" w:hAnsi="Times New Roman" w:cs="Times New Roman"/>
          <w:sz w:val="28"/>
          <w:szCs w:val="28"/>
        </w:rPr>
        <w:t>935,8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F0986">
        <w:rPr>
          <w:rFonts w:ascii="Times New Roman" w:hAnsi="Times New Roman" w:cs="Times New Roman"/>
          <w:sz w:val="28"/>
          <w:szCs w:val="28"/>
        </w:rPr>
        <w:t>24,5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BF0986">
        <w:rPr>
          <w:rFonts w:ascii="Times New Roman" w:hAnsi="Times New Roman" w:cs="Times New Roman"/>
          <w:sz w:val="28"/>
          <w:szCs w:val="28"/>
        </w:rPr>
        <w:t>3822,8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BF0986">
        <w:rPr>
          <w:rFonts w:ascii="Times New Roman" w:hAnsi="Times New Roman" w:cs="Times New Roman"/>
          <w:sz w:val="28"/>
          <w:szCs w:val="28"/>
        </w:rPr>
        <w:t>38,9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F0986">
        <w:rPr>
          <w:rFonts w:ascii="Times New Roman" w:hAnsi="Times New Roman" w:cs="Times New Roman"/>
          <w:sz w:val="28"/>
          <w:szCs w:val="28"/>
        </w:rPr>
        <w:t>14,2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BF0986">
        <w:rPr>
          <w:rFonts w:ascii="Times New Roman" w:hAnsi="Times New Roman" w:cs="Times New Roman"/>
          <w:sz w:val="28"/>
          <w:szCs w:val="28"/>
        </w:rPr>
        <w:t>896,9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F0986">
        <w:rPr>
          <w:rFonts w:ascii="Times New Roman" w:hAnsi="Times New Roman" w:cs="Times New Roman"/>
          <w:sz w:val="28"/>
          <w:szCs w:val="28"/>
        </w:rPr>
        <w:t>23,7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Основными источниками налоговых и неналоговых доходов бюджета поселения является налог на доходы физических лиц, земельный налог,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доля </w:t>
      </w:r>
      <w:r w:rsidRPr="006C192E">
        <w:rPr>
          <w:rFonts w:ascii="Times New Roman" w:hAnsi="Times New Roman" w:cs="Times New Roman"/>
          <w:sz w:val="28"/>
          <w:szCs w:val="28"/>
        </w:rPr>
        <w:lastRenderedPageBreak/>
        <w:t xml:space="preserve">которых в объеме налоговых и неналоговых доходов бюджета поселения составила </w:t>
      </w:r>
      <w:r w:rsidR="00BF0986">
        <w:rPr>
          <w:rFonts w:ascii="Times New Roman" w:hAnsi="Times New Roman" w:cs="Times New Roman"/>
          <w:sz w:val="28"/>
          <w:szCs w:val="28"/>
        </w:rPr>
        <w:t xml:space="preserve">97,2 </w:t>
      </w:r>
      <w:r w:rsidRPr="006C192E">
        <w:rPr>
          <w:rFonts w:ascii="Times New Roman" w:hAnsi="Times New Roman" w:cs="Times New Roman"/>
          <w:sz w:val="28"/>
          <w:szCs w:val="28"/>
        </w:rPr>
        <w:t>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поселения доля налоговых и неналоговых доходов составила </w:t>
      </w:r>
      <w:r w:rsidR="00BF0986">
        <w:rPr>
          <w:rFonts w:ascii="Times New Roman" w:hAnsi="Times New Roman" w:cs="Times New Roman"/>
          <w:sz w:val="28"/>
          <w:szCs w:val="28"/>
        </w:rPr>
        <w:t>4,2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BF0986">
        <w:rPr>
          <w:rFonts w:ascii="Times New Roman" w:hAnsi="Times New Roman" w:cs="Times New Roman"/>
          <w:sz w:val="28"/>
          <w:szCs w:val="28"/>
        </w:rPr>
        <w:t>95,8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Расходы бюджета поселения исполнены в сумме  </w:t>
      </w:r>
      <w:r w:rsidR="00BF0986">
        <w:rPr>
          <w:rFonts w:ascii="Times New Roman" w:hAnsi="Times New Roman" w:cs="Times New Roman"/>
          <w:sz w:val="28"/>
          <w:szCs w:val="28"/>
        </w:rPr>
        <w:t>971,0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F0986">
        <w:rPr>
          <w:rFonts w:ascii="Times New Roman" w:hAnsi="Times New Roman" w:cs="Times New Roman"/>
          <w:sz w:val="28"/>
          <w:szCs w:val="28"/>
        </w:rPr>
        <w:t>25,4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BF0986">
        <w:rPr>
          <w:rFonts w:ascii="Times New Roman" w:hAnsi="Times New Roman" w:cs="Times New Roman"/>
          <w:sz w:val="28"/>
          <w:szCs w:val="28"/>
        </w:rPr>
        <w:t xml:space="preserve">3822,8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Бюджет поселения в 1 квартале 2016 года сохранил социальную направленность – на указанные цели израсходовано </w:t>
      </w:r>
      <w:r w:rsidR="00BF0986">
        <w:rPr>
          <w:rFonts w:ascii="Times New Roman" w:hAnsi="Times New Roman" w:cs="Times New Roman"/>
          <w:sz w:val="28"/>
          <w:szCs w:val="28"/>
        </w:rPr>
        <w:t>354,9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F0986">
        <w:rPr>
          <w:rFonts w:ascii="Times New Roman" w:hAnsi="Times New Roman" w:cs="Times New Roman"/>
          <w:sz w:val="28"/>
          <w:szCs w:val="28"/>
        </w:rPr>
        <w:t>36,5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от всех расходов бюджета поселения.</w:t>
      </w:r>
    </w:p>
    <w:p w:rsidR="00BF0986" w:rsidRPr="006C192E" w:rsidRDefault="006C192E" w:rsidP="00BF098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разделам  «Национальная безопасность и правоохранительная деятельность», «Образование»</w:t>
      </w:r>
      <w:r w:rsidR="00BF0986">
        <w:rPr>
          <w:rFonts w:ascii="Times New Roman" w:hAnsi="Times New Roman" w:cs="Times New Roman"/>
          <w:sz w:val="28"/>
          <w:szCs w:val="28"/>
        </w:rPr>
        <w:t>, «Национальная экономика» и «Социальная политика»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По разделам классификации расходов «Общегосударственные вопросы», «Культура и кинематография» уровень исполнения к годовым назначениям составил более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25,0 процентов, по остальным  разделам классификации расходов  уровень исполнения значительно ниже 25 процентов.</w:t>
      </w:r>
    </w:p>
    <w:p w:rsidR="00BF0986" w:rsidRPr="00BF0986" w:rsidRDefault="00BF0986" w:rsidP="00BF09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986">
        <w:rPr>
          <w:rFonts w:ascii="Times New Roman" w:hAnsi="Times New Roman" w:cs="Times New Roman"/>
          <w:sz w:val="28"/>
          <w:szCs w:val="28"/>
        </w:rPr>
        <w:t xml:space="preserve">        В нарушение принятых соглашений поселением не перечислялись денежные средства по передаваемым полномочиям  в части правового обеспечения, внутреннего и внешнего  муниципального финансового контроля. </w:t>
      </w:r>
      <w:r w:rsidR="002677E6">
        <w:rPr>
          <w:rFonts w:ascii="Times New Roman" w:hAnsi="Times New Roman" w:cs="Times New Roman"/>
          <w:sz w:val="28"/>
          <w:szCs w:val="28"/>
        </w:rPr>
        <w:t>Сумма не перечисленных средств по  передаваемым полномочиям составила 34875,0 рублей.</w:t>
      </w:r>
    </w:p>
    <w:p w:rsidR="006C192E" w:rsidRP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4. При  сравнении задолженности по  налоговым платежам  по состоянию на 01.04.2016 года с аналогичным периодом 2015 года   произошло увеличение  на </w:t>
      </w:r>
      <w:r w:rsidR="006808A9">
        <w:rPr>
          <w:rFonts w:ascii="Times New Roman" w:hAnsi="Times New Roman" w:cs="Times New Roman"/>
          <w:color w:val="000000"/>
          <w:sz w:val="28"/>
          <w:szCs w:val="28"/>
        </w:rPr>
        <w:t>16,7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в 1,9 раза, в том числе в разрезе налоговых источников:</w:t>
      </w:r>
    </w:p>
    <w:p w:rsidR="006C192E" w:rsidRP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 w:rsidR="006808A9">
        <w:rPr>
          <w:rFonts w:ascii="Times New Roman" w:hAnsi="Times New Roman" w:cs="Times New Roman"/>
          <w:color w:val="000000"/>
          <w:sz w:val="28"/>
          <w:szCs w:val="28"/>
        </w:rPr>
        <w:t>18,5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в 2,</w:t>
      </w:r>
      <w:r w:rsidR="006808A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раза;</w:t>
      </w:r>
    </w:p>
    <w:p w:rsidR="006C192E" w:rsidRP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по земельному налогу </w:t>
      </w:r>
      <w:r w:rsidR="006808A9">
        <w:rPr>
          <w:rFonts w:ascii="Times New Roman" w:hAnsi="Times New Roman" w:cs="Times New Roman"/>
          <w:sz w:val="28"/>
          <w:szCs w:val="28"/>
        </w:rPr>
        <w:t xml:space="preserve"> снижение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на </w:t>
      </w:r>
      <w:r w:rsidR="006808A9">
        <w:rPr>
          <w:rFonts w:ascii="Times New Roman" w:hAnsi="Times New Roman" w:cs="Times New Roman"/>
          <w:sz w:val="28"/>
          <w:szCs w:val="28"/>
        </w:rPr>
        <w:t>1,8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808A9">
        <w:rPr>
          <w:rFonts w:ascii="Times New Roman" w:hAnsi="Times New Roman" w:cs="Times New Roman"/>
          <w:sz w:val="28"/>
          <w:szCs w:val="28"/>
        </w:rPr>
        <w:t>22,5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5. За 1 квартал 2016 года бюджет поселения исполнен с дефицитом  в сумме  </w:t>
      </w:r>
      <w:r w:rsidR="006808A9">
        <w:rPr>
          <w:rFonts w:ascii="Times New Roman" w:hAnsi="Times New Roman" w:cs="Times New Roman"/>
          <w:sz w:val="28"/>
          <w:szCs w:val="28"/>
        </w:rPr>
        <w:t>35,2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поселения являются остатки средств бюджета на начало 2016 года в сумме </w:t>
      </w:r>
      <w:r w:rsidR="006808A9">
        <w:rPr>
          <w:rFonts w:ascii="Times New Roman" w:hAnsi="Times New Roman" w:cs="Times New Roman"/>
          <w:sz w:val="28"/>
          <w:szCs w:val="28"/>
        </w:rPr>
        <w:t>72,2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808A9" w:rsidRDefault="006C192E" w:rsidP="006808A9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6.</w:t>
      </w:r>
      <w:r w:rsidR="006808A9" w:rsidRPr="006C192E">
        <w:rPr>
          <w:rFonts w:ascii="Times New Roman" w:hAnsi="Times New Roman" w:cs="Times New Roman"/>
          <w:sz w:val="28"/>
          <w:szCs w:val="28"/>
        </w:rPr>
        <w:t xml:space="preserve"> В ходе исполнения бюджета поселения за 1</w:t>
      </w:r>
      <w:r w:rsidR="006808A9">
        <w:rPr>
          <w:rFonts w:ascii="Times New Roman" w:hAnsi="Times New Roman" w:cs="Times New Roman"/>
          <w:sz w:val="28"/>
          <w:szCs w:val="28"/>
        </w:rPr>
        <w:t xml:space="preserve"> </w:t>
      </w:r>
      <w:r w:rsidR="006808A9" w:rsidRPr="006C192E">
        <w:rPr>
          <w:rFonts w:ascii="Times New Roman" w:hAnsi="Times New Roman" w:cs="Times New Roman"/>
          <w:sz w:val="28"/>
          <w:szCs w:val="28"/>
        </w:rPr>
        <w:t>квартал текущего года объем кредиторской задолженности составил</w:t>
      </w:r>
      <w:r w:rsidR="002677E6">
        <w:rPr>
          <w:rFonts w:ascii="Times New Roman" w:hAnsi="Times New Roman" w:cs="Times New Roman"/>
          <w:sz w:val="28"/>
          <w:szCs w:val="28"/>
        </w:rPr>
        <w:t xml:space="preserve"> </w:t>
      </w:r>
      <w:r w:rsidR="006808A9">
        <w:rPr>
          <w:rFonts w:ascii="Times New Roman" w:hAnsi="Times New Roman" w:cs="Times New Roman"/>
          <w:sz w:val="28"/>
          <w:szCs w:val="28"/>
        </w:rPr>
        <w:t xml:space="preserve"> </w:t>
      </w:r>
      <w:r w:rsidR="006808A9" w:rsidRPr="006C192E">
        <w:rPr>
          <w:rFonts w:ascii="Times New Roman" w:hAnsi="Times New Roman" w:cs="Times New Roman"/>
          <w:sz w:val="28"/>
          <w:szCs w:val="28"/>
        </w:rPr>
        <w:t xml:space="preserve">– </w:t>
      </w:r>
      <w:r w:rsidR="006808A9">
        <w:rPr>
          <w:rFonts w:ascii="Times New Roman" w:hAnsi="Times New Roman" w:cs="Times New Roman"/>
          <w:sz w:val="28"/>
          <w:szCs w:val="28"/>
        </w:rPr>
        <w:t>166,2 тыс. рублей,</w:t>
      </w:r>
      <w:r w:rsidR="006808A9" w:rsidRPr="006C192E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</w:t>
      </w:r>
      <w:r w:rsidR="006808A9">
        <w:rPr>
          <w:rFonts w:ascii="Times New Roman" w:hAnsi="Times New Roman" w:cs="Times New Roman"/>
          <w:sz w:val="28"/>
          <w:szCs w:val="28"/>
        </w:rPr>
        <w:t xml:space="preserve">составила  20,7 тыс. рублей.   </w:t>
      </w:r>
      <w:r w:rsidR="006808A9" w:rsidRPr="006C192E">
        <w:rPr>
          <w:rFonts w:ascii="Times New Roman" w:hAnsi="Times New Roman" w:cs="Times New Roman"/>
          <w:sz w:val="28"/>
          <w:szCs w:val="28"/>
        </w:rPr>
        <w:t>Наиболее значительная по объему задолженность за коммунальные услуги -</w:t>
      </w:r>
      <w:r w:rsidR="006808A9">
        <w:rPr>
          <w:rFonts w:ascii="Times New Roman" w:hAnsi="Times New Roman" w:cs="Times New Roman"/>
          <w:sz w:val="28"/>
          <w:szCs w:val="28"/>
        </w:rPr>
        <w:t>109,7</w:t>
      </w:r>
      <w:r w:rsidR="006808A9" w:rsidRPr="006C192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808A9">
        <w:rPr>
          <w:rFonts w:ascii="Times New Roman" w:hAnsi="Times New Roman" w:cs="Times New Roman"/>
          <w:sz w:val="28"/>
          <w:szCs w:val="28"/>
        </w:rPr>
        <w:t xml:space="preserve"> прочие услуги – 24,5 тыс. рублей, </w:t>
      </w:r>
      <w:r w:rsidR="006808A9"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6808A9">
        <w:rPr>
          <w:rFonts w:ascii="Times New Roman" w:hAnsi="Times New Roman" w:cs="Times New Roman"/>
          <w:sz w:val="28"/>
          <w:szCs w:val="28"/>
        </w:rPr>
        <w:t>услуги по содержанию имущества- 22,7</w:t>
      </w:r>
      <w:r w:rsidR="006808A9" w:rsidRPr="006C192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808A9">
        <w:rPr>
          <w:rFonts w:ascii="Times New Roman" w:hAnsi="Times New Roman" w:cs="Times New Roman"/>
          <w:sz w:val="28"/>
          <w:szCs w:val="28"/>
        </w:rPr>
        <w:t>перечисления другим бюджетам – 8,9 тыс. рублей, услуги связи – 1,9 тыс. рублей.</w:t>
      </w:r>
    </w:p>
    <w:p w:rsidR="006808A9" w:rsidRPr="006808A9" w:rsidRDefault="006808A9" w:rsidP="006808A9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8A9">
        <w:rPr>
          <w:rFonts w:ascii="Times New Roman" w:hAnsi="Times New Roman" w:cs="Times New Roman"/>
          <w:sz w:val="28"/>
          <w:szCs w:val="28"/>
        </w:rPr>
        <w:t>Объем  кредиторской задолженности не достоверен, так как  не учтена задолженность по межбюджетным трансфертам по  передаваемым  полномочиям.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Рекомендации администрации поселения: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E53" w:rsidRDefault="004C1E53" w:rsidP="004C1E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1E53">
        <w:rPr>
          <w:rFonts w:ascii="Times New Roman" w:hAnsi="Times New Roman" w:cs="Times New Roman"/>
          <w:sz w:val="28"/>
          <w:szCs w:val="28"/>
        </w:rPr>
        <w:t>1.</w:t>
      </w:r>
      <w:r w:rsidRPr="004C1E53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приложения 1,2 и 3 </w:t>
      </w:r>
      <w:r w:rsidR="002677E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C1E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2677E6"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 11.05.2016 года №29 </w:t>
      </w:r>
      <w:r w:rsidRPr="004C1E53">
        <w:rPr>
          <w:rFonts w:ascii="Times New Roman" w:hAnsi="Times New Roman" w:cs="Times New Roman"/>
          <w:color w:val="000000"/>
          <w:sz w:val="28"/>
          <w:szCs w:val="28"/>
        </w:rPr>
        <w:t xml:space="preserve"> в прилагаемой редакции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1E53" w:rsidRPr="001A0077" w:rsidRDefault="004C1E53" w:rsidP="001A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A0077">
        <w:rPr>
          <w:rFonts w:ascii="Times New Roman" w:hAnsi="Times New Roman" w:cs="Times New Roman"/>
          <w:sz w:val="28"/>
          <w:szCs w:val="28"/>
        </w:rPr>
        <w:t>Принять все меры по погашению задолженности в части  передаваемых полномочий  по правов</w:t>
      </w:r>
      <w:r w:rsidR="001A0077" w:rsidRPr="001A0077">
        <w:rPr>
          <w:rFonts w:ascii="Times New Roman" w:hAnsi="Times New Roman" w:cs="Times New Roman"/>
          <w:sz w:val="28"/>
          <w:szCs w:val="28"/>
        </w:rPr>
        <w:t>ому</w:t>
      </w:r>
      <w:r w:rsidRPr="001A0077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A0077" w:rsidRPr="001A0077">
        <w:rPr>
          <w:rFonts w:ascii="Times New Roman" w:hAnsi="Times New Roman" w:cs="Times New Roman"/>
          <w:sz w:val="28"/>
          <w:szCs w:val="28"/>
        </w:rPr>
        <w:t>ю</w:t>
      </w:r>
      <w:r w:rsidRPr="001A0077">
        <w:rPr>
          <w:rFonts w:ascii="Times New Roman" w:hAnsi="Times New Roman" w:cs="Times New Roman"/>
          <w:sz w:val="28"/>
          <w:szCs w:val="28"/>
        </w:rPr>
        <w:t>, внутренн</w:t>
      </w:r>
      <w:r w:rsidR="001A0077" w:rsidRPr="001A0077">
        <w:rPr>
          <w:rFonts w:ascii="Times New Roman" w:hAnsi="Times New Roman" w:cs="Times New Roman"/>
          <w:sz w:val="28"/>
          <w:szCs w:val="28"/>
        </w:rPr>
        <w:t>ему</w:t>
      </w:r>
      <w:r w:rsidRPr="001A0077">
        <w:rPr>
          <w:rFonts w:ascii="Times New Roman" w:hAnsi="Times New Roman" w:cs="Times New Roman"/>
          <w:sz w:val="28"/>
          <w:szCs w:val="28"/>
        </w:rPr>
        <w:t xml:space="preserve"> и внешне</w:t>
      </w:r>
      <w:r w:rsidR="001A0077" w:rsidRPr="001A0077">
        <w:rPr>
          <w:rFonts w:ascii="Times New Roman" w:hAnsi="Times New Roman" w:cs="Times New Roman"/>
          <w:sz w:val="28"/>
          <w:szCs w:val="28"/>
        </w:rPr>
        <w:t>му</w:t>
      </w:r>
      <w:r w:rsidRPr="001A0077">
        <w:rPr>
          <w:rFonts w:ascii="Times New Roman" w:hAnsi="Times New Roman" w:cs="Times New Roman"/>
          <w:sz w:val="28"/>
          <w:szCs w:val="28"/>
        </w:rPr>
        <w:t xml:space="preserve">  муниципально</w:t>
      </w:r>
      <w:r w:rsidR="001A0077" w:rsidRPr="001A0077">
        <w:rPr>
          <w:rFonts w:ascii="Times New Roman" w:hAnsi="Times New Roman" w:cs="Times New Roman"/>
          <w:sz w:val="28"/>
          <w:szCs w:val="28"/>
        </w:rPr>
        <w:t>му</w:t>
      </w:r>
      <w:r w:rsidRPr="001A007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A0077" w:rsidRPr="001A0077">
        <w:rPr>
          <w:rFonts w:ascii="Times New Roman" w:hAnsi="Times New Roman" w:cs="Times New Roman"/>
          <w:sz w:val="28"/>
          <w:szCs w:val="28"/>
        </w:rPr>
        <w:t>ю</w:t>
      </w:r>
      <w:r w:rsidRPr="001A0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077" w:rsidRPr="00F55FD7" w:rsidRDefault="001A0077" w:rsidP="001A0077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55FD7">
        <w:rPr>
          <w:rFonts w:ascii="Times New Roman" w:hAnsi="Times New Roman" w:cs="Times New Roman"/>
          <w:sz w:val="28"/>
          <w:szCs w:val="28"/>
        </w:rPr>
        <w:t>.В целях пополнения доходной части  бюджета поселения  рекомендуем принять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FD7">
        <w:rPr>
          <w:rFonts w:ascii="Times New Roman" w:hAnsi="Times New Roman" w:cs="Times New Roman"/>
          <w:sz w:val="28"/>
          <w:szCs w:val="28"/>
        </w:rPr>
        <w:t xml:space="preserve">все необходимые меры по сокращению задолженности по налоговым доходам. </w:t>
      </w:r>
    </w:p>
    <w:p w:rsidR="006C192E" w:rsidRPr="006C192E" w:rsidRDefault="001A0077" w:rsidP="004C1E5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связи с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 ростом кредиторской задолженности, принять все  необходимые меры по  ее сокращению.</w:t>
      </w:r>
    </w:p>
    <w:p w:rsidR="002677E6" w:rsidRDefault="001A0077" w:rsidP="001A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077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Рекомендуем д</w:t>
      </w:r>
      <w:r w:rsidRPr="001A0077">
        <w:rPr>
          <w:rFonts w:ascii="Times New Roman" w:hAnsi="Times New Roman" w:cs="Times New Roman"/>
          <w:sz w:val="28"/>
          <w:szCs w:val="28"/>
        </w:rPr>
        <w:t xml:space="preserve">анные 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1A0077">
        <w:rPr>
          <w:rFonts w:ascii="Times New Roman" w:hAnsi="Times New Roman" w:cs="Times New Roman"/>
          <w:sz w:val="28"/>
          <w:szCs w:val="28"/>
        </w:rPr>
        <w:t>кредиторской задолженности предоставлять</w:t>
      </w:r>
      <w:r>
        <w:rPr>
          <w:rFonts w:ascii="Times New Roman" w:hAnsi="Times New Roman" w:cs="Times New Roman"/>
          <w:sz w:val="28"/>
          <w:szCs w:val="28"/>
        </w:rPr>
        <w:t xml:space="preserve">  более</w:t>
      </w:r>
      <w:r w:rsidRPr="001A0077">
        <w:rPr>
          <w:rFonts w:ascii="Times New Roman" w:hAnsi="Times New Roman" w:cs="Times New Roman"/>
          <w:sz w:val="28"/>
          <w:szCs w:val="28"/>
        </w:rPr>
        <w:t xml:space="preserve"> достоверны</w:t>
      </w:r>
      <w:r w:rsidR="002677E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A0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077" w:rsidRPr="001A0077" w:rsidRDefault="001A0077" w:rsidP="001A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1A007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1A007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192E">
        <w:rPr>
          <w:rFonts w:ascii="Times New Roman" w:hAnsi="Times New Roman" w:cs="Times New Roman"/>
          <w:sz w:val="28"/>
          <w:szCs w:val="28"/>
        </w:rPr>
        <w:t>М.И.Шестакова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90C79" w:rsidRDefault="00390C79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D27" w:rsidRDefault="005D7D27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5D7D27" w:rsidRDefault="005D7D27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Приложение 1 к заключению</w:t>
      </w:r>
    </w:p>
    <w:p w:rsidR="005D7D27" w:rsidRDefault="005D7D27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20.05.2016 года</w:t>
      </w:r>
    </w:p>
    <w:p w:rsidR="005D7D27" w:rsidRDefault="005D7D27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6C111D">
        <w:rPr>
          <w:rFonts w:ascii="Times New Roman" w:hAnsi="Times New Roman" w:cs="Times New Roman"/>
          <w:sz w:val="28"/>
          <w:szCs w:val="28"/>
        </w:rPr>
        <w:t>Утвержден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C111D">
        <w:rPr>
          <w:rFonts w:ascii="Times New Roman" w:hAnsi="Times New Roman" w:cs="Times New Roman"/>
          <w:sz w:val="28"/>
          <w:szCs w:val="28"/>
        </w:rPr>
        <w:t xml:space="preserve">  поселения от  11.05.2016  № 29 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(приложение 1)      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11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11D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поселения  доходам  за  1 квартал </w:t>
      </w:r>
      <w:smartTag w:uri="urn:schemas-microsoft-com:office:smarttags" w:element="metricconverter">
        <w:smartTagPr>
          <w:attr w:name="ProductID" w:val="2016 г"/>
        </w:smartTagPr>
        <w:r w:rsidRPr="006C111D">
          <w:rPr>
            <w:rFonts w:ascii="Times New Roman" w:hAnsi="Times New Roman" w:cs="Times New Roman"/>
            <w:b/>
            <w:sz w:val="28"/>
            <w:szCs w:val="28"/>
          </w:rPr>
          <w:t>2016 г</w:t>
        </w:r>
      </w:smartTag>
    </w:p>
    <w:tbl>
      <w:tblPr>
        <w:tblStyle w:val="a3"/>
        <w:tblW w:w="1044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060"/>
        <w:gridCol w:w="3780"/>
        <w:gridCol w:w="1260"/>
        <w:gridCol w:w="1440"/>
        <w:gridCol w:w="900"/>
      </w:tblGrid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</w:p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>Код</w:t>
            </w: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 xml:space="preserve">                      </w:t>
            </w:r>
          </w:p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 xml:space="preserve">Годовой </w:t>
            </w:r>
          </w:p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>план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>Фактическое</w:t>
            </w:r>
          </w:p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 xml:space="preserve">исполнение 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>% исполнения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  <w:rPr>
                <w:b/>
              </w:rPr>
            </w:pPr>
            <w:r w:rsidRPr="006C111D">
              <w:rPr>
                <w:b/>
              </w:rPr>
              <w:t>000 1 00 00000 00 0000 000</w:t>
            </w: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  <w:rPr>
                <w:b/>
              </w:rPr>
            </w:pPr>
            <w:r w:rsidRPr="006C111D">
              <w:rPr>
                <w:b/>
              </w:rPr>
              <w:t>НАЛОГОВЫЕ   ДОХОДЫ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 w:rsidRPr="006C111D">
              <w:rPr>
                <w:b/>
              </w:rPr>
              <w:t>248,0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 w:rsidRPr="006C111D">
              <w:rPr>
                <w:b/>
              </w:rPr>
              <w:t>38,9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 w:rsidRPr="006C111D">
              <w:rPr>
                <w:b/>
              </w:rPr>
              <w:t>15,7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из  них: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rPr>
                <w:sz w:val="28"/>
                <w:szCs w:val="28"/>
              </w:rPr>
            </w:pP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</w:pPr>
            <w:r w:rsidRPr="006C111D">
              <w:t>000 1 01 02000 01 0000 110</w:t>
            </w: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</w:pPr>
            <w:r w:rsidRPr="006C111D">
              <w:t>Налог на доходы физических лиц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69,0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26,1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37,8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</w:pPr>
            <w:r w:rsidRPr="006C111D">
              <w:t>000 1 06 01000 00 0000 110</w:t>
            </w: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</w:pPr>
            <w:r w:rsidRPr="006C111D">
              <w:t>Налоги на имущество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83,0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1,8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</w:pPr>
            <w:r>
              <w:t>2,2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</w:pPr>
            <w:r w:rsidRPr="006C111D">
              <w:t>000 1 06 06000 00 0000 110</w:t>
            </w: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</w:pPr>
            <w:r w:rsidRPr="006C111D">
              <w:t>Земельный  налог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74,0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11,0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14,9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</w:pPr>
            <w:r w:rsidRPr="006C111D">
              <w:t>000 1 08 00000 00 0000 110</w:t>
            </w: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</w:pPr>
            <w:r w:rsidRPr="006C111D">
              <w:t>Государственная пошлина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22,0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0,0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0,0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  <w:jc w:val="both"/>
            </w:pP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  <w:jc w:val="both"/>
            </w:pPr>
            <w:r w:rsidRPr="006C111D">
              <w:rPr>
                <w:b/>
              </w:rPr>
              <w:t>НЕНАЛОГОВЫЕ ДОХОДЫ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 w:rsidRPr="006C111D">
              <w:rPr>
                <w:b/>
              </w:rPr>
              <w:t>25,0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 w:rsidRPr="006C111D">
              <w:rPr>
                <w:b/>
              </w:rPr>
              <w:t>0,0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 w:rsidRPr="006C111D">
              <w:rPr>
                <w:b/>
              </w:rPr>
              <w:t>0,0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</w:pPr>
            <w:r w:rsidRPr="006C111D">
              <w:t>000 1 11 05035 10 0000 120</w:t>
            </w: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</w:pPr>
            <w:r w:rsidRPr="006C111D">
              <w:t>Доходы  от использования  имущества,</w:t>
            </w:r>
            <w:r>
              <w:t xml:space="preserve"> </w:t>
            </w:r>
            <w:r w:rsidRPr="006C111D">
              <w:t>находящегося в государственной  и муниципальной  собственности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25,0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0,0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0,0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</w:pP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  <w:rPr>
                <w:b/>
              </w:rPr>
            </w:pPr>
            <w:r w:rsidRPr="006C111D">
              <w:rPr>
                <w:b/>
              </w:rPr>
              <w:t>НАЛОГОВЫЕ     И</w:t>
            </w:r>
          </w:p>
          <w:p w:rsidR="006C111D" w:rsidRPr="006C111D" w:rsidRDefault="006C111D" w:rsidP="006C111D">
            <w:pPr>
              <w:contextualSpacing/>
              <w:rPr>
                <w:b/>
              </w:rPr>
            </w:pPr>
            <w:r w:rsidRPr="006C111D">
              <w:rPr>
                <w:b/>
              </w:rPr>
              <w:t xml:space="preserve">НЕНАЛОГОВЫЕ  ДОХОДЫ 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 w:rsidRPr="006C111D">
              <w:rPr>
                <w:b/>
              </w:rPr>
              <w:t>273,0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 w:rsidRPr="006C111D">
              <w:rPr>
                <w:b/>
              </w:rPr>
              <w:t>38,9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 w:rsidRPr="006C111D">
              <w:rPr>
                <w:b/>
              </w:rPr>
              <w:t>14,2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  <w:rPr>
                <w:b/>
              </w:rPr>
            </w:pPr>
            <w:r w:rsidRPr="006C111D">
              <w:rPr>
                <w:b/>
              </w:rPr>
              <w:t>000 2 00 00000 00 0000 000</w:t>
            </w: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  <w:rPr>
                <w:b/>
              </w:rPr>
            </w:pPr>
            <w:r w:rsidRPr="006C111D">
              <w:rPr>
                <w:b/>
              </w:rPr>
              <w:t>БЕЗВОЗМЕЗДНЫЕ ПОСТУПЛЕНИЯ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 w:rsidRPr="006C111D">
              <w:rPr>
                <w:b/>
              </w:rPr>
              <w:t>3785,2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 w:rsidRPr="006C111D">
              <w:rPr>
                <w:b/>
              </w:rPr>
              <w:t>896,9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 w:rsidRPr="006C111D">
              <w:rPr>
                <w:b/>
              </w:rPr>
              <w:t>23,7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</w:pP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</w:pPr>
            <w:r w:rsidRPr="006C111D">
              <w:t>В том числе: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</w:pP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</w:pP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</w:pP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</w:pPr>
            <w:r w:rsidRPr="006C111D">
              <w:t>000 2 02 01001 10 0000 151</w:t>
            </w: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</w:pPr>
            <w:r w:rsidRPr="006C111D">
              <w:t>Дотации бюджетам  поселений  на выравнивание  бюджетной  обеспеченности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2466,1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592,0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24,0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</w:pPr>
            <w:r w:rsidRPr="006C111D">
              <w:t>000 2 02 01003 10 0000 151</w:t>
            </w: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</w:pPr>
            <w:r w:rsidRPr="006C111D">
              <w:t xml:space="preserve">Дотации бюджетам  поселений на поддержку  мер  по обеспечению сбалансированности  бюджетов 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992,3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272,2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27,4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</w:pPr>
            <w:r w:rsidRPr="006C111D">
              <w:t>000 2 02 03015 10 0000 151</w:t>
            </w: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</w:pPr>
            <w:r w:rsidRPr="006C111D">
              <w:t>Субвенции бюджетам  поселений на осуществление  первичного  воинского учета на территориях,</w:t>
            </w:r>
            <w:r>
              <w:t xml:space="preserve"> </w:t>
            </w:r>
            <w:r w:rsidRPr="006C111D">
              <w:t>где отсутствуют военные  комиссариаты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91,0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22,7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25,0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</w:pPr>
            <w:r w:rsidRPr="006C111D">
              <w:t xml:space="preserve">000 2 02 03024 10 0000 151 </w:t>
            </w: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</w:pPr>
            <w:r w:rsidRPr="006C111D">
              <w:t>Субвенции  бюджетам  поселений  на  выполнение  передаваемых  полномочий  субъектов РФ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0,4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0,0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</w:pPr>
            <w:r w:rsidRPr="006C111D">
              <w:t>0,0</w:t>
            </w:r>
          </w:p>
        </w:tc>
      </w:tr>
      <w:tr w:rsidR="006C111D" w:rsidRPr="006C111D" w:rsidTr="008809CE">
        <w:tc>
          <w:tcPr>
            <w:tcW w:w="3060" w:type="dxa"/>
          </w:tcPr>
          <w:p w:rsidR="006C111D" w:rsidRPr="006C111D" w:rsidRDefault="006C111D" w:rsidP="006C111D">
            <w:pPr>
              <w:contextualSpacing/>
              <w:rPr>
                <w:b/>
              </w:rPr>
            </w:pPr>
          </w:p>
        </w:tc>
        <w:tc>
          <w:tcPr>
            <w:tcW w:w="3780" w:type="dxa"/>
          </w:tcPr>
          <w:p w:rsidR="006C111D" w:rsidRPr="006C111D" w:rsidRDefault="006C111D" w:rsidP="006C111D">
            <w:pPr>
              <w:contextualSpacing/>
              <w:rPr>
                <w:b/>
              </w:rPr>
            </w:pPr>
            <w:r w:rsidRPr="006C111D">
              <w:rPr>
                <w:b/>
              </w:rPr>
              <w:t>ВСЕГО ДОХОДОВ</w:t>
            </w:r>
          </w:p>
        </w:tc>
        <w:tc>
          <w:tcPr>
            <w:tcW w:w="126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3822,8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 w:rsidRPr="006C111D">
              <w:rPr>
                <w:b/>
              </w:rPr>
              <w:t>935,8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24,5</w:t>
            </w:r>
          </w:p>
        </w:tc>
      </w:tr>
    </w:tbl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939" w:rsidRDefault="00E25939" w:rsidP="005D7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D7D27" w:rsidRDefault="005D7D27" w:rsidP="005D7D2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25939" w:rsidRDefault="00E25939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939" w:rsidRDefault="00E25939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939" w:rsidRPr="006C111D" w:rsidRDefault="00E25939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7D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D7D2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C111D">
        <w:rPr>
          <w:rFonts w:ascii="Times New Roman" w:hAnsi="Times New Roman" w:cs="Times New Roman"/>
          <w:sz w:val="28"/>
          <w:szCs w:val="28"/>
        </w:rPr>
        <w:t>Утвержден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 администрации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2593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C111D">
        <w:rPr>
          <w:rFonts w:ascii="Times New Roman" w:hAnsi="Times New Roman" w:cs="Times New Roman"/>
          <w:sz w:val="28"/>
          <w:szCs w:val="28"/>
        </w:rPr>
        <w:t xml:space="preserve">  поселения от 11.05.2016  № 29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(приложение 2)      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11D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11D">
        <w:rPr>
          <w:rFonts w:ascii="Times New Roman" w:hAnsi="Times New Roman" w:cs="Times New Roman"/>
          <w:b/>
          <w:sz w:val="28"/>
          <w:szCs w:val="28"/>
        </w:rPr>
        <w:t>об исполнении бюджета поселения по расходам за 1 квартал 2016 года</w:t>
      </w: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860"/>
        <w:gridCol w:w="900"/>
        <w:gridCol w:w="720"/>
        <w:gridCol w:w="1440"/>
        <w:gridCol w:w="1440"/>
        <w:gridCol w:w="900"/>
      </w:tblGrid>
      <w:tr w:rsidR="006C111D" w:rsidRPr="006C111D" w:rsidTr="008809CE">
        <w:tc>
          <w:tcPr>
            <w:tcW w:w="4860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</w:p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rPr>
                <w:sz w:val="22"/>
                <w:szCs w:val="22"/>
              </w:rPr>
            </w:pPr>
          </w:p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>Раздел</w:t>
            </w:r>
          </w:p>
        </w:tc>
        <w:tc>
          <w:tcPr>
            <w:tcW w:w="720" w:type="dxa"/>
          </w:tcPr>
          <w:p w:rsidR="006C111D" w:rsidRPr="006C111D" w:rsidRDefault="006C111D" w:rsidP="006C111D">
            <w:pPr>
              <w:contextualSpacing/>
              <w:rPr>
                <w:sz w:val="22"/>
                <w:szCs w:val="22"/>
              </w:rPr>
            </w:pPr>
          </w:p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>Подраз-дел</w:t>
            </w:r>
          </w:p>
        </w:tc>
        <w:tc>
          <w:tcPr>
            <w:tcW w:w="1440" w:type="dxa"/>
          </w:tcPr>
          <w:p w:rsidR="006C111D" w:rsidRPr="006C111D" w:rsidRDefault="006C111D" w:rsidP="00A715B6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>Годовой план в соответствии с решением о бюджете поселения на 201</w:t>
            </w:r>
            <w:r w:rsidR="00A715B6">
              <w:rPr>
                <w:sz w:val="22"/>
                <w:szCs w:val="22"/>
              </w:rPr>
              <w:t>6</w:t>
            </w:r>
            <w:r w:rsidRPr="006C111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40" w:type="dxa"/>
          </w:tcPr>
          <w:p w:rsidR="006C111D" w:rsidRPr="006C111D" w:rsidRDefault="006C111D" w:rsidP="00A715B6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>Фактическое исполнение за 1 квартал 201</w:t>
            </w:r>
            <w:r w:rsidR="00A715B6">
              <w:rPr>
                <w:sz w:val="22"/>
                <w:szCs w:val="22"/>
              </w:rPr>
              <w:t>6</w:t>
            </w:r>
            <w:r w:rsidRPr="006C111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2"/>
                <w:szCs w:val="22"/>
              </w:rPr>
            </w:pPr>
            <w:r w:rsidRPr="006C111D">
              <w:rPr>
                <w:sz w:val="22"/>
                <w:szCs w:val="22"/>
              </w:rPr>
              <w:t>% исполне-ния</w:t>
            </w:r>
          </w:p>
        </w:tc>
      </w:tr>
      <w:tr w:rsidR="006C111D" w:rsidRPr="006C111D" w:rsidTr="008809CE">
        <w:tc>
          <w:tcPr>
            <w:tcW w:w="4860" w:type="dxa"/>
          </w:tcPr>
          <w:p w:rsidR="006C111D" w:rsidRPr="006C111D" w:rsidRDefault="006C111D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00" w:type="dxa"/>
          </w:tcPr>
          <w:p w:rsidR="006C111D" w:rsidRPr="006C111D" w:rsidRDefault="006C111D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01</w:t>
            </w:r>
          </w:p>
        </w:tc>
        <w:tc>
          <w:tcPr>
            <w:tcW w:w="720" w:type="dxa"/>
          </w:tcPr>
          <w:p w:rsidR="006C111D" w:rsidRPr="006C111D" w:rsidRDefault="006C111D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</w:tcPr>
          <w:p w:rsidR="006C111D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1626,3</w:t>
            </w:r>
          </w:p>
        </w:tc>
        <w:tc>
          <w:tcPr>
            <w:tcW w:w="1440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551,1</w:t>
            </w:r>
          </w:p>
        </w:tc>
        <w:tc>
          <w:tcPr>
            <w:tcW w:w="900" w:type="dxa"/>
          </w:tcPr>
          <w:p w:rsidR="006C111D" w:rsidRPr="006C111D" w:rsidRDefault="006C111D" w:rsidP="00E25939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33,</w:t>
            </w:r>
            <w:r w:rsidR="00E25939">
              <w:rPr>
                <w:sz w:val="28"/>
                <w:szCs w:val="28"/>
              </w:rPr>
              <w:t>9</w:t>
            </w:r>
          </w:p>
        </w:tc>
      </w:tr>
      <w:tr w:rsidR="00E25939" w:rsidRPr="006C111D" w:rsidTr="008809CE">
        <w:tc>
          <w:tcPr>
            <w:tcW w:w="4860" w:type="dxa"/>
          </w:tcPr>
          <w:p w:rsidR="00E25939" w:rsidRPr="006C111D" w:rsidRDefault="00E25939" w:rsidP="008809CE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Наци</w:t>
            </w:r>
            <w:r>
              <w:rPr>
                <w:sz w:val="28"/>
                <w:szCs w:val="28"/>
              </w:rPr>
              <w:t>о</w:t>
            </w:r>
            <w:r w:rsidRPr="006C111D">
              <w:rPr>
                <w:sz w:val="28"/>
                <w:szCs w:val="28"/>
              </w:rPr>
              <w:t>нальная  оборон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900" w:type="dxa"/>
          </w:tcPr>
          <w:p w:rsidR="00E25939" w:rsidRPr="006C111D" w:rsidRDefault="00E25939" w:rsidP="008809CE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02</w:t>
            </w:r>
          </w:p>
        </w:tc>
        <w:tc>
          <w:tcPr>
            <w:tcW w:w="72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</w:tcPr>
          <w:p w:rsidR="00E25939" w:rsidRPr="006C111D" w:rsidRDefault="00E25939" w:rsidP="008809CE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91,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440" w:type="dxa"/>
          </w:tcPr>
          <w:p w:rsidR="00E25939" w:rsidRPr="006C111D" w:rsidRDefault="00E25939" w:rsidP="008809CE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22,7</w:t>
            </w:r>
          </w:p>
        </w:tc>
        <w:tc>
          <w:tcPr>
            <w:tcW w:w="900" w:type="dxa"/>
          </w:tcPr>
          <w:p w:rsidR="00E25939" w:rsidRPr="006C111D" w:rsidRDefault="00E25939" w:rsidP="008809CE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25,</w:t>
            </w:r>
            <w:r>
              <w:rPr>
                <w:sz w:val="28"/>
                <w:szCs w:val="28"/>
              </w:rPr>
              <w:t>0</w:t>
            </w:r>
          </w:p>
        </w:tc>
      </w:tr>
      <w:tr w:rsidR="00E25939" w:rsidRPr="006C111D" w:rsidTr="008809CE">
        <w:tc>
          <w:tcPr>
            <w:tcW w:w="486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03</w:t>
            </w:r>
          </w:p>
        </w:tc>
        <w:tc>
          <w:tcPr>
            <w:tcW w:w="72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29,1</w:t>
            </w:r>
          </w:p>
        </w:tc>
        <w:tc>
          <w:tcPr>
            <w:tcW w:w="144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0,0</w:t>
            </w:r>
          </w:p>
        </w:tc>
      </w:tr>
      <w:tr w:rsidR="00E25939" w:rsidRPr="006C111D" w:rsidTr="008809CE">
        <w:tc>
          <w:tcPr>
            <w:tcW w:w="486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05</w:t>
            </w:r>
          </w:p>
        </w:tc>
        <w:tc>
          <w:tcPr>
            <w:tcW w:w="72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349,5</w:t>
            </w:r>
          </w:p>
        </w:tc>
        <w:tc>
          <w:tcPr>
            <w:tcW w:w="144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42,3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12,0</w:t>
            </w:r>
          </w:p>
        </w:tc>
      </w:tr>
      <w:tr w:rsidR="00E25939" w:rsidRPr="006C111D" w:rsidTr="008809CE">
        <w:tc>
          <w:tcPr>
            <w:tcW w:w="486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Образование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07</w:t>
            </w:r>
          </w:p>
        </w:tc>
        <w:tc>
          <w:tcPr>
            <w:tcW w:w="72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2,4</w:t>
            </w:r>
          </w:p>
        </w:tc>
        <w:tc>
          <w:tcPr>
            <w:tcW w:w="144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0,0</w:t>
            </w:r>
          </w:p>
        </w:tc>
      </w:tr>
      <w:tr w:rsidR="00E25939" w:rsidRPr="006C111D" w:rsidTr="008809CE">
        <w:tc>
          <w:tcPr>
            <w:tcW w:w="486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Культура,</w:t>
            </w:r>
            <w:r>
              <w:rPr>
                <w:sz w:val="28"/>
                <w:szCs w:val="28"/>
              </w:rPr>
              <w:t xml:space="preserve"> </w:t>
            </w:r>
            <w:r w:rsidRPr="006C111D">
              <w:rPr>
                <w:sz w:val="28"/>
                <w:szCs w:val="28"/>
              </w:rPr>
              <w:t>кинематография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08</w:t>
            </w:r>
          </w:p>
        </w:tc>
        <w:tc>
          <w:tcPr>
            <w:tcW w:w="72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920,6</w:t>
            </w:r>
          </w:p>
        </w:tc>
        <w:tc>
          <w:tcPr>
            <w:tcW w:w="144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131,4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14,3</w:t>
            </w:r>
          </w:p>
        </w:tc>
      </w:tr>
      <w:tr w:rsidR="00E25939" w:rsidRPr="006C111D" w:rsidTr="008809CE">
        <w:tc>
          <w:tcPr>
            <w:tcW w:w="486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121,7</w:t>
            </w:r>
          </w:p>
        </w:tc>
        <w:tc>
          <w:tcPr>
            <w:tcW w:w="144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0,0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0,0</w:t>
            </w:r>
          </w:p>
        </w:tc>
      </w:tr>
      <w:tr w:rsidR="00E25939" w:rsidRPr="006C111D" w:rsidTr="008809CE">
        <w:tc>
          <w:tcPr>
            <w:tcW w:w="486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:rsidR="00E25939" w:rsidRPr="006C111D" w:rsidRDefault="00E25939" w:rsidP="006C111D">
            <w:pPr>
              <w:contextualSpacing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00</w:t>
            </w:r>
          </w:p>
        </w:tc>
        <w:tc>
          <w:tcPr>
            <w:tcW w:w="144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682,2</w:t>
            </w:r>
          </w:p>
        </w:tc>
        <w:tc>
          <w:tcPr>
            <w:tcW w:w="144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223,5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32,8</w:t>
            </w:r>
          </w:p>
        </w:tc>
      </w:tr>
      <w:tr w:rsidR="00E25939" w:rsidRPr="006C111D" w:rsidTr="008809CE">
        <w:tc>
          <w:tcPr>
            <w:tcW w:w="4860" w:type="dxa"/>
          </w:tcPr>
          <w:p w:rsidR="00E25939" w:rsidRPr="006C111D" w:rsidRDefault="00E25939" w:rsidP="006C111D">
            <w:pPr>
              <w:contextualSpacing/>
              <w:rPr>
                <w:b/>
                <w:sz w:val="28"/>
                <w:szCs w:val="28"/>
              </w:rPr>
            </w:pPr>
            <w:r w:rsidRPr="006C111D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E25939" w:rsidRPr="006C111D" w:rsidRDefault="00E25939" w:rsidP="006C111D">
            <w:pPr>
              <w:contextualSpacing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E25939" w:rsidRPr="006C111D" w:rsidRDefault="00E25939" w:rsidP="00E25939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3822,8</w:t>
            </w:r>
          </w:p>
        </w:tc>
        <w:tc>
          <w:tcPr>
            <w:tcW w:w="1440" w:type="dxa"/>
          </w:tcPr>
          <w:p w:rsidR="00E25939" w:rsidRPr="006C111D" w:rsidRDefault="00E25939" w:rsidP="006C111D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6C111D">
              <w:rPr>
                <w:b/>
                <w:sz w:val="28"/>
                <w:szCs w:val="28"/>
              </w:rPr>
              <w:t>971,0</w:t>
            </w:r>
          </w:p>
        </w:tc>
        <w:tc>
          <w:tcPr>
            <w:tcW w:w="900" w:type="dxa"/>
          </w:tcPr>
          <w:p w:rsidR="00E25939" w:rsidRPr="006C111D" w:rsidRDefault="00E25939" w:rsidP="006C111D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25,4</w:t>
            </w:r>
          </w:p>
        </w:tc>
      </w:tr>
    </w:tbl>
    <w:p w:rsidR="006C111D" w:rsidRPr="006C111D" w:rsidRDefault="006C111D" w:rsidP="006C111D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7D27" w:rsidRDefault="005D7D27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D7D27" w:rsidRPr="006C111D" w:rsidRDefault="005D7D27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6C111D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района от 11.05.2016 г. № 29</w:t>
      </w: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(приложение 3)</w:t>
      </w:r>
    </w:p>
    <w:p w:rsidR="006C111D" w:rsidRPr="006C111D" w:rsidRDefault="006C111D" w:rsidP="006C11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>ДЕФИЦИТ (ПРОФИЦИТ) БЮДЖЕТА  ПОСЕЛЕНИЯ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2852"/>
        <w:gridCol w:w="3191"/>
      </w:tblGrid>
      <w:tr w:rsidR="006C111D" w:rsidRPr="006C111D" w:rsidTr="008809CE">
        <w:tc>
          <w:tcPr>
            <w:tcW w:w="3528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852" w:type="dxa"/>
          </w:tcPr>
          <w:p w:rsidR="006C111D" w:rsidRPr="006C111D" w:rsidRDefault="006C111D" w:rsidP="00490711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 xml:space="preserve">Годовой план на текущий финансовый год в соответствии с решением </w:t>
            </w:r>
            <w:r w:rsidR="00490711">
              <w:rPr>
                <w:sz w:val="28"/>
                <w:szCs w:val="28"/>
              </w:rPr>
              <w:t>Совета поселения</w:t>
            </w:r>
          </w:p>
        </w:tc>
        <w:tc>
          <w:tcPr>
            <w:tcW w:w="3191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Фактическое исполнение за отчетный период</w:t>
            </w:r>
          </w:p>
        </w:tc>
      </w:tr>
      <w:tr w:rsidR="006C111D" w:rsidRPr="006C111D" w:rsidTr="008809CE">
        <w:tc>
          <w:tcPr>
            <w:tcW w:w="3528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Дефицит (-), профицит (+) бюджета района</w:t>
            </w:r>
          </w:p>
        </w:tc>
        <w:tc>
          <w:tcPr>
            <w:tcW w:w="2852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0,0</w:t>
            </w:r>
          </w:p>
        </w:tc>
        <w:tc>
          <w:tcPr>
            <w:tcW w:w="3191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35,2</w:t>
            </w:r>
          </w:p>
        </w:tc>
      </w:tr>
    </w:tbl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11D"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поселения и работников </w:t>
      </w:r>
      <w:r w:rsidR="00E25939">
        <w:rPr>
          <w:rFonts w:ascii="Times New Roman" w:hAnsi="Times New Roman" w:cs="Times New Roman"/>
          <w:sz w:val="28"/>
          <w:szCs w:val="28"/>
        </w:rPr>
        <w:t xml:space="preserve">  </w:t>
      </w:r>
      <w:r w:rsidRPr="006C111D">
        <w:rPr>
          <w:rFonts w:ascii="Times New Roman" w:hAnsi="Times New Roman" w:cs="Times New Roman"/>
          <w:sz w:val="28"/>
          <w:szCs w:val="28"/>
        </w:rPr>
        <w:t>муниципальных учреждений  с указанием фактических затрат на их денежное содержание</w:t>
      </w:r>
    </w:p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528"/>
        <w:gridCol w:w="2852"/>
        <w:gridCol w:w="3191"/>
      </w:tblGrid>
      <w:tr w:rsidR="006C111D" w:rsidRPr="006C111D" w:rsidTr="008809CE">
        <w:tc>
          <w:tcPr>
            <w:tcW w:w="3528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Категория</w:t>
            </w:r>
          </w:p>
        </w:tc>
        <w:tc>
          <w:tcPr>
            <w:tcW w:w="2852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Численность,</w:t>
            </w:r>
          </w:p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3191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Фактические затраты на их денежное содержание, тыс.руб.</w:t>
            </w:r>
          </w:p>
        </w:tc>
      </w:tr>
      <w:tr w:rsidR="006C111D" w:rsidRPr="006C111D" w:rsidTr="008809CE">
        <w:tc>
          <w:tcPr>
            <w:tcW w:w="3528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Муниципальный служащие района</w:t>
            </w:r>
          </w:p>
        </w:tc>
        <w:tc>
          <w:tcPr>
            <w:tcW w:w="2852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263,9</w:t>
            </w:r>
          </w:p>
        </w:tc>
      </w:tr>
      <w:tr w:rsidR="006C111D" w:rsidRPr="006C111D" w:rsidTr="008809CE">
        <w:tc>
          <w:tcPr>
            <w:tcW w:w="3528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852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11</w:t>
            </w:r>
          </w:p>
        </w:tc>
        <w:tc>
          <w:tcPr>
            <w:tcW w:w="3191" w:type="dxa"/>
          </w:tcPr>
          <w:p w:rsidR="006C111D" w:rsidRPr="006C111D" w:rsidRDefault="006C111D" w:rsidP="006C111D">
            <w:pPr>
              <w:contextualSpacing/>
              <w:jc w:val="center"/>
              <w:rPr>
                <w:sz w:val="28"/>
                <w:szCs w:val="28"/>
              </w:rPr>
            </w:pPr>
            <w:r w:rsidRPr="006C111D">
              <w:rPr>
                <w:sz w:val="28"/>
                <w:szCs w:val="28"/>
              </w:rPr>
              <w:t>254,9</w:t>
            </w:r>
          </w:p>
        </w:tc>
      </w:tr>
    </w:tbl>
    <w:p w:rsidR="006C111D" w:rsidRPr="006C111D" w:rsidRDefault="006C111D" w:rsidP="006C11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40246" w:rsidRPr="006C111D" w:rsidRDefault="00940246" w:rsidP="006C111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40246" w:rsidRPr="006C111D" w:rsidSect="00390C79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EB" w:rsidRDefault="00F71CEB" w:rsidP="00A136A8">
      <w:pPr>
        <w:spacing w:after="0" w:line="240" w:lineRule="auto"/>
      </w:pPr>
      <w:r>
        <w:separator/>
      </w:r>
    </w:p>
  </w:endnote>
  <w:endnote w:type="continuationSeparator" w:id="0">
    <w:p w:rsidR="00F71CEB" w:rsidRDefault="00F71CEB" w:rsidP="00A1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EB" w:rsidRDefault="00F71CEB" w:rsidP="00A136A8">
      <w:pPr>
        <w:spacing w:after="0" w:line="240" w:lineRule="auto"/>
      </w:pPr>
      <w:r>
        <w:separator/>
      </w:r>
    </w:p>
  </w:footnote>
  <w:footnote w:type="continuationSeparator" w:id="0">
    <w:p w:rsidR="00F71CEB" w:rsidRDefault="00F71CEB" w:rsidP="00A1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3F" w:rsidRDefault="00AA4B3F" w:rsidP="00390C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4B3F" w:rsidRDefault="00AA4B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B3F" w:rsidRDefault="00AA4B3F" w:rsidP="00390C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F0644">
      <w:rPr>
        <w:rStyle w:val="a8"/>
        <w:noProof/>
      </w:rPr>
      <w:t>18</w:t>
    </w:r>
    <w:r>
      <w:rPr>
        <w:rStyle w:val="a8"/>
      </w:rPr>
      <w:fldChar w:fldCharType="end"/>
    </w:r>
  </w:p>
  <w:p w:rsidR="00AA4B3F" w:rsidRDefault="00AA4B3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2E"/>
    <w:rsid w:val="00046315"/>
    <w:rsid w:val="000726C8"/>
    <w:rsid w:val="000A100F"/>
    <w:rsid w:val="000C7163"/>
    <w:rsid w:val="00163F2A"/>
    <w:rsid w:val="001747DD"/>
    <w:rsid w:val="0019173A"/>
    <w:rsid w:val="001A0077"/>
    <w:rsid w:val="00201E23"/>
    <w:rsid w:val="00202417"/>
    <w:rsid w:val="002677E6"/>
    <w:rsid w:val="002B2016"/>
    <w:rsid w:val="00305F91"/>
    <w:rsid w:val="0031301D"/>
    <w:rsid w:val="0036750B"/>
    <w:rsid w:val="0038600E"/>
    <w:rsid w:val="00390C79"/>
    <w:rsid w:val="003D1EF9"/>
    <w:rsid w:val="003F07EA"/>
    <w:rsid w:val="00447797"/>
    <w:rsid w:val="00476845"/>
    <w:rsid w:val="00490711"/>
    <w:rsid w:val="004C1E53"/>
    <w:rsid w:val="004C5FEB"/>
    <w:rsid w:val="004D1A68"/>
    <w:rsid w:val="00572AD0"/>
    <w:rsid w:val="00573488"/>
    <w:rsid w:val="00583DDD"/>
    <w:rsid w:val="005B73FA"/>
    <w:rsid w:val="005C2B48"/>
    <w:rsid w:val="005D7D27"/>
    <w:rsid w:val="005F0644"/>
    <w:rsid w:val="006808A9"/>
    <w:rsid w:val="00697F47"/>
    <w:rsid w:val="006A7D49"/>
    <w:rsid w:val="006C111D"/>
    <w:rsid w:val="006C192E"/>
    <w:rsid w:val="006C4D36"/>
    <w:rsid w:val="006F48BA"/>
    <w:rsid w:val="00704D62"/>
    <w:rsid w:val="00712A69"/>
    <w:rsid w:val="00755149"/>
    <w:rsid w:val="00767BF3"/>
    <w:rsid w:val="007A238E"/>
    <w:rsid w:val="007C6236"/>
    <w:rsid w:val="00816367"/>
    <w:rsid w:val="00845E77"/>
    <w:rsid w:val="00857C8B"/>
    <w:rsid w:val="008809CE"/>
    <w:rsid w:val="008916A7"/>
    <w:rsid w:val="008C4083"/>
    <w:rsid w:val="00940246"/>
    <w:rsid w:val="009B0A3B"/>
    <w:rsid w:val="009C4395"/>
    <w:rsid w:val="009E58D8"/>
    <w:rsid w:val="00A032BF"/>
    <w:rsid w:val="00A136A8"/>
    <w:rsid w:val="00A22597"/>
    <w:rsid w:val="00A715B6"/>
    <w:rsid w:val="00A84D66"/>
    <w:rsid w:val="00AA4B3F"/>
    <w:rsid w:val="00B23027"/>
    <w:rsid w:val="00B36491"/>
    <w:rsid w:val="00B87606"/>
    <w:rsid w:val="00BA4FA5"/>
    <w:rsid w:val="00BF0986"/>
    <w:rsid w:val="00BF7F3C"/>
    <w:rsid w:val="00C51475"/>
    <w:rsid w:val="00C63429"/>
    <w:rsid w:val="00CF3210"/>
    <w:rsid w:val="00D671E2"/>
    <w:rsid w:val="00D82570"/>
    <w:rsid w:val="00D858DD"/>
    <w:rsid w:val="00E25939"/>
    <w:rsid w:val="00E5055F"/>
    <w:rsid w:val="00EA53DB"/>
    <w:rsid w:val="00F01D1B"/>
    <w:rsid w:val="00F37EB6"/>
    <w:rsid w:val="00F5615E"/>
    <w:rsid w:val="00F71CEB"/>
    <w:rsid w:val="00FD5F32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C19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C1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C1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6C192E"/>
  </w:style>
  <w:style w:type="paragraph" w:customStyle="1" w:styleId="ConsPlusTitle">
    <w:name w:val="ConsPlusTitle"/>
    <w:rsid w:val="006C1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6C19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6C192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6C192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19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92E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6C192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C192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C1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C19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C1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C1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6C192E"/>
  </w:style>
  <w:style w:type="paragraph" w:customStyle="1" w:styleId="ConsPlusTitle">
    <w:name w:val="ConsPlusTitle"/>
    <w:rsid w:val="006C1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6C19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6C192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6C192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19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92E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6C192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C192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C1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066074457887477E-2"/>
          <c:y val="3.4314110808669952E-2"/>
          <c:w val="0.93700650384192197"/>
          <c:h val="0.624009072424868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1 квартал 2015 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2.1352313167259874E-2"/>
                  <c:y val="-4.6136101499422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сдачи в аренду муниципального имущества</c:v>
                </c:pt>
              </c:strCache>
            </c:strRef>
          </c:cat>
          <c:val>
            <c:numRef>
              <c:f>Лист1!$B$5:$B$11</c:f>
              <c:numCache>
                <c:formatCode>General</c:formatCode>
                <c:ptCount val="7"/>
                <c:pt idx="0">
                  <c:v>14.3</c:v>
                </c:pt>
                <c:pt idx="1">
                  <c:v>67.8</c:v>
                </c:pt>
                <c:pt idx="2">
                  <c:v>1.6</c:v>
                </c:pt>
                <c:pt idx="3">
                  <c:v>14.7</c:v>
                </c:pt>
                <c:pt idx="4">
                  <c:v>2.6</c:v>
                </c:pt>
                <c:pt idx="5">
                  <c:v>24.7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1 квартал 2016года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4234875444839899E-2"/>
                  <c:y val="-2.30680507497115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Лист1!$A$5:$A$11</c:f>
              <c:strCache>
                <c:ptCount val="6"/>
                <c:pt idx="0">
                  <c:v>НДФЛ</c:v>
                </c:pt>
                <c:pt idx="1">
                  <c:v>доходы от уплаты акцизов</c:v>
                </c:pt>
                <c:pt idx="2">
                  <c:v>налог на имущество физ.лиц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сдачи в аренду муниципального имущества</c:v>
                </c:pt>
              </c:strCache>
            </c:strRef>
          </c:cat>
          <c:val>
            <c:numRef>
              <c:f>Лист1!$C$5:$C$11</c:f>
              <c:numCache>
                <c:formatCode>General</c:formatCode>
                <c:ptCount val="7"/>
                <c:pt idx="0">
                  <c:v>26.1</c:v>
                </c:pt>
                <c:pt idx="1">
                  <c:v>0</c:v>
                </c:pt>
                <c:pt idx="2">
                  <c:v>1.8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77947264"/>
        <c:axId val="77948800"/>
        <c:axId val="0"/>
      </c:bar3DChart>
      <c:catAx>
        <c:axId val="77947264"/>
        <c:scaling>
          <c:orientation val="minMax"/>
        </c:scaling>
        <c:delete val="0"/>
        <c:axPos val="b"/>
        <c:majorTickMark val="out"/>
        <c:minorTickMark val="none"/>
        <c:tickLblPos val="nextTo"/>
        <c:crossAx val="77948800"/>
        <c:crosses val="autoZero"/>
        <c:auto val="1"/>
        <c:lblAlgn val="ctr"/>
        <c:lblOffset val="100"/>
        <c:noMultiLvlLbl val="0"/>
      </c:catAx>
      <c:valAx>
        <c:axId val="7794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9472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073000234908396"/>
          <c:y val="0.8273535556580367"/>
          <c:w val="0.20702648871910112"/>
          <c:h val="0.13650154350468638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Лист1!$B$34</c:f>
              <c:strCache>
                <c:ptCount val="1"/>
                <c:pt idx="0">
                  <c:v>1 квартал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Лист1!$B$35:$B$37</c:f>
              <c:numCache>
                <c:formatCode>General</c:formatCode>
                <c:ptCount val="3"/>
                <c:pt idx="0">
                  <c:v>864.2</c:v>
                </c:pt>
                <c:pt idx="1">
                  <c:v>22</c:v>
                </c:pt>
                <c:pt idx="2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Лист1!$C$34</c:f>
              <c:strCache>
                <c:ptCount val="1"/>
                <c:pt idx="0">
                  <c:v>1 квартал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Лист1!$A$35:$A$37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Лист1!$C$35:$C$37</c:f>
              <c:numCache>
                <c:formatCode>General</c:formatCode>
                <c:ptCount val="3"/>
                <c:pt idx="0">
                  <c:v>768.3</c:v>
                </c:pt>
                <c:pt idx="1">
                  <c:v>17.100000000000001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150528"/>
        <c:axId val="80152064"/>
        <c:axId val="0"/>
      </c:bar3DChart>
      <c:catAx>
        <c:axId val="80150528"/>
        <c:scaling>
          <c:orientation val="minMax"/>
        </c:scaling>
        <c:delete val="0"/>
        <c:axPos val="l"/>
        <c:majorTickMark val="out"/>
        <c:minorTickMark val="none"/>
        <c:tickLblPos val="nextTo"/>
        <c:crossAx val="80152064"/>
        <c:crosses val="autoZero"/>
        <c:auto val="1"/>
        <c:lblAlgn val="ctr"/>
        <c:lblOffset val="100"/>
        <c:noMultiLvlLbl val="0"/>
      </c:catAx>
      <c:valAx>
        <c:axId val="80152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0150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Лист1!$B$189</c:f>
              <c:strCache>
                <c:ptCount val="1"/>
                <c:pt idx="0">
                  <c:v>1 квартал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Лист1!$B$190:$B$198</c:f>
              <c:numCache>
                <c:formatCode>General</c:formatCode>
                <c:ptCount val="9"/>
                <c:pt idx="0">
                  <c:v>567.70000000000005</c:v>
                </c:pt>
                <c:pt idx="1">
                  <c:v>17.100000000000001</c:v>
                </c:pt>
                <c:pt idx="2">
                  <c:v>0</c:v>
                </c:pt>
                <c:pt idx="3">
                  <c:v>0</c:v>
                </c:pt>
                <c:pt idx="4">
                  <c:v>72.900000000000006</c:v>
                </c:pt>
                <c:pt idx="5">
                  <c:v>0</c:v>
                </c:pt>
                <c:pt idx="6">
                  <c:v>247.6</c:v>
                </c:pt>
                <c:pt idx="7">
                  <c:v>0</c:v>
                </c:pt>
                <c:pt idx="8">
                  <c:v>240.9</c:v>
                </c:pt>
              </c:numCache>
            </c:numRef>
          </c:val>
        </c:ser>
        <c:ser>
          <c:idx val="1"/>
          <c:order val="1"/>
          <c:tx>
            <c:strRef>
              <c:f>Лист1!$C$189</c:f>
              <c:strCache>
                <c:ptCount val="1"/>
                <c:pt idx="0">
                  <c:v>1 квартал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Лист1!$A$190:$A$198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Лист1!$C$190:$C$198</c:f>
              <c:numCache>
                <c:formatCode>General</c:formatCode>
                <c:ptCount val="9"/>
                <c:pt idx="0">
                  <c:v>551.1</c:v>
                </c:pt>
                <c:pt idx="1">
                  <c:v>22.7</c:v>
                </c:pt>
                <c:pt idx="2">
                  <c:v>0</c:v>
                </c:pt>
                <c:pt idx="3">
                  <c:v>0</c:v>
                </c:pt>
                <c:pt idx="4">
                  <c:v>42.3</c:v>
                </c:pt>
                <c:pt idx="5">
                  <c:v>0</c:v>
                </c:pt>
                <c:pt idx="6">
                  <c:v>131.4</c:v>
                </c:pt>
                <c:pt idx="7">
                  <c:v>0</c:v>
                </c:pt>
                <c:pt idx="8">
                  <c:v>223.5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179584"/>
        <c:axId val="80181120"/>
        <c:axId val="0"/>
      </c:bar3DChart>
      <c:catAx>
        <c:axId val="80179584"/>
        <c:scaling>
          <c:orientation val="minMax"/>
        </c:scaling>
        <c:delete val="0"/>
        <c:axPos val="l"/>
        <c:majorTickMark val="out"/>
        <c:minorTickMark val="none"/>
        <c:tickLblPos val="nextTo"/>
        <c:crossAx val="80181120"/>
        <c:crosses val="autoZero"/>
        <c:auto val="1"/>
        <c:lblAlgn val="ctr"/>
        <c:lblOffset val="100"/>
        <c:noMultiLvlLbl val="0"/>
      </c:catAx>
      <c:valAx>
        <c:axId val="8018112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80179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151531058617789"/>
          <c:y val="3.6653178769320602E-2"/>
          <c:w val="0.29570691163604595"/>
          <c:h val="0.209101049868766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3800306211723553E-2"/>
          <c:y val="0"/>
          <c:w val="0.95619964304462102"/>
          <c:h val="1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 b="1"/>
                      <a:t>56,8% Общегосударственные вопросы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2061312335958023"/>
                  <c:y val="-4.718771797360950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  <a:r>
                      <a:rPr lang="ru-RU"/>
                      <a:t>%</a:t>
                    </a:r>
                    <a:r>
                      <a:rPr lang="ru-RU" baseline="0"/>
                      <a:t> Национальная оборона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delete val="1"/>
            </c:dLbl>
            <c:dLbl>
              <c:idx val="3"/>
              <c:layout>
                <c:manualLayout>
                  <c:x val="8.1908745406824163E-2"/>
                  <c:y val="-0.14168367310250587"/>
                </c:manualLayout>
              </c:layout>
              <c:tx>
                <c:rich>
                  <a:bodyPr/>
                  <a:lstStyle/>
                  <a:p>
                    <a:r>
                      <a:rPr lang="ru-RU" b="1"/>
                      <a:t>4,3% ЖКХ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 b="1"/>
                      <a:t>13,5% Культура и кинематография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 b="1"/>
                      <a:t>23,1%  Физическая культура и спорт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Лист1!$A$63:$A$68</c:f>
              <c:strCache>
                <c:ptCount val="6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Культура и кинематография</c:v>
                </c:pt>
                <c:pt idx="5">
                  <c:v>Физическая культура и спорт</c:v>
                </c:pt>
              </c:strCache>
            </c:strRef>
          </c:cat>
          <c:val>
            <c:numRef>
              <c:f>Лист1!$B$63:$B$68</c:f>
              <c:numCache>
                <c:formatCode>General</c:formatCode>
                <c:ptCount val="6"/>
                <c:pt idx="0">
                  <c:v>56.8</c:v>
                </c:pt>
                <c:pt idx="1">
                  <c:v>2.2999999999999998</c:v>
                </c:pt>
                <c:pt idx="2">
                  <c:v>0</c:v>
                </c:pt>
                <c:pt idx="3">
                  <c:v>4.3</c:v>
                </c:pt>
                <c:pt idx="4">
                  <c:v>13.5</c:v>
                </c:pt>
                <c:pt idx="5">
                  <c:v>23.1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4B79E-8198-4008-BC46-D255806B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4880</Words>
  <Characters>27816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2016-05-23T05:44:00Z</cp:lastPrinted>
  <dcterms:created xsi:type="dcterms:W3CDTF">2016-06-20T06:05:00Z</dcterms:created>
  <dcterms:modified xsi:type="dcterms:W3CDTF">2016-06-20T06:05:00Z</dcterms:modified>
</cp:coreProperties>
</file>