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D7" w:rsidRPr="00F55FD7" w:rsidRDefault="00F55FD7" w:rsidP="00F55FD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5FD7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FD7" w:rsidRPr="00F55FD7" w:rsidRDefault="00F55FD7" w:rsidP="00F55FD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FD7" w:rsidRPr="00F55FD7" w:rsidRDefault="00F55FD7" w:rsidP="00F55FD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D7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F55FD7" w:rsidRPr="00F55FD7" w:rsidRDefault="00F55FD7" w:rsidP="00F55FD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D7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</w:p>
    <w:p w:rsidR="00F55FD7" w:rsidRPr="00F55FD7" w:rsidRDefault="00F55FD7" w:rsidP="00F55FD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D7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F55FD7" w:rsidRPr="00F55FD7" w:rsidRDefault="00F55FD7" w:rsidP="00F55FD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FD7" w:rsidRPr="00F55FD7" w:rsidRDefault="00F55FD7" w:rsidP="00F55FD7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F55FD7">
        <w:rPr>
          <w:rFonts w:ascii="Times New Roman" w:hAnsi="Times New Roman" w:cs="Times New Roman"/>
          <w:sz w:val="26"/>
          <w:szCs w:val="26"/>
        </w:rPr>
        <w:t>УТВЕРЖДАЮ</w:t>
      </w:r>
    </w:p>
    <w:p w:rsidR="00F55FD7" w:rsidRPr="00F55FD7" w:rsidRDefault="00F55FD7" w:rsidP="00F55FD7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F55FD7">
        <w:rPr>
          <w:rFonts w:ascii="Times New Roman" w:hAnsi="Times New Roman" w:cs="Times New Roman"/>
          <w:sz w:val="26"/>
          <w:szCs w:val="26"/>
        </w:rPr>
        <w:t>Председатель ревизионной комиссии</w:t>
      </w:r>
    </w:p>
    <w:p w:rsidR="00F55FD7" w:rsidRPr="00F55FD7" w:rsidRDefault="00F55FD7" w:rsidP="00F55FD7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F55FD7">
        <w:rPr>
          <w:rFonts w:ascii="Times New Roman" w:hAnsi="Times New Roman" w:cs="Times New Roman"/>
          <w:sz w:val="26"/>
          <w:szCs w:val="26"/>
        </w:rPr>
        <w:t>Представительного Собрания района</w:t>
      </w:r>
    </w:p>
    <w:p w:rsidR="00F55FD7" w:rsidRPr="00F55FD7" w:rsidRDefault="00F55FD7" w:rsidP="00F55FD7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F55FD7">
        <w:rPr>
          <w:rFonts w:ascii="Times New Roman" w:hAnsi="Times New Roman" w:cs="Times New Roman"/>
          <w:sz w:val="26"/>
          <w:szCs w:val="26"/>
        </w:rPr>
        <w:t xml:space="preserve">____________________О.А.Дудина </w:t>
      </w:r>
    </w:p>
    <w:p w:rsidR="00F55FD7" w:rsidRPr="00F55FD7" w:rsidRDefault="00F55FD7" w:rsidP="00F55FD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FD7" w:rsidRPr="00F55FD7" w:rsidRDefault="00F55FD7" w:rsidP="00F55FD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55FD7" w:rsidRPr="00F55FD7" w:rsidRDefault="00F55FD7" w:rsidP="00F55FD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55FD7" w:rsidRPr="00F55FD7" w:rsidRDefault="00F55FD7" w:rsidP="00F55FD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55FD7" w:rsidRPr="00F55FD7" w:rsidRDefault="00F55FD7" w:rsidP="00F55F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5FD7">
        <w:rPr>
          <w:rFonts w:ascii="Times New Roman" w:hAnsi="Times New Roman" w:cs="Times New Roman"/>
          <w:b/>
          <w:sz w:val="32"/>
          <w:szCs w:val="32"/>
        </w:rPr>
        <w:t xml:space="preserve"> ЗАКЛЮЧЕНИЕ</w:t>
      </w:r>
    </w:p>
    <w:p w:rsidR="00F55FD7" w:rsidRPr="00F55FD7" w:rsidRDefault="00F55FD7" w:rsidP="00F55F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FD7" w:rsidRPr="00F55FD7" w:rsidRDefault="00F55FD7" w:rsidP="00F55F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на отчет об исполнении бюджета поселения </w:t>
      </w:r>
      <w:r>
        <w:rPr>
          <w:rFonts w:ascii="Times New Roman" w:hAnsi="Times New Roman" w:cs="Times New Roman"/>
          <w:sz w:val="28"/>
          <w:szCs w:val="28"/>
        </w:rPr>
        <w:t>Шейбухтовское</w:t>
      </w:r>
    </w:p>
    <w:p w:rsidR="00F55FD7" w:rsidRPr="00F55FD7" w:rsidRDefault="00F55FD7" w:rsidP="00F55F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за 1 квартал   2016 года</w:t>
      </w:r>
    </w:p>
    <w:p w:rsidR="00F55FD7" w:rsidRPr="00F55FD7" w:rsidRDefault="00F55FD7" w:rsidP="00F55F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5FD7" w:rsidRPr="00F55FD7" w:rsidRDefault="00F55FD7" w:rsidP="00F55FD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«</w:t>
      </w:r>
      <w:r w:rsidR="00DA5BB1">
        <w:rPr>
          <w:rFonts w:ascii="Times New Roman" w:hAnsi="Times New Roman" w:cs="Times New Roman"/>
          <w:sz w:val="28"/>
          <w:szCs w:val="28"/>
        </w:rPr>
        <w:t>17</w:t>
      </w:r>
      <w:r w:rsidRPr="00F55FD7">
        <w:rPr>
          <w:rFonts w:ascii="Times New Roman" w:hAnsi="Times New Roman" w:cs="Times New Roman"/>
          <w:sz w:val="28"/>
          <w:szCs w:val="28"/>
        </w:rPr>
        <w:t xml:space="preserve"> » мая  2016 г.                                                                                  </w:t>
      </w:r>
    </w:p>
    <w:p w:rsidR="00F55FD7" w:rsidRP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5FD7" w:rsidRP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ab/>
      </w:r>
      <w:r w:rsidRPr="00F55FD7">
        <w:rPr>
          <w:rFonts w:ascii="Times New Roman" w:hAnsi="Times New Roman" w:cs="Times New Roman"/>
          <w:sz w:val="28"/>
          <w:szCs w:val="28"/>
        </w:rPr>
        <w:tab/>
        <w:t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соответствии с</w:t>
      </w:r>
      <w:r w:rsidR="00820552"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 xml:space="preserve">пунктом 8 раздела « Экспертно-аналитические мероприятия»  Плана работы  ревизионной комиссии </w:t>
      </w:r>
      <w:r w:rsidRPr="00F55FD7">
        <w:rPr>
          <w:rFonts w:ascii="Times New Roman" w:hAnsi="Times New Roman" w:cs="Times New Roman"/>
          <w:sz w:val="28"/>
          <w:szCs w:val="28"/>
        </w:rPr>
        <w:tab/>
        <w:t>Представительного Собрания района на 2016 год, ревизионной комиссией проведен анализ исполнения бюджета поселения  за 1 квартал  2016 года.</w:t>
      </w:r>
    </w:p>
    <w:p w:rsidR="00F55FD7" w:rsidRP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ab/>
        <w:t>Отчет об исполнении бюджета поселения за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 xml:space="preserve">квартал 2016 года утвержден постановлением администрации  поселения </w:t>
      </w:r>
      <w:r>
        <w:rPr>
          <w:rFonts w:ascii="Times New Roman" w:hAnsi="Times New Roman" w:cs="Times New Roman"/>
          <w:sz w:val="28"/>
          <w:szCs w:val="28"/>
        </w:rPr>
        <w:t>Шейбухтовское</w:t>
      </w:r>
      <w:r w:rsidRPr="00F55FD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11 мая </w:t>
      </w:r>
      <w:r w:rsidRPr="00F55FD7">
        <w:rPr>
          <w:rFonts w:ascii="Times New Roman" w:hAnsi="Times New Roman" w:cs="Times New Roman"/>
          <w:sz w:val="28"/>
          <w:szCs w:val="28"/>
        </w:rPr>
        <w:t>2016 года №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55FD7">
        <w:rPr>
          <w:rFonts w:ascii="Times New Roman" w:hAnsi="Times New Roman" w:cs="Times New Roman"/>
          <w:sz w:val="28"/>
          <w:szCs w:val="28"/>
        </w:rPr>
        <w:t>.</w:t>
      </w:r>
    </w:p>
    <w:p w:rsidR="00F55FD7" w:rsidRP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F55FD7" w:rsidRP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5FD7">
        <w:rPr>
          <w:rFonts w:ascii="Times New Roman" w:hAnsi="Times New Roman" w:cs="Times New Roman"/>
          <w:sz w:val="28"/>
          <w:szCs w:val="28"/>
        </w:rPr>
        <w:t>сопоставление исполненных показателей бюджета поселения  за 1 квартал 2016 года с годовыми назначениями, а также  с показателями за аналогичный период предыдущего года;</w:t>
      </w:r>
    </w:p>
    <w:p w:rsidR="00F55FD7" w:rsidRP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5FD7">
        <w:rPr>
          <w:rFonts w:ascii="Times New Roman" w:hAnsi="Times New Roman" w:cs="Times New Roman"/>
          <w:sz w:val="28"/>
          <w:szCs w:val="28"/>
        </w:rPr>
        <w:t>выявление возможных несоответствий (нарушений) и подготовка предложений, направленных на их устранение.</w:t>
      </w:r>
    </w:p>
    <w:p w:rsidR="00F55FD7" w:rsidRP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ab/>
        <w:t>Заключение ревизионной комиссии на отчет об исполнении бюджета поселения за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 xml:space="preserve">квартал 2016 года (далее - Заключение)подготовлено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</w:t>
      </w:r>
      <w:r w:rsidRPr="00F55FD7">
        <w:rPr>
          <w:rFonts w:ascii="Times New Roman" w:hAnsi="Times New Roman" w:cs="Times New Roman"/>
          <w:sz w:val="28"/>
          <w:szCs w:val="28"/>
        </w:rPr>
        <w:lastRenderedPageBreak/>
        <w:t>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F55FD7">
        <w:rPr>
          <w:rFonts w:ascii="Times New Roman" w:hAnsi="Times New Roman" w:cs="Times New Roman"/>
          <w:sz w:val="28"/>
          <w:szCs w:val="28"/>
        </w:rPr>
        <w:tab/>
      </w:r>
    </w:p>
    <w:p w:rsidR="00F55FD7" w:rsidRP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5FD7" w:rsidRPr="00F55FD7" w:rsidRDefault="00F55FD7" w:rsidP="00F55F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5FD7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бюджета поселения.</w:t>
      </w:r>
    </w:p>
    <w:p w:rsidR="00F55FD7" w:rsidRP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бюджета поселения за 1 квартал  2016 года утвержден постановлением администрации поселения </w:t>
      </w:r>
      <w:r>
        <w:rPr>
          <w:rFonts w:ascii="Times New Roman" w:hAnsi="Times New Roman" w:cs="Times New Roman"/>
          <w:sz w:val="28"/>
          <w:szCs w:val="28"/>
        </w:rPr>
        <w:t>Шейбухтовское</w:t>
      </w:r>
      <w:r w:rsidRPr="00F55FD7">
        <w:rPr>
          <w:rFonts w:ascii="Times New Roman" w:hAnsi="Times New Roman" w:cs="Times New Roman"/>
          <w:sz w:val="28"/>
          <w:szCs w:val="28"/>
        </w:rPr>
        <w:t xml:space="preserve"> в форме приложений: 1 – по доходам бюджета поселения, 2 – по расходам  бюджета поселения</w:t>
      </w:r>
      <w:r w:rsidR="008A6581">
        <w:rPr>
          <w:rFonts w:ascii="Times New Roman" w:hAnsi="Times New Roman" w:cs="Times New Roman"/>
          <w:sz w:val="28"/>
          <w:szCs w:val="28"/>
        </w:rPr>
        <w:t xml:space="preserve"> по разделам. </w:t>
      </w:r>
      <w:r w:rsidR="008A6581" w:rsidRPr="008A6581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Pr="008A6581">
        <w:rPr>
          <w:rFonts w:ascii="Times New Roman" w:hAnsi="Times New Roman" w:cs="Times New Roman"/>
          <w:i/>
          <w:sz w:val="28"/>
          <w:szCs w:val="28"/>
        </w:rPr>
        <w:t xml:space="preserve">  3 – по показателям дефицита (профицита) бюджета поселения</w:t>
      </w:r>
      <w:r w:rsidR="008A6581" w:rsidRPr="008A6581">
        <w:rPr>
          <w:rFonts w:ascii="Times New Roman" w:hAnsi="Times New Roman" w:cs="Times New Roman"/>
          <w:i/>
          <w:sz w:val="28"/>
          <w:szCs w:val="28"/>
        </w:rPr>
        <w:t xml:space="preserve"> отсутствует</w:t>
      </w:r>
      <w:r w:rsidRPr="008A6581">
        <w:rPr>
          <w:rFonts w:ascii="Times New Roman" w:hAnsi="Times New Roman" w:cs="Times New Roman"/>
          <w:i/>
          <w:sz w:val="28"/>
          <w:szCs w:val="28"/>
        </w:rPr>
        <w:t>.</w:t>
      </w:r>
    </w:p>
    <w:p w:rsidR="00F55FD7" w:rsidRP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ab/>
        <w:t>Изменения в решение «О бюджете поселения на 2016 год» в 1 квартале 2016 года не вносились.</w:t>
      </w:r>
    </w:p>
    <w:p w:rsidR="00F55FD7" w:rsidRPr="008A6581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ab/>
        <w:t xml:space="preserve">Первоначальный бюджет поселения на 2016 год утвержден  решением Совета поселения </w:t>
      </w:r>
      <w:r w:rsidR="00A30790">
        <w:rPr>
          <w:rFonts w:ascii="Times New Roman" w:hAnsi="Times New Roman" w:cs="Times New Roman"/>
          <w:sz w:val="28"/>
          <w:szCs w:val="28"/>
        </w:rPr>
        <w:t xml:space="preserve">Шейбухтовское </w:t>
      </w:r>
      <w:r w:rsidRPr="00F55FD7">
        <w:rPr>
          <w:rFonts w:ascii="Times New Roman" w:hAnsi="Times New Roman" w:cs="Times New Roman"/>
          <w:sz w:val="28"/>
          <w:szCs w:val="28"/>
        </w:rPr>
        <w:t xml:space="preserve">от 25 декабря 2015 года </w:t>
      </w:r>
      <w:r w:rsidRPr="008A6581">
        <w:rPr>
          <w:rFonts w:ascii="Times New Roman" w:hAnsi="Times New Roman" w:cs="Times New Roman"/>
          <w:sz w:val="28"/>
          <w:szCs w:val="28"/>
        </w:rPr>
        <w:t xml:space="preserve">№ </w:t>
      </w:r>
      <w:r w:rsidR="008A6581" w:rsidRPr="008A6581">
        <w:rPr>
          <w:rFonts w:ascii="Times New Roman" w:hAnsi="Times New Roman" w:cs="Times New Roman"/>
          <w:sz w:val="28"/>
          <w:szCs w:val="28"/>
        </w:rPr>
        <w:t>59</w:t>
      </w:r>
      <w:r w:rsidRPr="008A6581">
        <w:rPr>
          <w:rFonts w:ascii="Times New Roman" w:hAnsi="Times New Roman" w:cs="Times New Roman"/>
          <w:sz w:val="28"/>
          <w:szCs w:val="28"/>
        </w:rPr>
        <w:t xml:space="preserve"> со</w:t>
      </w:r>
      <w:r w:rsidRPr="00A3079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8A6581">
        <w:rPr>
          <w:rFonts w:ascii="Times New Roman" w:hAnsi="Times New Roman" w:cs="Times New Roman"/>
          <w:sz w:val="28"/>
          <w:szCs w:val="28"/>
        </w:rPr>
        <w:t>следующими параметрами:</w:t>
      </w:r>
    </w:p>
    <w:p w:rsidR="00F55FD7" w:rsidRPr="008A6581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581">
        <w:rPr>
          <w:rFonts w:ascii="Times New Roman" w:hAnsi="Times New Roman" w:cs="Times New Roman"/>
          <w:sz w:val="28"/>
          <w:szCs w:val="28"/>
        </w:rPr>
        <w:tab/>
        <w:t>- объем доходов бюджета поселения –</w:t>
      </w:r>
      <w:r w:rsidR="008A6581" w:rsidRPr="008A6581">
        <w:rPr>
          <w:rFonts w:ascii="Times New Roman" w:hAnsi="Times New Roman" w:cs="Times New Roman"/>
          <w:sz w:val="28"/>
          <w:szCs w:val="28"/>
        </w:rPr>
        <w:t xml:space="preserve">2508,2 </w:t>
      </w:r>
      <w:r w:rsidRPr="008A6581">
        <w:rPr>
          <w:rFonts w:ascii="Times New Roman" w:hAnsi="Times New Roman" w:cs="Times New Roman"/>
          <w:sz w:val="28"/>
          <w:szCs w:val="28"/>
        </w:rPr>
        <w:t>тыс. рублей;</w:t>
      </w:r>
    </w:p>
    <w:p w:rsidR="00F55FD7" w:rsidRPr="008A6581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581">
        <w:rPr>
          <w:rFonts w:ascii="Times New Roman" w:hAnsi="Times New Roman" w:cs="Times New Roman"/>
          <w:sz w:val="28"/>
          <w:szCs w:val="28"/>
        </w:rPr>
        <w:tab/>
        <w:t>- расходы бюджета поселения–</w:t>
      </w:r>
      <w:r w:rsidR="008A6581" w:rsidRPr="008A6581">
        <w:rPr>
          <w:rFonts w:ascii="Times New Roman" w:hAnsi="Times New Roman" w:cs="Times New Roman"/>
          <w:sz w:val="28"/>
          <w:szCs w:val="28"/>
        </w:rPr>
        <w:t>2508,2</w:t>
      </w:r>
      <w:r w:rsidRPr="008A65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55FD7" w:rsidRPr="008A6581" w:rsidRDefault="00F55FD7" w:rsidP="00F55FD7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581">
        <w:rPr>
          <w:rFonts w:ascii="Times New Roman" w:hAnsi="Times New Roman" w:cs="Times New Roman"/>
          <w:sz w:val="28"/>
          <w:szCs w:val="28"/>
        </w:rPr>
        <w:t>- дефицит бюджета поселения - принят без дефицита.</w:t>
      </w:r>
    </w:p>
    <w:p w:rsidR="00F55FD7" w:rsidRPr="008A6581" w:rsidRDefault="008A6581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5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5FD7" w:rsidRPr="008A6581">
        <w:rPr>
          <w:rFonts w:ascii="Times New Roman" w:hAnsi="Times New Roman" w:cs="Times New Roman"/>
          <w:sz w:val="28"/>
          <w:szCs w:val="28"/>
        </w:rPr>
        <w:t>По данным отчета об исполнении бюджета доходы составили</w:t>
      </w:r>
      <w:r w:rsidRPr="008A6581">
        <w:rPr>
          <w:rFonts w:ascii="Times New Roman" w:hAnsi="Times New Roman" w:cs="Times New Roman"/>
          <w:sz w:val="28"/>
          <w:szCs w:val="28"/>
        </w:rPr>
        <w:t xml:space="preserve"> 483,5 </w:t>
      </w:r>
      <w:r w:rsidR="00F55FD7" w:rsidRPr="008A6581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Pr="008A6581">
        <w:rPr>
          <w:rFonts w:ascii="Times New Roman" w:hAnsi="Times New Roman" w:cs="Times New Roman"/>
          <w:sz w:val="28"/>
          <w:szCs w:val="28"/>
        </w:rPr>
        <w:t>19,3</w:t>
      </w:r>
      <w:r w:rsidR="00F55FD7" w:rsidRPr="008A6581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Pr="008A6581">
        <w:rPr>
          <w:rFonts w:ascii="Times New Roman" w:hAnsi="Times New Roman" w:cs="Times New Roman"/>
          <w:sz w:val="28"/>
          <w:szCs w:val="28"/>
        </w:rPr>
        <w:t>2508,2</w:t>
      </w:r>
      <w:r w:rsidR="00F55FD7" w:rsidRPr="008A6581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 w:rsidRPr="008A6581">
        <w:rPr>
          <w:rFonts w:ascii="Times New Roman" w:hAnsi="Times New Roman" w:cs="Times New Roman"/>
          <w:sz w:val="28"/>
          <w:szCs w:val="28"/>
        </w:rPr>
        <w:t>497,7</w:t>
      </w:r>
      <w:r w:rsidR="00F55FD7" w:rsidRPr="008A658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Pr="008A6581">
        <w:rPr>
          <w:rFonts w:ascii="Times New Roman" w:hAnsi="Times New Roman" w:cs="Times New Roman"/>
          <w:sz w:val="28"/>
          <w:szCs w:val="28"/>
        </w:rPr>
        <w:t>19,8</w:t>
      </w:r>
      <w:r w:rsidR="00F55FD7" w:rsidRPr="008A6581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</w:t>
      </w:r>
      <w:r w:rsidRPr="008A6581">
        <w:rPr>
          <w:rFonts w:ascii="Times New Roman" w:hAnsi="Times New Roman" w:cs="Times New Roman"/>
          <w:sz w:val="28"/>
          <w:szCs w:val="28"/>
        </w:rPr>
        <w:t>2508,2</w:t>
      </w:r>
      <w:r w:rsidR="00F55FD7" w:rsidRPr="008A6581">
        <w:rPr>
          <w:rFonts w:ascii="Times New Roman" w:hAnsi="Times New Roman" w:cs="Times New Roman"/>
          <w:sz w:val="28"/>
          <w:szCs w:val="28"/>
        </w:rPr>
        <w:t xml:space="preserve"> тыс. рублей, дефицит – </w:t>
      </w:r>
      <w:r w:rsidRPr="008A6581">
        <w:rPr>
          <w:rFonts w:ascii="Times New Roman" w:hAnsi="Times New Roman" w:cs="Times New Roman"/>
          <w:sz w:val="28"/>
          <w:szCs w:val="28"/>
        </w:rPr>
        <w:t>14,2</w:t>
      </w:r>
      <w:r w:rsidR="00F55FD7" w:rsidRPr="008A65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55FD7" w:rsidRPr="008A6581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5FD7" w:rsidRP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ab/>
        <w:t>Исполнение бюджета поселения за 1 квартал 2016 года в сравнении с аналогичным периодом 2015 года характеризуется следующими данными.</w:t>
      </w:r>
    </w:p>
    <w:p w:rsidR="00F55FD7" w:rsidRP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5FD7" w:rsidRP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0"/>
          <w:szCs w:val="20"/>
        </w:rPr>
        <w:t>Таблица № 1</w:t>
      </w:r>
      <w:r w:rsidRPr="00F55FD7">
        <w:rPr>
          <w:rFonts w:ascii="Times New Roman" w:hAnsi="Times New Roman" w:cs="Times New Roman"/>
          <w:sz w:val="28"/>
          <w:szCs w:val="28"/>
        </w:rPr>
        <w:tab/>
      </w:r>
      <w:r w:rsidRPr="00F55FD7">
        <w:rPr>
          <w:rFonts w:ascii="Times New Roman" w:hAnsi="Times New Roman" w:cs="Times New Roman"/>
          <w:sz w:val="28"/>
          <w:szCs w:val="28"/>
        </w:rPr>
        <w:tab/>
      </w:r>
      <w:r w:rsidRPr="00F55FD7">
        <w:rPr>
          <w:rFonts w:ascii="Times New Roman" w:hAnsi="Times New Roman" w:cs="Times New Roman"/>
          <w:sz w:val="28"/>
          <w:szCs w:val="28"/>
        </w:rPr>
        <w:tab/>
      </w:r>
      <w:r w:rsidRPr="00F55FD7">
        <w:rPr>
          <w:rFonts w:ascii="Times New Roman" w:hAnsi="Times New Roman" w:cs="Times New Roman"/>
          <w:sz w:val="28"/>
          <w:szCs w:val="28"/>
        </w:rPr>
        <w:tab/>
      </w:r>
      <w:r w:rsidRPr="00F55FD7">
        <w:rPr>
          <w:rFonts w:ascii="Times New Roman" w:hAnsi="Times New Roman" w:cs="Times New Roman"/>
          <w:sz w:val="28"/>
          <w:szCs w:val="28"/>
        </w:rPr>
        <w:tab/>
      </w:r>
      <w:r w:rsidRPr="00F55FD7">
        <w:rPr>
          <w:rFonts w:ascii="Times New Roman" w:hAnsi="Times New Roman" w:cs="Times New Roman"/>
          <w:sz w:val="28"/>
          <w:szCs w:val="28"/>
        </w:rPr>
        <w:tab/>
      </w:r>
      <w:r w:rsidRPr="00F55FD7">
        <w:rPr>
          <w:rFonts w:ascii="Times New Roman" w:hAnsi="Times New Roman" w:cs="Times New Roman"/>
          <w:sz w:val="28"/>
          <w:szCs w:val="28"/>
        </w:rPr>
        <w:tab/>
      </w:r>
      <w:r w:rsidRPr="00F55FD7">
        <w:rPr>
          <w:rFonts w:ascii="Times New Roman" w:hAnsi="Times New Roman" w:cs="Times New Roman"/>
          <w:sz w:val="28"/>
          <w:szCs w:val="28"/>
        </w:rPr>
        <w:tab/>
      </w:r>
      <w:r w:rsidRPr="00F55FD7">
        <w:rPr>
          <w:rFonts w:ascii="Times New Roman" w:hAnsi="Times New Roman" w:cs="Times New Roman"/>
          <w:sz w:val="28"/>
          <w:szCs w:val="28"/>
        </w:rPr>
        <w:tab/>
      </w:r>
      <w:r w:rsidRPr="00F55FD7"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84"/>
        <w:gridCol w:w="1417"/>
      </w:tblGrid>
      <w:tr w:rsidR="00F55FD7" w:rsidRPr="00F55FD7" w:rsidTr="00E8680E">
        <w:trPr>
          <w:trHeight w:val="2158"/>
        </w:trPr>
        <w:tc>
          <w:tcPr>
            <w:tcW w:w="1809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Испол-</w:t>
            </w:r>
          </w:p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нение за 1 квартал</w:t>
            </w:r>
            <w:r w:rsidR="008A65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2015 года</w:t>
            </w:r>
          </w:p>
        </w:tc>
        <w:tc>
          <w:tcPr>
            <w:tcW w:w="1276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</w:p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</w:p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2016года</w:t>
            </w:r>
          </w:p>
        </w:tc>
        <w:tc>
          <w:tcPr>
            <w:tcW w:w="1276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% ис-</w:t>
            </w:r>
          </w:p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полнее</w:t>
            </w:r>
          </w:p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гр.4/</w:t>
            </w:r>
          </w:p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гр.3</w:t>
            </w:r>
          </w:p>
        </w:tc>
        <w:tc>
          <w:tcPr>
            <w:tcW w:w="1284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Абсолютное откло-</w:t>
            </w:r>
          </w:p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нение 1</w:t>
            </w:r>
          </w:p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квартала</w:t>
            </w:r>
          </w:p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года от</w:t>
            </w:r>
          </w:p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1 квартала</w:t>
            </w:r>
          </w:p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Исполнение к уровню   1</w:t>
            </w:r>
          </w:p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 xml:space="preserve">полугодия 2015 года  </w:t>
            </w:r>
          </w:p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FD7" w:rsidRPr="00F55FD7" w:rsidTr="00E8680E">
        <w:tc>
          <w:tcPr>
            <w:tcW w:w="1809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4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55FD7" w:rsidRPr="00F55FD7" w:rsidTr="00E8680E">
        <w:tc>
          <w:tcPr>
            <w:tcW w:w="1809" w:type="dxa"/>
          </w:tcPr>
          <w:p w:rsidR="00F55FD7" w:rsidRPr="00F55FD7" w:rsidRDefault="00F55FD7" w:rsidP="00F55FD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</w:tcPr>
          <w:p w:rsidR="00F55FD7" w:rsidRPr="00F55FD7" w:rsidRDefault="00501265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507,9</w:t>
            </w:r>
          </w:p>
        </w:tc>
        <w:tc>
          <w:tcPr>
            <w:tcW w:w="1276" w:type="dxa"/>
          </w:tcPr>
          <w:p w:rsidR="00F55FD7" w:rsidRPr="00F55FD7" w:rsidRDefault="00501265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2508,2</w:t>
            </w:r>
          </w:p>
        </w:tc>
        <w:tc>
          <w:tcPr>
            <w:tcW w:w="1276" w:type="dxa"/>
          </w:tcPr>
          <w:p w:rsidR="00F55FD7" w:rsidRPr="00F55FD7" w:rsidRDefault="00501265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483,5</w:t>
            </w:r>
          </w:p>
        </w:tc>
        <w:tc>
          <w:tcPr>
            <w:tcW w:w="1276" w:type="dxa"/>
          </w:tcPr>
          <w:p w:rsidR="00F55FD7" w:rsidRPr="00F55FD7" w:rsidRDefault="00D447D6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284" w:type="dxa"/>
          </w:tcPr>
          <w:p w:rsidR="00F55FD7" w:rsidRPr="00F55FD7" w:rsidRDefault="00D447D6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-24,4</w:t>
            </w:r>
          </w:p>
        </w:tc>
        <w:tc>
          <w:tcPr>
            <w:tcW w:w="1417" w:type="dxa"/>
          </w:tcPr>
          <w:p w:rsidR="00F55FD7" w:rsidRPr="00F55FD7" w:rsidRDefault="00D447D6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</w:tr>
      <w:tr w:rsidR="00F55FD7" w:rsidRPr="00F55FD7" w:rsidTr="00E8680E">
        <w:tc>
          <w:tcPr>
            <w:tcW w:w="1809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</w:tcPr>
          <w:p w:rsidR="00F55FD7" w:rsidRPr="00F55FD7" w:rsidRDefault="00501265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525,1</w:t>
            </w:r>
          </w:p>
        </w:tc>
        <w:tc>
          <w:tcPr>
            <w:tcW w:w="1276" w:type="dxa"/>
          </w:tcPr>
          <w:p w:rsidR="00F55FD7" w:rsidRPr="00F55FD7" w:rsidRDefault="00501265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2508,2</w:t>
            </w:r>
          </w:p>
        </w:tc>
        <w:tc>
          <w:tcPr>
            <w:tcW w:w="1276" w:type="dxa"/>
          </w:tcPr>
          <w:p w:rsidR="00F55FD7" w:rsidRPr="00F55FD7" w:rsidRDefault="00501265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497,7</w:t>
            </w:r>
          </w:p>
        </w:tc>
        <w:tc>
          <w:tcPr>
            <w:tcW w:w="1276" w:type="dxa"/>
          </w:tcPr>
          <w:p w:rsidR="00F55FD7" w:rsidRPr="00F55FD7" w:rsidRDefault="00D447D6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284" w:type="dxa"/>
          </w:tcPr>
          <w:p w:rsidR="00F55FD7" w:rsidRPr="00F55FD7" w:rsidRDefault="00D447D6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-27,4</w:t>
            </w:r>
          </w:p>
        </w:tc>
        <w:tc>
          <w:tcPr>
            <w:tcW w:w="1417" w:type="dxa"/>
          </w:tcPr>
          <w:p w:rsidR="00F55FD7" w:rsidRPr="00F55FD7" w:rsidRDefault="00D447D6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94,8</w:t>
            </w:r>
          </w:p>
        </w:tc>
      </w:tr>
      <w:tr w:rsidR="00F55FD7" w:rsidRPr="00F55FD7" w:rsidTr="00E8680E">
        <w:tc>
          <w:tcPr>
            <w:tcW w:w="1809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Дефицит (-),</w:t>
            </w:r>
          </w:p>
          <w:p w:rsidR="00F55FD7" w:rsidRPr="00F55FD7" w:rsidRDefault="00F55FD7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профицит (+)</w:t>
            </w:r>
          </w:p>
        </w:tc>
        <w:tc>
          <w:tcPr>
            <w:tcW w:w="1276" w:type="dxa"/>
          </w:tcPr>
          <w:p w:rsidR="00F55FD7" w:rsidRPr="00F55FD7" w:rsidRDefault="00F55FD7" w:rsidP="005012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01265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276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55FD7" w:rsidRPr="00F55FD7" w:rsidRDefault="00F55FD7" w:rsidP="0050126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01265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276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84" w:type="dxa"/>
          </w:tcPr>
          <w:p w:rsidR="00F55FD7" w:rsidRPr="00F55FD7" w:rsidRDefault="00D447D6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17" w:type="dxa"/>
          </w:tcPr>
          <w:p w:rsidR="00F55FD7" w:rsidRPr="00F55FD7" w:rsidRDefault="00D447D6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F55FD7" w:rsidRP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5FD7" w:rsidRP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ab/>
        <w:t>По сравнению с 1 кварталом 2015 года доходы бюджета поселения у</w:t>
      </w:r>
      <w:r w:rsidR="00EC53FA">
        <w:rPr>
          <w:rFonts w:ascii="Times New Roman" w:hAnsi="Times New Roman" w:cs="Times New Roman"/>
          <w:sz w:val="28"/>
          <w:szCs w:val="28"/>
        </w:rPr>
        <w:t>меньшились</w:t>
      </w:r>
      <w:r w:rsidRPr="00F55FD7">
        <w:rPr>
          <w:rFonts w:ascii="Times New Roman" w:hAnsi="Times New Roman" w:cs="Times New Roman"/>
          <w:sz w:val="28"/>
          <w:szCs w:val="28"/>
        </w:rPr>
        <w:t xml:space="preserve"> на </w:t>
      </w:r>
      <w:r w:rsidR="00EC53FA">
        <w:rPr>
          <w:rFonts w:ascii="Times New Roman" w:hAnsi="Times New Roman" w:cs="Times New Roman"/>
          <w:sz w:val="28"/>
          <w:szCs w:val="28"/>
        </w:rPr>
        <w:t>24,4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C53FA">
        <w:rPr>
          <w:rFonts w:ascii="Times New Roman" w:hAnsi="Times New Roman" w:cs="Times New Roman"/>
          <w:sz w:val="28"/>
          <w:szCs w:val="28"/>
        </w:rPr>
        <w:t>4,8</w:t>
      </w:r>
      <w:r w:rsidRPr="00F55FD7">
        <w:rPr>
          <w:rFonts w:ascii="Times New Roman" w:hAnsi="Times New Roman" w:cs="Times New Roman"/>
          <w:sz w:val="28"/>
          <w:szCs w:val="28"/>
        </w:rPr>
        <w:t xml:space="preserve">%, расходы также </w:t>
      </w:r>
      <w:r w:rsidR="00EC53FA">
        <w:rPr>
          <w:rFonts w:ascii="Times New Roman" w:hAnsi="Times New Roman" w:cs="Times New Roman"/>
          <w:sz w:val="28"/>
          <w:szCs w:val="28"/>
        </w:rPr>
        <w:t>снизились</w:t>
      </w:r>
      <w:r w:rsidRPr="00F55FD7">
        <w:rPr>
          <w:rFonts w:ascii="Times New Roman" w:hAnsi="Times New Roman" w:cs="Times New Roman"/>
          <w:sz w:val="28"/>
          <w:szCs w:val="28"/>
        </w:rPr>
        <w:t xml:space="preserve"> на </w:t>
      </w:r>
      <w:r w:rsidR="00EC53FA">
        <w:rPr>
          <w:rFonts w:ascii="Times New Roman" w:hAnsi="Times New Roman" w:cs="Times New Roman"/>
          <w:sz w:val="28"/>
          <w:szCs w:val="28"/>
        </w:rPr>
        <w:t>27,4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или на  </w:t>
      </w:r>
      <w:r w:rsidR="00EC53FA">
        <w:rPr>
          <w:rFonts w:ascii="Times New Roman" w:hAnsi="Times New Roman" w:cs="Times New Roman"/>
          <w:sz w:val="28"/>
          <w:szCs w:val="28"/>
        </w:rPr>
        <w:t>5,2</w:t>
      </w:r>
      <w:r w:rsidRPr="00F55FD7">
        <w:rPr>
          <w:rFonts w:ascii="Times New Roman" w:hAnsi="Times New Roman" w:cs="Times New Roman"/>
          <w:sz w:val="28"/>
          <w:szCs w:val="28"/>
        </w:rPr>
        <w:t xml:space="preserve"> %. Бюджет поселения за 1 квартал 2016 года исполнен с дефицитом в сумме  </w:t>
      </w:r>
      <w:r w:rsidR="00EC53FA">
        <w:rPr>
          <w:rFonts w:ascii="Times New Roman" w:hAnsi="Times New Roman" w:cs="Times New Roman"/>
          <w:sz w:val="28"/>
          <w:szCs w:val="28"/>
        </w:rPr>
        <w:t>14,2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за аналогичный период 2015 года бюджет исполнен также с дефицитом в сумме </w:t>
      </w:r>
      <w:r w:rsidR="00EC53FA">
        <w:rPr>
          <w:rFonts w:ascii="Times New Roman" w:hAnsi="Times New Roman" w:cs="Times New Roman"/>
          <w:sz w:val="28"/>
          <w:szCs w:val="28"/>
        </w:rPr>
        <w:t>17,2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53FA" w:rsidRPr="00F55FD7" w:rsidRDefault="00EC53FA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5FD7" w:rsidRPr="00F55FD7" w:rsidRDefault="00F55FD7" w:rsidP="00F55F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5FD7" w:rsidRPr="00F55FD7" w:rsidRDefault="00F55FD7" w:rsidP="00F55F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b/>
          <w:i/>
          <w:sz w:val="28"/>
          <w:szCs w:val="28"/>
        </w:rPr>
        <w:t>Доходы бюджета поселения</w:t>
      </w:r>
      <w:r w:rsidRPr="00F55FD7">
        <w:rPr>
          <w:rFonts w:ascii="Times New Roman" w:hAnsi="Times New Roman" w:cs="Times New Roman"/>
          <w:sz w:val="28"/>
          <w:szCs w:val="28"/>
        </w:rPr>
        <w:tab/>
      </w:r>
    </w:p>
    <w:p w:rsidR="00F55FD7" w:rsidRP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FD7" w:rsidRP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ab/>
        <w:t>Исполнение бюджета поселения по доходам за 1 квартал  2016 года представлено в следующей таблице.</w:t>
      </w:r>
    </w:p>
    <w:p w:rsidR="00F55FD7" w:rsidRP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ab/>
      </w:r>
      <w:r w:rsidRPr="00F55FD7">
        <w:rPr>
          <w:rFonts w:ascii="Times New Roman" w:hAnsi="Times New Roman" w:cs="Times New Roman"/>
          <w:sz w:val="28"/>
          <w:szCs w:val="28"/>
        </w:rPr>
        <w:tab/>
      </w:r>
      <w:r w:rsidRPr="00F55FD7">
        <w:rPr>
          <w:rFonts w:ascii="Times New Roman" w:hAnsi="Times New Roman" w:cs="Times New Roman"/>
          <w:sz w:val="28"/>
          <w:szCs w:val="28"/>
        </w:rPr>
        <w:tab/>
      </w:r>
      <w:r w:rsidRPr="00F55FD7">
        <w:rPr>
          <w:rFonts w:ascii="Times New Roman" w:hAnsi="Times New Roman" w:cs="Times New Roman"/>
          <w:sz w:val="28"/>
          <w:szCs w:val="28"/>
        </w:rPr>
        <w:tab/>
      </w:r>
      <w:r w:rsidRPr="00F55FD7">
        <w:rPr>
          <w:rFonts w:ascii="Times New Roman" w:hAnsi="Times New Roman" w:cs="Times New Roman"/>
          <w:sz w:val="28"/>
          <w:szCs w:val="28"/>
        </w:rPr>
        <w:tab/>
      </w:r>
      <w:r w:rsidRPr="00F55FD7">
        <w:rPr>
          <w:rFonts w:ascii="Times New Roman" w:hAnsi="Times New Roman" w:cs="Times New Roman"/>
          <w:sz w:val="28"/>
          <w:szCs w:val="28"/>
        </w:rPr>
        <w:tab/>
      </w:r>
    </w:p>
    <w:p w:rsidR="00F55FD7" w:rsidRPr="00F55FD7" w:rsidRDefault="00F55FD7" w:rsidP="00F55FD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</w:rPr>
        <w:t>Таблица № 2</w:t>
      </w:r>
      <w:r w:rsidRPr="00F55FD7">
        <w:rPr>
          <w:rFonts w:ascii="Times New Roman" w:hAnsi="Times New Roman" w:cs="Times New Roman"/>
        </w:rPr>
        <w:tab/>
      </w:r>
      <w:r w:rsidR="00EC53F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F55FD7">
        <w:rPr>
          <w:rFonts w:ascii="Times New Roman" w:hAnsi="Times New Roman" w:cs="Times New Roman"/>
        </w:rPr>
        <w:t>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F55FD7" w:rsidRPr="00F55FD7" w:rsidTr="00E8680E">
        <w:trPr>
          <w:gridAfter w:val="1"/>
          <w:wAfter w:w="236" w:type="dxa"/>
        </w:trPr>
        <w:tc>
          <w:tcPr>
            <w:tcW w:w="2802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Утверждено в бюджете на 2015год</w:t>
            </w:r>
          </w:p>
        </w:tc>
        <w:tc>
          <w:tcPr>
            <w:tcW w:w="992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Фактическое исполнение за 1 квартал 2015 года</w:t>
            </w:r>
          </w:p>
        </w:tc>
        <w:tc>
          <w:tcPr>
            <w:tcW w:w="709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F55FD7" w:rsidRPr="00F55FD7" w:rsidRDefault="00F55FD7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Утверждено в бюджете на 2016 год</w:t>
            </w:r>
          </w:p>
        </w:tc>
        <w:tc>
          <w:tcPr>
            <w:tcW w:w="851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исполнение </w:t>
            </w:r>
          </w:p>
          <w:p w:rsidR="00F55FD7" w:rsidRPr="00F55FD7" w:rsidRDefault="00F55FD7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 xml:space="preserve">за 1 квартал 2016 год </w:t>
            </w:r>
          </w:p>
        </w:tc>
        <w:tc>
          <w:tcPr>
            <w:tcW w:w="850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F55FD7" w:rsidRPr="00F55FD7" w:rsidRDefault="00F55FD7" w:rsidP="00F55FD7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55FD7" w:rsidRPr="00F55FD7" w:rsidRDefault="00F55FD7" w:rsidP="00F55FD7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eastAsia="Calibri" w:hAnsi="Times New Roman" w:cs="Times New Roman"/>
                <w:sz w:val="20"/>
                <w:szCs w:val="20"/>
              </w:rPr>
              <w:t>Абсолютное</w:t>
            </w:r>
          </w:p>
          <w:p w:rsidR="00F55FD7" w:rsidRPr="00F55FD7" w:rsidRDefault="00F55FD7" w:rsidP="00F55FD7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1</w:t>
            </w:r>
          </w:p>
          <w:p w:rsidR="00F55FD7" w:rsidRPr="00F55FD7" w:rsidRDefault="00F55FD7" w:rsidP="00F55FD7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eastAsia="Calibri" w:hAnsi="Times New Roman" w:cs="Times New Roman"/>
                <w:sz w:val="20"/>
                <w:szCs w:val="20"/>
              </w:rPr>
              <w:t>квартала</w:t>
            </w:r>
          </w:p>
          <w:p w:rsidR="00F55FD7" w:rsidRPr="00F55FD7" w:rsidRDefault="00F55FD7" w:rsidP="00F55FD7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eastAsia="Calibri" w:hAnsi="Times New Roman" w:cs="Times New Roman"/>
                <w:sz w:val="20"/>
                <w:szCs w:val="20"/>
              </w:rPr>
              <w:t>2016 года от</w:t>
            </w:r>
          </w:p>
          <w:p w:rsidR="00F55FD7" w:rsidRPr="00F55FD7" w:rsidRDefault="00F55FD7" w:rsidP="00F55FD7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eastAsia="Calibri" w:hAnsi="Times New Roman" w:cs="Times New Roman"/>
                <w:sz w:val="20"/>
                <w:szCs w:val="20"/>
              </w:rPr>
              <w:t>1 квартала</w:t>
            </w:r>
          </w:p>
          <w:p w:rsidR="00F55FD7" w:rsidRPr="00F55FD7" w:rsidRDefault="00F55FD7" w:rsidP="00F55FD7">
            <w:pPr>
              <w:spacing w:after="0" w:line="240" w:lineRule="auto"/>
              <w:ind w:left="-108" w:righ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eastAsia="Calibri" w:hAnsi="Times New Roman" w:cs="Times New Roman"/>
                <w:sz w:val="20"/>
                <w:szCs w:val="20"/>
              </w:rPr>
              <w:t>2015 года</w:t>
            </w:r>
          </w:p>
        </w:tc>
        <w:tc>
          <w:tcPr>
            <w:tcW w:w="850" w:type="dxa"/>
          </w:tcPr>
          <w:p w:rsidR="00F55FD7" w:rsidRPr="00F55FD7" w:rsidRDefault="00F55FD7" w:rsidP="00F55F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</w:t>
            </w:r>
          </w:p>
          <w:p w:rsidR="00F55FD7" w:rsidRPr="00F55FD7" w:rsidRDefault="00F55FD7" w:rsidP="00F55F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eastAsia="Calibri" w:hAnsi="Times New Roman" w:cs="Times New Roman"/>
                <w:sz w:val="20"/>
                <w:szCs w:val="20"/>
              </w:rPr>
              <w:t>к уровню 1 квартала</w:t>
            </w:r>
          </w:p>
          <w:p w:rsidR="00F55FD7" w:rsidRPr="00F55FD7" w:rsidRDefault="00F55FD7" w:rsidP="00F55F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eastAsia="Calibri" w:hAnsi="Times New Roman" w:cs="Times New Roman"/>
                <w:sz w:val="20"/>
                <w:szCs w:val="20"/>
              </w:rPr>
              <w:t>2015года</w:t>
            </w:r>
          </w:p>
          <w:p w:rsidR="00F55FD7" w:rsidRPr="00F55FD7" w:rsidRDefault="00F55FD7" w:rsidP="00F55FD7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F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55FD7" w:rsidRPr="00F55FD7" w:rsidTr="00E8680E">
        <w:trPr>
          <w:gridAfter w:val="1"/>
          <w:wAfter w:w="236" w:type="dxa"/>
        </w:trPr>
        <w:tc>
          <w:tcPr>
            <w:tcW w:w="2802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55FD7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992" w:type="dxa"/>
          </w:tcPr>
          <w:p w:rsidR="00F55FD7" w:rsidRPr="00F55FD7" w:rsidRDefault="00131B9C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385,0</w:t>
            </w:r>
          </w:p>
        </w:tc>
        <w:tc>
          <w:tcPr>
            <w:tcW w:w="992" w:type="dxa"/>
          </w:tcPr>
          <w:p w:rsidR="00F55FD7" w:rsidRPr="00F55FD7" w:rsidRDefault="00131B9C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60,7</w:t>
            </w:r>
          </w:p>
        </w:tc>
        <w:tc>
          <w:tcPr>
            <w:tcW w:w="709" w:type="dxa"/>
          </w:tcPr>
          <w:p w:rsidR="00F55FD7" w:rsidRPr="00F55FD7" w:rsidRDefault="00E741AE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15,8</w:t>
            </w:r>
          </w:p>
        </w:tc>
        <w:tc>
          <w:tcPr>
            <w:tcW w:w="850" w:type="dxa"/>
          </w:tcPr>
          <w:p w:rsidR="00F55FD7" w:rsidRPr="00F55FD7" w:rsidRDefault="00EE322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209,0</w:t>
            </w:r>
          </w:p>
        </w:tc>
        <w:tc>
          <w:tcPr>
            <w:tcW w:w="851" w:type="dxa"/>
          </w:tcPr>
          <w:p w:rsidR="00F55FD7" w:rsidRPr="00F55FD7" w:rsidRDefault="00EE322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9,4</w:t>
            </w:r>
          </w:p>
        </w:tc>
        <w:tc>
          <w:tcPr>
            <w:tcW w:w="850" w:type="dxa"/>
          </w:tcPr>
          <w:p w:rsidR="00F55FD7" w:rsidRPr="00F55FD7" w:rsidRDefault="00131B9C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851" w:type="dxa"/>
          </w:tcPr>
          <w:p w:rsidR="00F55FD7" w:rsidRPr="00F55FD7" w:rsidRDefault="009441C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-51,3</w:t>
            </w:r>
          </w:p>
        </w:tc>
        <w:tc>
          <w:tcPr>
            <w:tcW w:w="850" w:type="dxa"/>
          </w:tcPr>
          <w:p w:rsidR="00F55FD7" w:rsidRPr="00F55FD7" w:rsidRDefault="009441CD" w:rsidP="00F55FD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15,4</w:t>
            </w:r>
          </w:p>
        </w:tc>
      </w:tr>
      <w:tr w:rsidR="00F55FD7" w:rsidRPr="00F55FD7" w:rsidTr="00E8680E">
        <w:trPr>
          <w:gridAfter w:val="1"/>
          <w:wAfter w:w="236" w:type="dxa"/>
        </w:trPr>
        <w:tc>
          <w:tcPr>
            <w:tcW w:w="2802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5FD7">
              <w:rPr>
                <w:rFonts w:ascii="Times New Roman" w:hAnsi="Times New Roman" w:cs="Times New Roman"/>
              </w:rPr>
              <w:t>- НДФЛ</w:t>
            </w:r>
          </w:p>
        </w:tc>
        <w:tc>
          <w:tcPr>
            <w:tcW w:w="992" w:type="dxa"/>
          </w:tcPr>
          <w:p w:rsidR="00F55FD7" w:rsidRPr="00F55FD7" w:rsidRDefault="00131B9C" w:rsidP="00F55FD7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992" w:type="dxa"/>
          </w:tcPr>
          <w:p w:rsidR="00F55FD7" w:rsidRPr="00F55FD7" w:rsidRDefault="00131B9C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709" w:type="dxa"/>
          </w:tcPr>
          <w:p w:rsidR="00F55FD7" w:rsidRPr="00F55FD7" w:rsidRDefault="00131B9C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850" w:type="dxa"/>
          </w:tcPr>
          <w:p w:rsidR="00F55FD7" w:rsidRPr="00F55FD7" w:rsidRDefault="00EE322D" w:rsidP="00F55FD7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51" w:type="dxa"/>
          </w:tcPr>
          <w:p w:rsidR="00F55FD7" w:rsidRPr="00F55FD7" w:rsidRDefault="00EE322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-4,3</w:t>
            </w:r>
          </w:p>
        </w:tc>
        <w:tc>
          <w:tcPr>
            <w:tcW w:w="850" w:type="dxa"/>
          </w:tcPr>
          <w:p w:rsidR="00F55FD7" w:rsidRPr="00F55FD7" w:rsidRDefault="00131B9C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F55FD7" w:rsidRPr="00F55FD7" w:rsidRDefault="009441CD" w:rsidP="00F55FD7">
            <w:pPr>
              <w:spacing w:after="0" w:line="240" w:lineRule="auto"/>
              <w:ind w:left="-108" w:hanging="1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-16,1</w:t>
            </w:r>
          </w:p>
        </w:tc>
        <w:tc>
          <w:tcPr>
            <w:tcW w:w="850" w:type="dxa"/>
          </w:tcPr>
          <w:p w:rsidR="00F55FD7" w:rsidRPr="00F55FD7" w:rsidRDefault="009441C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55FD7" w:rsidRPr="00F55FD7" w:rsidTr="00E8680E">
        <w:trPr>
          <w:gridAfter w:val="1"/>
          <w:wAfter w:w="236" w:type="dxa"/>
        </w:trPr>
        <w:tc>
          <w:tcPr>
            <w:tcW w:w="2802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5FD7">
              <w:rPr>
                <w:rFonts w:ascii="Times New Roman" w:hAnsi="Times New Roman" w:cs="Times New Roman"/>
              </w:rPr>
              <w:t>- доходы от уплаты акцизов</w:t>
            </w:r>
          </w:p>
        </w:tc>
        <w:tc>
          <w:tcPr>
            <w:tcW w:w="992" w:type="dxa"/>
          </w:tcPr>
          <w:p w:rsidR="00F55FD7" w:rsidRPr="00F55FD7" w:rsidRDefault="00131B9C" w:rsidP="00F55FD7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157,0</w:t>
            </w:r>
          </w:p>
        </w:tc>
        <w:tc>
          <w:tcPr>
            <w:tcW w:w="992" w:type="dxa"/>
          </w:tcPr>
          <w:p w:rsidR="00F55FD7" w:rsidRPr="00F55FD7" w:rsidRDefault="00131B9C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709" w:type="dxa"/>
          </w:tcPr>
          <w:p w:rsidR="00F55FD7" w:rsidRPr="00F55FD7" w:rsidRDefault="00E741AE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</w:tcPr>
          <w:p w:rsidR="00F55FD7" w:rsidRPr="00F55FD7" w:rsidRDefault="00EE322D" w:rsidP="00F55FD7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55FD7" w:rsidRPr="00F55FD7" w:rsidRDefault="00EE322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55FD7" w:rsidRPr="00F55FD7" w:rsidRDefault="00131B9C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55FD7" w:rsidRPr="00F55FD7" w:rsidRDefault="009441CD" w:rsidP="00C40D9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40D9F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850" w:type="dxa"/>
          </w:tcPr>
          <w:p w:rsidR="00F55FD7" w:rsidRPr="00F55FD7" w:rsidRDefault="009441C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55FD7" w:rsidRPr="00F55FD7" w:rsidTr="00E8680E">
        <w:trPr>
          <w:gridAfter w:val="1"/>
          <w:wAfter w:w="236" w:type="dxa"/>
        </w:trPr>
        <w:tc>
          <w:tcPr>
            <w:tcW w:w="2802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5FD7">
              <w:rPr>
                <w:rFonts w:ascii="Times New Roman" w:hAnsi="Times New Roman" w:cs="Times New Roman"/>
              </w:rPr>
              <w:t>- налог на имущество физлиц</w:t>
            </w:r>
          </w:p>
        </w:tc>
        <w:tc>
          <w:tcPr>
            <w:tcW w:w="992" w:type="dxa"/>
          </w:tcPr>
          <w:p w:rsidR="00F55FD7" w:rsidRPr="00F55FD7" w:rsidRDefault="00131B9C" w:rsidP="00F55FD7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992" w:type="dxa"/>
          </w:tcPr>
          <w:p w:rsidR="00F55FD7" w:rsidRPr="00F55FD7" w:rsidRDefault="00131B9C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09" w:type="dxa"/>
          </w:tcPr>
          <w:p w:rsidR="00F55FD7" w:rsidRPr="00F55FD7" w:rsidRDefault="00E741AE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</w:tcPr>
          <w:p w:rsidR="00F55FD7" w:rsidRPr="00F55FD7" w:rsidRDefault="00EE322D" w:rsidP="00F55FD7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851" w:type="dxa"/>
          </w:tcPr>
          <w:p w:rsidR="00F55FD7" w:rsidRPr="00F55FD7" w:rsidRDefault="00EE322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50" w:type="dxa"/>
          </w:tcPr>
          <w:p w:rsidR="00F55FD7" w:rsidRPr="00F55FD7" w:rsidRDefault="00131B9C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51" w:type="dxa"/>
          </w:tcPr>
          <w:p w:rsidR="00F55FD7" w:rsidRPr="00F55FD7" w:rsidRDefault="009441C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0" w:type="dxa"/>
          </w:tcPr>
          <w:p w:rsidR="00F55FD7" w:rsidRPr="00F55FD7" w:rsidRDefault="009441C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144,4</w:t>
            </w:r>
          </w:p>
        </w:tc>
      </w:tr>
      <w:tr w:rsidR="00F55FD7" w:rsidRPr="00F55FD7" w:rsidTr="00E8680E">
        <w:trPr>
          <w:gridAfter w:val="1"/>
          <w:wAfter w:w="236" w:type="dxa"/>
        </w:trPr>
        <w:tc>
          <w:tcPr>
            <w:tcW w:w="2802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5FD7">
              <w:rPr>
                <w:rFonts w:ascii="Times New Roman" w:hAnsi="Times New Roman" w:cs="Times New Roman"/>
              </w:rPr>
              <w:t>- земельный налог</w:t>
            </w:r>
          </w:p>
        </w:tc>
        <w:tc>
          <w:tcPr>
            <w:tcW w:w="992" w:type="dxa"/>
          </w:tcPr>
          <w:p w:rsidR="00F55FD7" w:rsidRPr="00F55FD7" w:rsidRDefault="00131B9C" w:rsidP="00F55FD7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992" w:type="dxa"/>
          </w:tcPr>
          <w:p w:rsidR="00F55FD7" w:rsidRPr="00F55FD7" w:rsidRDefault="00131B9C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</w:tcPr>
          <w:p w:rsidR="00F55FD7" w:rsidRPr="00F55FD7" w:rsidRDefault="00E741AE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0" w:type="dxa"/>
          </w:tcPr>
          <w:p w:rsidR="00F55FD7" w:rsidRPr="00F55FD7" w:rsidRDefault="00EE322D" w:rsidP="00F55FD7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851" w:type="dxa"/>
          </w:tcPr>
          <w:p w:rsidR="00F55FD7" w:rsidRPr="00F55FD7" w:rsidRDefault="00EE322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0" w:type="dxa"/>
          </w:tcPr>
          <w:p w:rsidR="00F55FD7" w:rsidRPr="00F55FD7" w:rsidRDefault="00131B9C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1" w:type="dxa"/>
          </w:tcPr>
          <w:p w:rsidR="00F55FD7" w:rsidRPr="00F55FD7" w:rsidRDefault="009441C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50" w:type="dxa"/>
          </w:tcPr>
          <w:p w:rsidR="00F55FD7" w:rsidRPr="00F55FD7" w:rsidRDefault="009441C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5,3 раза</w:t>
            </w:r>
          </w:p>
        </w:tc>
      </w:tr>
      <w:tr w:rsidR="00F55FD7" w:rsidRPr="00F55FD7" w:rsidTr="00E8680E">
        <w:trPr>
          <w:gridAfter w:val="1"/>
          <w:wAfter w:w="236" w:type="dxa"/>
        </w:trPr>
        <w:tc>
          <w:tcPr>
            <w:tcW w:w="2802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5FD7">
              <w:rPr>
                <w:rFonts w:ascii="Times New Roman" w:hAnsi="Times New Roman" w:cs="Times New Roman"/>
              </w:rPr>
              <w:t>- государственная пошлина</w:t>
            </w:r>
          </w:p>
        </w:tc>
        <w:tc>
          <w:tcPr>
            <w:tcW w:w="992" w:type="dxa"/>
          </w:tcPr>
          <w:p w:rsidR="00F55FD7" w:rsidRPr="00F55FD7" w:rsidRDefault="00131B9C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F55FD7" w:rsidRPr="00F55FD7" w:rsidRDefault="00131B9C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9" w:type="dxa"/>
          </w:tcPr>
          <w:p w:rsidR="00F55FD7" w:rsidRPr="00F55FD7" w:rsidRDefault="00E741AE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850" w:type="dxa"/>
          </w:tcPr>
          <w:p w:rsidR="00F55FD7" w:rsidRPr="00F55FD7" w:rsidRDefault="00EE322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1" w:type="dxa"/>
          </w:tcPr>
          <w:p w:rsidR="00F55FD7" w:rsidRPr="00F55FD7" w:rsidRDefault="00EE322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0" w:type="dxa"/>
          </w:tcPr>
          <w:p w:rsidR="00F55FD7" w:rsidRPr="00F55FD7" w:rsidRDefault="00131B9C" w:rsidP="00F55FD7">
            <w:pPr>
              <w:spacing w:after="0" w:line="240" w:lineRule="auto"/>
              <w:ind w:left="-249" w:hanging="14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851" w:type="dxa"/>
          </w:tcPr>
          <w:p w:rsidR="00F55FD7" w:rsidRPr="00F55FD7" w:rsidRDefault="009441C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-0,2</w:t>
            </w:r>
          </w:p>
        </w:tc>
        <w:tc>
          <w:tcPr>
            <w:tcW w:w="850" w:type="dxa"/>
          </w:tcPr>
          <w:p w:rsidR="00F55FD7" w:rsidRPr="00F55FD7" w:rsidRDefault="009441C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F55FD7" w:rsidRPr="00F55FD7" w:rsidTr="00E8680E">
        <w:trPr>
          <w:gridAfter w:val="1"/>
          <w:wAfter w:w="236" w:type="dxa"/>
        </w:trPr>
        <w:tc>
          <w:tcPr>
            <w:tcW w:w="2802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55FD7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992" w:type="dxa"/>
          </w:tcPr>
          <w:p w:rsidR="00F55FD7" w:rsidRPr="00F55FD7" w:rsidRDefault="00131B9C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68,0</w:t>
            </w:r>
          </w:p>
        </w:tc>
        <w:tc>
          <w:tcPr>
            <w:tcW w:w="992" w:type="dxa"/>
          </w:tcPr>
          <w:p w:rsidR="00F55FD7" w:rsidRPr="00F55FD7" w:rsidRDefault="00131B9C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</w:t>
            </w:r>
          </w:p>
        </w:tc>
        <w:tc>
          <w:tcPr>
            <w:tcW w:w="709" w:type="dxa"/>
          </w:tcPr>
          <w:p w:rsidR="00F55FD7" w:rsidRPr="00F55FD7" w:rsidRDefault="00E741AE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34,6</w:t>
            </w:r>
          </w:p>
        </w:tc>
        <w:tc>
          <w:tcPr>
            <w:tcW w:w="850" w:type="dxa"/>
          </w:tcPr>
          <w:p w:rsidR="00F55FD7" w:rsidRPr="00F55FD7" w:rsidRDefault="00EE322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34,0</w:t>
            </w:r>
          </w:p>
        </w:tc>
        <w:tc>
          <w:tcPr>
            <w:tcW w:w="851" w:type="dxa"/>
          </w:tcPr>
          <w:p w:rsidR="00F55FD7" w:rsidRPr="00F55FD7" w:rsidRDefault="00EE322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F55FD7" w:rsidRPr="00F55FD7" w:rsidRDefault="00131B9C" w:rsidP="00F55FD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</w:tcPr>
          <w:p w:rsidR="00F55FD7" w:rsidRPr="00F55FD7" w:rsidRDefault="009441C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-23,5</w:t>
            </w:r>
          </w:p>
        </w:tc>
        <w:tc>
          <w:tcPr>
            <w:tcW w:w="850" w:type="dxa"/>
          </w:tcPr>
          <w:p w:rsidR="00F55FD7" w:rsidRPr="00F55FD7" w:rsidRDefault="009441C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55FD7" w:rsidRPr="00F55FD7" w:rsidTr="00E8680E">
        <w:trPr>
          <w:gridAfter w:val="1"/>
          <w:wAfter w:w="236" w:type="dxa"/>
        </w:trPr>
        <w:tc>
          <w:tcPr>
            <w:tcW w:w="2802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5FD7">
              <w:rPr>
                <w:rFonts w:ascii="Times New Roman" w:hAnsi="Times New Roman" w:cs="Times New Roman"/>
              </w:rPr>
              <w:t>- 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992" w:type="dxa"/>
          </w:tcPr>
          <w:p w:rsidR="00F55FD7" w:rsidRPr="00F55FD7" w:rsidRDefault="00131B9C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992" w:type="dxa"/>
          </w:tcPr>
          <w:p w:rsidR="00F55FD7" w:rsidRPr="00F55FD7" w:rsidRDefault="00131B9C" w:rsidP="00F55FD7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</w:tcPr>
          <w:p w:rsidR="00F55FD7" w:rsidRPr="00F55FD7" w:rsidRDefault="00E741AE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850" w:type="dxa"/>
          </w:tcPr>
          <w:p w:rsidR="00F55FD7" w:rsidRPr="00F55FD7" w:rsidRDefault="00EE322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51" w:type="dxa"/>
          </w:tcPr>
          <w:p w:rsidR="00F55FD7" w:rsidRPr="00F55FD7" w:rsidRDefault="00EE322D" w:rsidP="00F55FD7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55FD7" w:rsidRPr="00F55FD7" w:rsidRDefault="00131B9C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F55FD7" w:rsidRPr="00F55FD7" w:rsidRDefault="009441C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-23,5</w:t>
            </w:r>
          </w:p>
        </w:tc>
        <w:tc>
          <w:tcPr>
            <w:tcW w:w="850" w:type="dxa"/>
          </w:tcPr>
          <w:p w:rsidR="00F55FD7" w:rsidRPr="00F55FD7" w:rsidRDefault="009441C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55FD7" w:rsidRPr="00F55FD7" w:rsidTr="00E8680E">
        <w:trPr>
          <w:gridAfter w:val="1"/>
          <w:wAfter w:w="236" w:type="dxa"/>
        </w:trPr>
        <w:tc>
          <w:tcPr>
            <w:tcW w:w="2802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55FD7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F55FD7" w:rsidRPr="00F55FD7" w:rsidRDefault="00131B9C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453,0</w:t>
            </w:r>
          </w:p>
        </w:tc>
        <w:tc>
          <w:tcPr>
            <w:tcW w:w="992" w:type="dxa"/>
          </w:tcPr>
          <w:p w:rsidR="00F55FD7" w:rsidRPr="00F55FD7" w:rsidRDefault="00E741AE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84,2</w:t>
            </w:r>
          </w:p>
        </w:tc>
        <w:tc>
          <w:tcPr>
            <w:tcW w:w="709" w:type="dxa"/>
          </w:tcPr>
          <w:p w:rsidR="00F55FD7" w:rsidRPr="00F55FD7" w:rsidRDefault="00E741AE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18,6</w:t>
            </w:r>
          </w:p>
        </w:tc>
        <w:tc>
          <w:tcPr>
            <w:tcW w:w="850" w:type="dxa"/>
          </w:tcPr>
          <w:p w:rsidR="00F55FD7" w:rsidRPr="00F55FD7" w:rsidRDefault="00EE322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243,0</w:t>
            </w:r>
          </w:p>
        </w:tc>
        <w:tc>
          <w:tcPr>
            <w:tcW w:w="851" w:type="dxa"/>
          </w:tcPr>
          <w:p w:rsidR="00F55FD7" w:rsidRPr="00F55FD7" w:rsidRDefault="00EE322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9,4</w:t>
            </w:r>
          </w:p>
        </w:tc>
        <w:tc>
          <w:tcPr>
            <w:tcW w:w="850" w:type="dxa"/>
          </w:tcPr>
          <w:p w:rsidR="00F55FD7" w:rsidRPr="00F55FD7" w:rsidRDefault="00131B9C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851" w:type="dxa"/>
          </w:tcPr>
          <w:p w:rsidR="00F55FD7" w:rsidRPr="00F55FD7" w:rsidRDefault="009441C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-74,8</w:t>
            </w:r>
          </w:p>
        </w:tc>
        <w:tc>
          <w:tcPr>
            <w:tcW w:w="850" w:type="dxa"/>
          </w:tcPr>
          <w:p w:rsidR="00F55FD7" w:rsidRPr="00F55FD7" w:rsidRDefault="009441C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11,2</w:t>
            </w:r>
          </w:p>
        </w:tc>
      </w:tr>
      <w:tr w:rsidR="00F55FD7" w:rsidRPr="00F55FD7" w:rsidTr="00E8680E">
        <w:trPr>
          <w:gridAfter w:val="1"/>
          <w:wAfter w:w="236" w:type="dxa"/>
        </w:trPr>
        <w:tc>
          <w:tcPr>
            <w:tcW w:w="2802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55FD7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992" w:type="dxa"/>
          </w:tcPr>
          <w:p w:rsidR="00F55FD7" w:rsidRPr="00F55FD7" w:rsidRDefault="00E741AE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2368,0</w:t>
            </w:r>
          </w:p>
        </w:tc>
        <w:tc>
          <w:tcPr>
            <w:tcW w:w="992" w:type="dxa"/>
          </w:tcPr>
          <w:p w:rsidR="00F55FD7" w:rsidRPr="00F55FD7" w:rsidRDefault="009441CD" w:rsidP="00F55FD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423,7</w:t>
            </w:r>
          </w:p>
        </w:tc>
        <w:tc>
          <w:tcPr>
            <w:tcW w:w="709" w:type="dxa"/>
          </w:tcPr>
          <w:p w:rsidR="00F55FD7" w:rsidRPr="00F55FD7" w:rsidRDefault="00E741AE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20,5</w:t>
            </w:r>
          </w:p>
        </w:tc>
        <w:tc>
          <w:tcPr>
            <w:tcW w:w="850" w:type="dxa"/>
          </w:tcPr>
          <w:p w:rsidR="00F55FD7" w:rsidRPr="00F55FD7" w:rsidRDefault="00EE322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2265,2</w:t>
            </w:r>
          </w:p>
        </w:tc>
        <w:tc>
          <w:tcPr>
            <w:tcW w:w="851" w:type="dxa"/>
          </w:tcPr>
          <w:p w:rsidR="00F55FD7" w:rsidRPr="00F55FD7" w:rsidRDefault="00EE322D" w:rsidP="00F55FD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474,1</w:t>
            </w:r>
          </w:p>
        </w:tc>
        <w:tc>
          <w:tcPr>
            <w:tcW w:w="850" w:type="dxa"/>
          </w:tcPr>
          <w:p w:rsidR="00F55FD7" w:rsidRPr="00F55FD7" w:rsidRDefault="00131B9C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20,9</w:t>
            </w:r>
          </w:p>
        </w:tc>
        <w:tc>
          <w:tcPr>
            <w:tcW w:w="851" w:type="dxa"/>
          </w:tcPr>
          <w:p w:rsidR="00F55FD7" w:rsidRPr="00F55FD7" w:rsidRDefault="009441C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50,4</w:t>
            </w:r>
          </w:p>
        </w:tc>
        <w:tc>
          <w:tcPr>
            <w:tcW w:w="850" w:type="dxa"/>
          </w:tcPr>
          <w:p w:rsidR="00F55FD7" w:rsidRPr="00F55FD7" w:rsidRDefault="009441C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111,9</w:t>
            </w:r>
          </w:p>
        </w:tc>
      </w:tr>
      <w:tr w:rsidR="00F55FD7" w:rsidRPr="00F55FD7" w:rsidTr="00E8680E">
        <w:trPr>
          <w:gridAfter w:val="1"/>
          <w:wAfter w:w="236" w:type="dxa"/>
        </w:trPr>
        <w:tc>
          <w:tcPr>
            <w:tcW w:w="2802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5FD7">
              <w:rPr>
                <w:rFonts w:ascii="Times New Roman" w:hAnsi="Times New Roman" w:cs="Times New Roman"/>
              </w:rPr>
              <w:t>- дотации</w:t>
            </w:r>
          </w:p>
        </w:tc>
        <w:tc>
          <w:tcPr>
            <w:tcW w:w="992" w:type="dxa"/>
          </w:tcPr>
          <w:p w:rsidR="00F55FD7" w:rsidRPr="00F55FD7" w:rsidRDefault="00E741AE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1940,4</w:t>
            </w:r>
          </w:p>
        </w:tc>
        <w:tc>
          <w:tcPr>
            <w:tcW w:w="992" w:type="dxa"/>
          </w:tcPr>
          <w:p w:rsidR="00F55FD7" w:rsidRPr="00F55FD7" w:rsidRDefault="00E741AE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406,6</w:t>
            </w:r>
          </w:p>
        </w:tc>
        <w:tc>
          <w:tcPr>
            <w:tcW w:w="709" w:type="dxa"/>
          </w:tcPr>
          <w:p w:rsidR="00F55FD7" w:rsidRPr="00F55FD7" w:rsidRDefault="00E741AE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850" w:type="dxa"/>
          </w:tcPr>
          <w:p w:rsidR="00F55FD7" w:rsidRPr="00F55FD7" w:rsidRDefault="00EE322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2005,4</w:t>
            </w:r>
          </w:p>
        </w:tc>
        <w:tc>
          <w:tcPr>
            <w:tcW w:w="851" w:type="dxa"/>
          </w:tcPr>
          <w:p w:rsidR="00F55FD7" w:rsidRPr="00F55FD7" w:rsidRDefault="00EE322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429,5</w:t>
            </w:r>
          </w:p>
        </w:tc>
        <w:tc>
          <w:tcPr>
            <w:tcW w:w="850" w:type="dxa"/>
          </w:tcPr>
          <w:p w:rsidR="00F55FD7" w:rsidRPr="00F55FD7" w:rsidRDefault="00131B9C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851" w:type="dxa"/>
          </w:tcPr>
          <w:p w:rsidR="00F55FD7" w:rsidRPr="00F55FD7" w:rsidRDefault="009441C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850" w:type="dxa"/>
          </w:tcPr>
          <w:p w:rsidR="00F55FD7" w:rsidRPr="00F55FD7" w:rsidRDefault="009441C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105,6</w:t>
            </w:r>
          </w:p>
        </w:tc>
      </w:tr>
      <w:tr w:rsidR="00F55FD7" w:rsidRPr="00F55FD7" w:rsidTr="00E8680E">
        <w:trPr>
          <w:gridAfter w:val="1"/>
          <w:wAfter w:w="236" w:type="dxa"/>
        </w:trPr>
        <w:tc>
          <w:tcPr>
            <w:tcW w:w="2802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5FD7">
              <w:rPr>
                <w:rFonts w:ascii="Times New Roman" w:hAnsi="Times New Roman" w:cs="Times New Roman"/>
              </w:rPr>
              <w:t>- субвенции</w:t>
            </w:r>
          </w:p>
        </w:tc>
        <w:tc>
          <w:tcPr>
            <w:tcW w:w="992" w:type="dxa"/>
          </w:tcPr>
          <w:p w:rsidR="00F55FD7" w:rsidRPr="00F55FD7" w:rsidRDefault="00E741AE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992" w:type="dxa"/>
          </w:tcPr>
          <w:p w:rsidR="00F55FD7" w:rsidRPr="00F55FD7" w:rsidRDefault="00E741AE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709" w:type="dxa"/>
          </w:tcPr>
          <w:p w:rsidR="00F55FD7" w:rsidRPr="00F55FD7" w:rsidRDefault="00E741AE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50" w:type="dxa"/>
          </w:tcPr>
          <w:p w:rsidR="00F55FD7" w:rsidRPr="00F55FD7" w:rsidRDefault="00EE322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851" w:type="dxa"/>
          </w:tcPr>
          <w:p w:rsidR="00F55FD7" w:rsidRPr="00F55FD7" w:rsidRDefault="00131B9C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850" w:type="dxa"/>
          </w:tcPr>
          <w:p w:rsidR="00F55FD7" w:rsidRPr="00F55FD7" w:rsidRDefault="00131B9C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851" w:type="dxa"/>
          </w:tcPr>
          <w:p w:rsidR="00F55FD7" w:rsidRPr="00F55FD7" w:rsidRDefault="009441C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850" w:type="dxa"/>
          </w:tcPr>
          <w:p w:rsidR="00F55FD7" w:rsidRPr="00F55FD7" w:rsidRDefault="009441C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132,7</w:t>
            </w:r>
          </w:p>
        </w:tc>
      </w:tr>
      <w:tr w:rsidR="00F55FD7" w:rsidRPr="00F55FD7" w:rsidTr="00E8680E">
        <w:trPr>
          <w:gridAfter w:val="1"/>
          <w:wAfter w:w="236" w:type="dxa"/>
        </w:trPr>
        <w:tc>
          <w:tcPr>
            <w:tcW w:w="2802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55FD7">
              <w:rPr>
                <w:rFonts w:ascii="Times New Roman" w:hAnsi="Times New Roman" w:cs="Times New Roman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F55FD7" w:rsidRPr="00F55FD7" w:rsidRDefault="00E741AE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310,8</w:t>
            </w:r>
          </w:p>
        </w:tc>
        <w:tc>
          <w:tcPr>
            <w:tcW w:w="992" w:type="dxa"/>
          </w:tcPr>
          <w:p w:rsidR="00F55FD7" w:rsidRPr="00F55FD7" w:rsidRDefault="00E741AE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F55FD7" w:rsidRPr="00F55FD7" w:rsidRDefault="00E741AE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F55FD7" w:rsidRPr="00F55FD7" w:rsidRDefault="00EE322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</w:t>
            </w:r>
          </w:p>
        </w:tc>
        <w:tc>
          <w:tcPr>
            <w:tcW w:w="851" w:type="dxa"/>
          </w:tcPr>
          <w:p w:rsidR="00F55FD7" w:rsidRPr="00F55FD7" w:rsidRDefault="00131B9C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50" w:type="dxa"/>
          </w:tcPr>
          <w:p w:rsidR="00F55FD7" w:rsidRPr="00F55FD7" w:rsidRDefault="00131B9C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1" w:type="dxa"/>
          </w:tcPr>
          <w:p w:rsidR="00F55FD7" w:rsidRPr="00F55FD7" w:rsidRDefault="009441C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50" w:type="dxa"/>
          </w:tcPr>
          <w:p w:rsidR="00F55FD7" w:rsidRPr="00F55FD7" w:rsidRDefault="009441C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55FD7" w:rsidRPr="00F55FD7" w:rsidTr="00E8680E">
        <w:trPr>
          <w:trHeight w:val="309"/>
        </w:trPr>
        <w:tc>
          <w:tcPr>
            <w:tcW w:w="2802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55FD7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992" w:type="dxa"/>
          </w:tcPr>
          <w:p w:rsidR="00F55FD7" w:rsidRPr="00F55FD7" w:rsidRDefault="00E741AE" w:rsidP="00F55FD7">
            <w:pPr>
              <w:tabs>
                <w:tab w:val="left" w:pos="52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2821,0</w:t>
            </w:r>
          </w:p>
        </w:tc>
        <w:tc>
          <w:tcPr>
            <w:tcW w:w="992" w:type="dxa"/>
          </w:tcPr>
          <w:p w:rsidR="00F55FD7" w:rsidRPr="00F55FD7" w:rsidRDefault="00E741AE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507,9</w:t>
            </w:r>
          </w:p>
        </w:tc>
        <w:tc>
          <w:tcPr>
            <w:tcW w:w="709" w:type="dxa"/>
          </w:tcPr>
          <w:p w:rsidR="00F55FD7" w:rsidRPr="00F55FD7" w:rsidRDefault="00E741AE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18,0</w:t>
            </w:r>
          </w:p>
        </w:tc>
        <w:tc>
          <w:tcPr>
            <w:tcW w:w="850" w:type="dxa"/>
          </w:tcPr>
          <w:p w:rsidR="00F55FD7" w:rsidRPr="00F55FD7" w:rsidRDefault="00EE322D" w:rsidP="00F55FD7">
            <w:pPr>
              <w:tabs>
                <w:tab w:val="left" w:pos="52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2508,2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F55FD7" w:rsidRPr="00F55FD7" w:rsidRDefault="00131B9C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483,5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F55FD7" w:rsidRPr="00F55FD7" w:rsidRDefault="00131B9C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F55FD7" w:rsidRPr="00F55FD7" w:rsidRDefault="009441C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-24,4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F55FD7" w:rsidRPr="00F55FD7" w:rsidRDefault="009441CD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95,2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55FD7" w:rsidRPr="00F55FD7" w:rsidRDefault="00F55FD7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55FD7" w:rsidRPr="00F55FD7" w:rsidRDefault="00F55FD7" w:rsidP="00F55FD7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55FD7" w:rsidRPr="00F55FD7" w:rsidRDefault="00F55FD7" w:rsidP="00F55FD7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55FD7" w:rsidRPr="00F55FD7" w:rsidRDefault="00C40D9F" w:rsidP="00F55FD7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F55FD7" w:rsidRPr="00F55FD7">
        <w:rPr>
          <w:rFonts w:ascii="Times New Roman" w:hAnsi="Times New Roman" w:cs="Times New Roman"/>
          <w:i/>
          <w:sz w:val="28"/>
          <w:szCs w:val="28"/>
        </w:rPr>
        <w:t>Налоговые и неналоговые доходы бюджета поселения</w:t>
      </w:r>
    </w:p>
    <w:p w:rsidR="00F55FD7" w:rsidRPr="00F55FD7" w:rsidRDefault="00F55FD7" w:rsidP="00F55FD7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исполнены в сумме </w:t>
      </w:r>
      <w:r w:rsidR="00C40D9F">
        <w:rPr>
          <w:rFonts w:ascii="Times New Roman" w:hAnsi="Times New Roman" w:cs="Times New Roman"/>
          <w:sz w:val="28"/>
          <w:szCs w:val="28"/>
        </w:rPr>
        <w:t>9,4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C40D9F">
        <w:rPr>
          <w:rFonts w:ascii="Times New Roman" w:hAnsi="Times New Roman" w:cs="Times New Roman"/>
          <w:sz w:val="28"/>
          <w:szCs w:val="28"/>
        </w:rPr>
        <w:t>3,9</w:t>
      </w:r>
      <w:r w:rsidRPr="00F55FD7">
        <w:rPr>
          <w:rFonts w:ascii="Times New Roman" w:hAnsi="Times New Roman" w:cs="Times New Roman"/>
          <w:sz w:val="28"/>
          <w:szCs w:val="28"/>
        </w:rPr>
        <w:t xml:space="preserve"> % от утвержденных назначений в сумме </w:t>
      </w:r>
      <w:r w:rsidR="00C40D9F">
        <w:rPr>
          <w:rFonts w:ascii="Times New Roman" w:hAnsi="Times New Roman" w:cs="Times New Roman"/>
          <w:sz w:val="28"/>
          <w:szCs w:val="28"/>
        </w:rPr>
        <w:t>243,0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2015 года уменьшились на   </w:t>
      </w:r>
      <w:r w:rsidR="00C40D9F">
        <w:rPr>
          <w:rFonts w:ascii="Times New Roman" w:hAnsi="Times New Roman" w:cs="Times New Roman"/>
          <w:sz w:val="28"/>
          <w:szCs w:val="28"/>
        </w:rPr>
        <w:t>74,8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C40D9F">
        <w:rPr>
          <w:rFonts w:ascii="Times New Roman" w:hAnsi="Times New Roman" w:cs="Times New Roman"/>
          <w:sz w:val="28"/>
          <w:szCs w:val="28"/>
        </w:rPr>
        <w:t>88,8</w:t>
      </w:r>
      <w:r w:rsidRPr="00F55FD7">
        <w:rPr>
          <w:rFonts w:ascii="Times New Roman" w:hAnsi="Times New Roman" w:cs="Times New Roman"/>
          <w:sz w:val="28"/>
          <w:szCs w:val="28"/>
        </w:rPr>
        <w:t xml:space="preserve"> </w:t>
      </w:r>
      <w:r w:rsidR="00C40D9F">
        <w:rPr>
          <w:rFonts w:ascii="Times New Roman" w:hAnsi="Times New Roman" w:cs="Times New Roman"/>
          <w:sz w:val="28"/>
          <w:szCs w:val="28"/>
        </w:rPr>
        <w:t>%</w:t>
      </w:r>
      <w:r w:rsidRPr="00F55FD7">
        <w:rPr>
          <w:rFonts w:ascii="Times New Roman" w:hAnsi="Times New Roman" w:cs="Times New Roman"/>
          <w:sz w:val="28"/>
          <w:szCs w:val="28"/>
        </w:rPr>
        <w:t xml:space="preserve">. Значительное уменьшение суммы налоговых и неналоговых доходов </w:t>
      </w:r>
      <w:r w:rsidRPr="00F55FD7">
        <w:rPr>
          <w:rFonts w:ascii="Times New Roman" w:hAnsi="Times New Roman" w:cs="Times New Roman"/>
          <w:sz w:val="28"/>
          <w:szCs w:val="28"/>
        </w:rPr>
        <w:lastRenderedPageBreak/>
        <w:t>связано с тем, что доходы от уплаты акцизов, поступавшие ранее в бюджет поселения, с 1 января 2016</w:t>
      </w:r>
      <w:r w:rsidR="00703445">
        <w:rPr>
          <w:rFonts w:ascii="Times New Roman" w:hAnsi="Times New Roman" w:cs="Times New Roman"/>
          <w:sz w:val="28"/>
          <w:szCs w:val="28"/>
        </w:rPr>
        <w:t xml:space="preserve"> года поступают в бюджет района, кроме того налог на доходы физических лиц поступил с минусом. Т.о. сумма возврата налога на доходы физических лиц превышает сумму поступления налога на 4,3 тыс. рублей.</w:t>
      </w:r>
    </w:p>
    <w:p w:rsidR="00F55FD7" w:rsidRPr="00F55FD7" w:rsidRDefault="00C40D9F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Структура налоговых  и неналоговых доходов бюджета района в сравнении с 1</w:t>
      </w:r>
      <w:r w:rsidR="00684A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кварталом 2015 года отражена на следующей диаграмме:</w:t>
      </w:r>
    </w:p>
    <w:p w:rsidR="00F55FD7" w:rsidRPr="00F55FD7" w:rsidRDefault="00F55FD7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5FD7" w:rsidRDefault="00F55FD7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тыс. руб.</w:t>
      </w:r>
    </w:p>
    <w:p w:rsidR="007B16D7" w:rsidRDefault="007B16D7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16D7" w:rsidRDefault="007B16D7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16D7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6111452" cy="3962400"/>
            <wp:effectExtent l="19050" t="0" r="22648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B16D7" w:rsidRDefault="007B16D7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5FD7" w:rsidRPr="00F55FD7" w:rsidRDefault="00F55FD7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F55FD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Налоговые доходы.</w:t>
      </w: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Налоговые доходы  исполнены в сумме </w:t>
      </w:r>
      <w:r w:rsidR="008E4546">
        <w:rPr>
          <w:rFonts w:ascii="Times New Roman" w:eastAsiaTheme="minorHAnsi" w:hAnsi="Times New Roman" w:cs="Times New Roman"/>
          <w:sz w:val="28"/>
          <w:szCs w:val="28"/>
          <w:lang w:eastAsia="en-US"/>
        </w:rPr>
        <w:t>9,4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</w:t>
      </w:r>
      <w:r w:rsidR="008E45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4,5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утвержденным показателям бюджета  в сумме </w:t>
      </w:r>
      <w:r w:rsidR="008E4546">
        <w:rPr>
          <w:rFonts w:ascii="Times New Roman" w:eastAsiaTheme="minorHAnsi" w:hAnsi="Times New Roman" w:cs="Times New Roman"/>
          <w:sz w:val="28"/>
          <w:szCs w:val="28"/>
          <w:lang w:eastAsia="en-US"/>
        </w:rPr>
        <w:t>209,0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тыс.рублей. Доля налоговых доходов в структуре доходов бюджета  поселения составила </w:t>
      </w:r>
      <w:r w:rsidR="008E4546">
        <w:rPr>
          <w:rFonts w:ascii="Times New Roman" w:eastAsiaTheme="minorHAnsi" w:hAnsi="Times New Roman" w:cs="Times New Roman"/>
          <w:sz w:val="28"/>
          <w:szCs w:val="28"/>
          <w:lang w:eastAsia="en-US"/>
        </w:rPr>
        <w:t>1,9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B76E50" w:rsidRPr="00F55FD7" w:rsidRDefault="00B76E50" w:rsidP="00B76E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8E4546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Первое место по объему налоговых доходов занимает земельный налог. Объем данного налога  составил 8,0 тыс. рублей, или 12,9% к плановым назначения в размере 62,0 тыс. рублей.</w:t>
      </w:r>
      <w:r w:rsidRPr="00B76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сравнению с 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кварталом  2015 года поступление  налога увеличилось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6,5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5,3 раза.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земельного налога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налоговых доходах бюджета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составляет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85,1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5BB1" w:rsidRPr="00F55FD7" w:rsidRDefault="00DA5BB1" w:rsidP="00F55FD7">
      <w:pPr>
        <w:spacing w:after="0" w:line="240" w:lineRule="auto"/>
        <w:ind w:firstLine="70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5FD7" w:rsidRPr="00F55FD7" w:rsidRDefault="008E4546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Второе  место по величине поступлений в бюджет 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занимает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 на имущество физических лиц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Поступление налога  в бюджет поселения составило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3,9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</w:t>
      </w:r>
      <w:r w:rsidR="00B76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рублей,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на 4,1% к плановым назначениям</w:t>
      </w:r>
      <w:r w:rsidR="00B76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 размере 95,0 тыс. рублей. 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сравнению с 1</w:t>
      </w:r>
      <w:r w:rsidR="00B76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кварталом  2015 года поступление  налога увеличилось на </w:t>
      </w:r>
      <w:r w:rsidR="00B76E50">
        <w:rPr>
          <w:rFonts w:ascii="Times New Roman" w:eastAsiaTheme="minorHAnsi" w:hAnsi="Times New Roman" w:cs="Times New Roman"/>
          <w:sz w:val="28"/>
          <w:szCs w:val="28"/>
          <w:lang w:eastAsia="en-US"/>
        </w:rPr>
        <w:t>1,2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B76E50">
        <w:rPr>
          <w:rFonts w:ascii="Times New Roman" w:eastAsiaTheme="minorHAnsi" w:hAnsi="Times New Roman" w:cs="Times New Roman"/>
          <w:sz w:val="28"/>
          <w:szCs w:val="28"/>
          <w:lang w:eastAsia="en-US"/>
        </w:rPr>
        <w:t>44,4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%. Доля </w:t>
      </w:r>
      <w:r w:rsidR="00B76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налога на имущество физических 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налоговых доходах бюджета</w:t>
      </w:r>
      <w:r w:rsidR="00B76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B76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составляет </w:t>
      </w:r>
      <w:r w:rsidR="00B76E50">
        <w:rPr>
          <w:rFonts w:ascii="Times New Roman" w:eastAsiaTheme="minorHAnsi" w:hAnsi="Times New Roman" w:cs="Times New Roman"/>
          <w:sz w:val="28"/>
          <w:szCs w:val="28"/>
          <w:lang w:eastAsia="en-US"/>
        </w:rPr>
        <w:t>41,5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F55FD7" w:rsidRPr="00F55FD7" w:rsidRDefault="00F55FD7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B76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Третий по величине налоговый источник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76E50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государственная пошлина. Поступления  указанного налога составило </w:t>
      </w:r>
      <w:r w:rsidR="00B76E50">
        <w:rPr>
          <w:rFonts w:ascii="Times New Roman" w:eastAsiaTheme="minorHAnsi" w:hAnsi="Times New Roman" w:cs="Times New Roman"/>
          <w:sz w:val="28"/>
          <w:szCs w:val="28"/>
          <w:lang w:eastAsia="en-US"/>
        </w:rPr>
        <w:t>1,8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B76E50">
        <w:rPr>
          <w:rFonts w:ascii="Times New Roman" w:eastAsiaTheme="minorHAnsi" w:hAnsi="Times New Roman" w:cs="Times New Roman"/>
          <w:sz w:val="28"/>
          <w:szCs w:val="28"/>
          <w:lang w:eastAsia="en-US"/>
        </w:rPr>
        <w:t>16,4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к плановым назначениям в размере </w:t>
      </w:r>
      <w:r w:rsidR="00B76E50">
        <w:rPr>
          <w:rFonts w:ascii="Times New Roman" w:eastAsiaTheme="minorHAnsi" w:hAnsi="Times New Roman" w:cs="Times New Roman"/>
          <w:sz w:val="28"/>
          <w:szCs w:val="28"/>
          <w:lang w:eastAsia="en-US"/>
        </w:rPr>
        <w:t>11,0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 По сравнению с 1 кварталом 2015 года  поступление государственной пошлины </w:t>
      </w:r>
      <w:r w:rsidR="00B76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незначительно снизилось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0,</w:t>
      </w:r>
      <w:r w:rsidR="00B76E50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 на </w:t>
      </w:r>
      <w:r w:rsidR="00B76E50">
        <w:rPr>
          <w:rFonts w:ascii="Times New Roman" w:eastAsiaTheme="minorHAnsi" w:hAnsi="Times New Roman" w:cs="Times New Roman"/>
          <w:sz w:val="28"/>
          <w:szCs w:val="28"/>
          <w:lang w:eastAsia="en-US"/>
        </w:rPr>
        <w:t>10,0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%. Доля  государственной пошлины  в налоговых доходах бюджета поселения выросла  с </w:t>
      </w:r>
      <w:r w:rsidR="00B76E50">
        <w:rPr>
          <w:rFonts w:ascii="Times New Roman" w:eastAsiaTheme="minorHAnsi" w:hAnsi="Times New Roman" w:cs="Times New Roman"/>
          <w:sz w:val="28"/>
          <w:szCs w:val="28"/>
          <w:lang w:eastAsia="en-US"/>
        </w:rPr>
        <w:t>3,3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</w:t>
      </w:r>
      <w:r w:rsidR="00B76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19,1 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процента.</w:t>
      </w:r>
    </w:p>
    <w:p w:rsidR="008E4546" w:rsidRPr="00B76E50" w:rsidRDefault="008E4546" w:rsidP="008E454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E50">
        <w:rPr>
          <w:rFonts w:ascii="Times New Roman" w:hAnsi="Times New Roman" w:cs="Times New Roman"/>
          <w:sz w:val="28"/>
          <w:szCs w:val="28"/>
        </w:rPr>
        <w:t>Анализ поступления налога на доходы  физических лиц в  1 квартале 2016 года в сравнении с аналогичным периодом прошлого года представлен в следующей таблице.</w:t>
      </w:r>
    </w:p>
    <w:p w:rsidR="008E4546" w:rsidRPr="00B76E50" w:rsidRDefault="008E4546" w:rsidP="008E45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76E50">
        <w:rPr>
          <w:rFonts w:ascii="Times New Roman" w:hAnsi="Times New Roman" w:cs="Times New Roman"/>
        </w:rPr>
        <w:t>Таблица № 3</w:t>
      </w:r>
      <w:r w:rsidRPr="00B76E50">
        <w:rPr>
          <w:rFonts w:ascii="Times New Roman" w:hAnsi="Times New Roman" w:cs="Times New Roman"/>
        </w:rPr>
        <w:tab/>
        <w:t xml:space="preserve">                           тыс. руб.</w:t>
      </w:r>
    </w:p>
    <w:tbl>
      <w:tblPr>
        <w:tblStyle w:val="a3"/>
        <w:tblW w:w="9626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1971"/>
      </w:tblGrid>
      <w:tr w:rsidR="008E4546" w:rsidRPr="00B76E50" w:rsidTr="00E8680E">
        <w:tc>
          <w:tcPr>
            <w:tcW w:w="1862" w:type="dxa"/>
          </w:tcPr>
          <w:p w:rsidR="008E4546" w:rsidRPr="00B76E50" w:rsidRDefault="008E4546" w:rsidP="00E8680E">
            <w:pPr>
              <w:contextualSpacing/>
              <w:jc w:val="both"/>
              <w:rPr>
                <w:sz w:val="28"/>
                <w:szCs w:val="28"/>
              </w:rPr>
            </w:pPr>
            <w:r w:rsidRPr="00B76E50">
              <w:rPr>
                <w:sz w:val="28"/>
                <w:szCs w:val="28"/>
              </w:rPr>
              <w:t>Фактическое исполнение за 1 квартал 2015 года</w:t>
            </w:r>
          </w:p>
        </w:tc>
        <w:tc>
          <w:tcPr>
            <w:tcW w:w="1970" w:type="dxa"/>
          </w:tcPr>
          <w:p w:rsidR="008E4546" w:rsidRPr="00B76E50" w:rsidRDefault="008E4546" w:rsidP="00E8680E">
            <w:pPr>
              <w:contextualSpacing/>
              <w:jc w:val="both"/>
              <w:rPr>
                <w:sz w:val="28"/>
                <w:szCs w:val="28"/>
              </w:rPr>
            </w:pPr>
            <w:r w:rsidRPr="00B76E50">
              <w:rPr>
                <w:sz w:val="28"/>
                <w:szCs w:val="28"/>
              </w:rPr>
              <w:t>% исполнения от плановых назначений на 2015 год</w:t>
            </w:r>
          </w:p>
        </w:tc>
        <w:tc>
          <w:tcPr>
            <w:tcW w:w="1971" w:type="dxa"/>
          </w:tcPr>
          <w:p w:rsidR="008E4546" w:rsidRPr="00B76E50" w:rsidRDefault="008E4546" w:rsidP="00E8680E">
            <w:pPr>
              <w:contextualSpacing/>
              <w:jc w:val="both"/>
              <w:rPr>
                <w:sz w:val="28"/>
                <w:szCs w:val="28"/>
              </w:rPr>
            </w:pPr>
            <w:r w:rsidRPr="00B76E50">
              <w:rPr>
                <w:sz w:val="28"/>
                <w:szCs w:val="28"/>
              </w:rPr>
              <w:t>Фактическое исполнение за 1 квартал 2016 года</w:t>
            </w:r>
          </w:p>
        </w:tc>
        <w:tc>
          <w:tcPr>
            <w:tcW w:w="1852" w:type="dxa"/>
          </w:tcPr>
          <w:p w:rsidR="008E4546" w:rsidRPr="00B76E50" w:rsidRDefault="008E4546" w:rsidP="00E8680E">
            <w:pPr>
              <w:contextualSpacing/>
              <w:jc w:val="both"/>
              <w:rPr>
                <w:sz w:val="28"/>
                <w:szCs w:val="28"/>
              </w:rPr>
            </w:pPr>
            <w:r w:rsidRPr="00B76E50">
              <w:rPr>
                <w:sz w:val="28"/>
                <w:szCs w:val="28"/>
              </w:rPr>
              <w:t>% исполнения от плановых назначений на 2016 год</w:t>
            </w:r>
          </w:p>
        </w:tc>
        <w:tc>
          <w:tcPr>
            <w:tcW w:w="1971" w:type="dxa"/>
          </w:tcPr>
          <w:p w:rsidR="008E4546" w:rsidRPr="00B76E50" w:rsidRDefault="008E4546" w:rsidP="00E8680E">
            <w:pPr>
              <w:contextualSpacing/>
              <w:jc w:val="both"/>
              <w:rPr>
                <w:sz w:val="28"/>
                <w:szCs w:val="28"/>
              </w:rPr>
            </w:pPr>
            <w:r w:rsidRPr="00B76E50">
              <w:rPr>
                <w:sz w:val="28"/>
                <w:szCs w:val="28"/>
              </w:rPr>
              <w:t>Отклонение 1 квартала 2016года от 1 квартала 2015 года</w:t>
            </w:r>
          </w:p>
        </w:tc>
      </w:tr>
      <w:tr w:rsidR="008E4546" w:rsidRPr="00B76E50" w:rsidTr="00E8680E">
        <w:tc>
          <w:tcPr>
            <w:tcW w:w="1862" w:type="dxa"/>
          </w:tcPr>
          <w:p w:rsidR="008E4546" w:rsidRPr="00B76E50" w:rsidRDefault="008E4546" w:rsidP="00E8680E">
            <w:pPr>
              <w:contextualSpacing/>
              <w:jc w:val="right"/>
              <w:rPr>
                <w:sz w:val="28"/>
                <w:szCs w:val="28"/>
              </w:rPr>
            </w:pPr>
            <w:r w:rsidRPr="00B76E50">
              <w:rPr>
                <w:sz w:val="28"/>
                <w:szCs w:val="28"/>
              </w:rPr>
              <w:t>11,8</w:t>
            </w:r>
          </w:p>
        </w:tc>
        <w:tc>
          <w:tcPr>
            <w:tcW w:w="1970" w:type="dxa"/>
          </w:tcPr>
          <w:p w:rsidR="008E4546" w:rsidRPr="00B76E50" w:rsidRDefault="008E4546" w:rsidP="00E8680E">
            <w:pPr>
              <w:contextualSpacing/>
              <w:jc w:val="right"/>
              <w:rPr>
                <w:sz w:val="28"/>
                <w:szCs w:val="28"/>
              </w:rPr>
            </w:pPr>
            <w:r w:rsidRPr="00B76E50">
              <w:rPr>
                <w:sz w:val="28"/>
                <w:szCs w:val="28"/>
              </w:rPr>
              <w:t>34,7</w:t>
            </w:r>
          </w:p>
        </w:tc>
        <w:tc>
          <w:tcPr>
            <w:tcW w:w="1971" w:type="dxa"/>
          </w:tcPr>
          <w:p w:rsidR="008E4546" w:rsidRPr="00B76E50" w:rsidRDefault="008E4546" w:rsidP="00E8680E">
            <w:pPr>
              <w:contextualSpacing/>
              <w:jc w:val="center"/>
              <w:rPr>
                <w:sz w:val="28"/>
                <w:szCs w:val="28"/>
              </w:rPr>
            </w:pPr>
            <w:r w:rsidRPr="00B76E50">
              <w:rPr>
                <w:sz w:val="28"/>
                <w:szCs w:val="28"/>
              </w:rPr>
              <w:t>-4,3</w:t>
            </w:r>
          </w:p>
        </w:tc>
        <w:tc>
          <w:tcPr>
            <w:tcW w:w="1852" w:type="dxa"/>
          </w:tcPr>
          <w:p w:rsidR="008E4546" w:rsidRPr="00B76E50" w:rsidRDefault="008E4546" w:rsidP="00E8680E">
            <w:pPr>
              <w:contextualSpacing/>
              <w:jc w:val="right"/>
              <w:rPr>
                <w:sz w:val="28"/>
                <w:szCs w:val="28"/>
              </w:rPr>
            </w:pPr>
            <w:r w:rsidRPr="00B76E50">
              <w:rPr>
                <w:sz w:val="28"/>
                <w:szCs w:val="28"/>
              </w:rPr>
              <w:t>0,0</w:t>
            </w:r>
          </w:p>
        </w:tc>
        <w:tc>
          <w:tcPr>
            <w:tcW w:w="1971" w:type="dxa"/>
          </w:tcPr>
          <w:p w:rsidR="008E4546" w:rsidRPr="00B76E50" w:rsidRDefault="008E4546" w:rsidP="00E8680E">
            <w:pPr>
              <w:contextualSpacing/>
              <w:jc w:val="right"/>
              <w:rPr>
                <w:sz w:val="28"/>
                <w:szCs w:val="28"/>
              </w:rPr>
            </w:pPr>
            <w:r w:rsidRPr="00B76E50">
              <w:rPr>
                <w:sz w:val="28"/>
                <w:szCs w:val="28"/>
              </w:rPr>
              <w:t>-16,1</w:t>
            </w:r>
          </w:p>
        </w:tc>
      </w:tr>
    </w:tbl>
    <w:p w:rsidR="008E4546" w:rsidRPr="00B76E50" w:rsidRDefault="008E4546" w:rsidP="008E45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04676" w:rsidRPr="00C04676" w:rsidRDefault="008E4546" w:rsidP="00C04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B76E50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Налог на доходы физических лиц в 1 квартале 2016 года исполнен с минусом 4,3 тыс. рублей.</w:t>
      </w:r>
      <w:r w:rsidR="00C04676" w:rsidRPr="00C04676">
        <w:rPr>
          <w:rFonts w:ascii="Times New Roman" w:hAnsi="Times New Roman" w:cs="Times New Roman"/>
          <w:sz w:val="28"/>
          <w:szCs w:val="28"/>
        </w:rPr>
        <w:t xml:space="preserve"> </w:t>
      </w:r>
      <w:r w:rsidR="00C04676" w:rsidRPr="00C04676">
        <w:rPr>
          <w:rFonts w:ascii="Times New Roman" w:hAnsi="Times New Roman" w:cs="Times New Roman"/>
          <w:i/>
          <w:sz w:val="28"/>
          <w:szCs w:val="28"/>
        </w:rPr>
        <w:t>Таким образом, сумма возврата налога на доходы физических лиц превышает сумму поступления налога на 4,3 тыс. рублей.</w:t>
      </w:r>
    </w:p>
    <w:p w:rsidR="00C04676" w:rsidRPr="00C04676" w:rsidRDefault="008E4546" w:rsidP="00C0467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E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046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Плановые назначения на год составили 41,0 тыс. рублей. </w:t>
      </w:r>
      <w:r w:rsidR="00C04676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сравнению с 1 кварталом 2015 года  поступление </w:t>
      </w:r>
      <w:r w:rsidR="00C04676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налога на доходы физических лиц уменьшилось на 16,1 тыс. рублей.</w:t>
      </w:r>
      <w:r w:rsidR="00C04676" w:rsidRPr="00C04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FD7" w:rsidRPr="00F55FD7" w:rsidRDefault="00C04676" w:rsidP="00F55FD7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Невысокий уровень исполнения кассового плана за 1 квартал 2016года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за счет возврата налога на доходы физических лиц по налоговым декларациям.</w:t>
      </w:r>
    </w:p>
    <w:p w:rsidR="00F55FD7" w:rsidRPr="00F55FD7" w:rsidRDefault="00F55FD7" w:rsidP="00F55FD7">
      <w:pPr>
        <w:pStyle w:val="ConsPlusNonformat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55FD7" w:rsidRPr="00F55FD7" w:rsidRDefault="00C04676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     </w:t>
      </w:r>
      <w:r w:rsidR="00F55FD7" w:rsidRPr="00F55FD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Неналоговые доходы.</w:t>
      </w:r>
    </w:p>
    <w:p w:rsidR="00F55FD7" w:rsidRPr="00F55FD7" w:rsidRDefault="00F55FD7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C04676" w:rsidRDefault="00C04676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AA7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Неналоговые доходы исполнены в сумме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0,0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рублей.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Сумма утвержденных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показател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год  составляет - 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34,0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тыс.рублей. </w:t>
      </w:r>
    </w:p>
    <w:p w:rsidR="00C04676" w:rsidRPr="00F55FD7" w:rsidRDefault="00C04676" w:rsidP="00C046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сравнении с 1кварталом 2015 года поступление неналоговых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доходов снизилось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23,5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100 процентов.</w:t>
      </w:r>
    </w:p>
    <w:p w:rsidR="00A52EFA" w:rsidRPr="00A52EFA" w:rsidRDefault="00C04676" w:rsidP="00F55FD7">
      <w:pPr>
        <w:pStyle w:val="ConsPlusNonforma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EFA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F55FD7" w:rsidRPr="00A52EFA">
        <w:rPr>
          <w:rFonts w:ascii="Times New Roman" w:hAnsi="Times New Roman" w:cs="Times New Roman"/>
          <w:i/>
          <w:sz w:val="28"/>
          <w:szCs w:val="28"/>
        </w:rPr>
        <w:t xml:space="preserve">В соответствии  </w:t>
      </w:r>
      <w:r w:rsidR="00F55FD7" w:rsidRPr="00A52EF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 пояснительной запиской администрации поселения</w:t>
      </w:r>
      <w:r w:rsidR="00F55FD7" w:rsidRPr="00A52EFA">
        <w:rPr>
          <w:rFonts w:ascii="Times New Roman" w:hAnsi="Times New Roman" w:cs="Times New Roman"/>
          <w:i/>
          <w:sz w:val="28"/>
          <w:szCs w:val="28"/>
        </w:rPr>
        <w:t xml:space="preserve"> причина низкого исполнения доходов от сдачи в аренду имущества </w:t>
      </w:r>
      <w:r w:rsidR="00A52EFA" w:rsidRPr="00A52EFA">
        <w:rPr>
          <w:rFonts w:ascii="Times New Roman" w:hAnsi="Times New Roman" w:cs="Times New Roman"/>
          <w:i/>
          <w:sz w:val="28"/>
          <w:szCs w:val="28"/>
        </w:rPr>
        <w:t>не указана.</w:t>
      </w:r>
      <w:r w:rsidR="00F55FD7" w:rsidRPr="00A52EF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5FD7" w:rsidRPr="00820552" w:rsidRDefault="00A52EFA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82055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     </w:t>
      </w:r>
      <w:r w:rsidR="00F55FD7" w:rsidRPr="0082055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Безвозмездные поступления.</w:t>
      </w:r>
    </w:p>
    <w:p w:rsidR="00F55FD7" w:rsidRPr="00A52EFA" w:rsidRDefault="00F55FD7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iCs/>
          <w:color w:val="C00000"/>
          <w:sz w:val="28"/>
          <w:szCs w:val="28"/>
          <w:lang w:eastAsia="en-US"/>
        </w:rPr>
      </w:pPr>
    </w:p>
    <w:p w:rsidR="00F55FD7" w:rsidRPr="009E5D8C" w:rsidRDefault="00A52EFA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5D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F55FD7" w:rsidRPr="009E5D8C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Безвозмездные поступления в бюджет поселения</w:t>
      </w:r>
      <w:r w:rsidRPr="009E5D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20552" w:rsidRPr="009E5D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составили  474,1 </w:t>
      </w:r>
      <w:r w:rsidR="00F55FD7" w:rsidRPr="009E5D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тыс. рублей, или </w:t>
      </w:r>
      <w:r w:rsidR="00820552" w:rsidRPr="009E5D8C">
        <w:rPr>
          <w:rFonts w:ascii="Times New Roman" w:eastAsiaTheme="minorHAnsi" w:hAnsi="Times New Roman" w:cs="Times New Roman"/>
          <w:sz w:val="28"/>
          <w:szCs w:val="28"/>
          <w:lang w:eastAsia="en-US"/>
        </w:rPr>
        <w:t>20,9</w:t>
      </w:r>
      <w:r w:rsidR="00F55FD7" w:rsidRPr="009E5D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утвержденным назначениям в сумме </w:t>
      </w:r>
      <w:r w:rsidR="00820552" w:rsidRPr="009E5D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2265,2 </w:t>
      </w:r>
      <w:r w:rsidR="00F55FD7" w:rsidRPr="009E5D8C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тыс.рублей. По сравнению с 1 кварталом 2015 года безвозмездные поступления</w:t>
      </w:r>
      <w:r w:rsidRPr="009E5D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55FD7" w:rsidRPr="009E5D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увеличились на </w:t>
      </w:r>
      <w:r w:rsidR="00820552" w:rsidRPr="009E5D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50,4 </w:t>
      </w:r>
      <w:r w:rsidR="00F55FD7" w:rsidRPr="009E5D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тыс. рублей, </w:t>
      </w:r>
      <w:r w:rsidR="00820552" w:rsidRPr="009E5D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на 11,9% </w:t>
      </w:r>
      <w:r w:rsidR="00F55FD7" w:rsidRPr="009E5D8C">
        <w:rPr>
          <w:rFonts w:ascii="Times New Roman" w:eastAsiaTheme="minorHAnsi" w:hAnsi="Times New Roman" w:cs="Times New Roman"/>
          <w:sz w:val="28"/>
          <w:szCs w:val="28"/>
          <w:lang w:eastAsia="en-US"/>
        </w:rPr>
        <w:t>их доля в общих доходах бюджета поселения</w:t>
      </w:r>
      <w:r w:rsidRPr="009E5D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55FD7" w:rsidRPr="009E5D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составила </w:t>
      </w:r>
      <w:r w:rsidR="00820552" w:rsidRPr="009E5D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987,0 </w:t>
      </w:r>
      <w:r w:rsidR="00F55FD7" w:rsidRPr="009E5D8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процента.</w:t>
      </w:r>
    </w:p>
    <w:p w:rsidR="00F55FD7" w:rsidRDefault="00A52EFA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5D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F55FD7" w:rsidRPr="009E5D8C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Структура безвозмездных поступлений в сравнении с 1 кварталом 2015 года отражена на следующей диаграмме:</w:t>
      </w:r>
    </w:p>
    <w:p w:rsidR="009E5D8C" w:rsidRDefault="009E5D8C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5D8C" w:rsidRPr="009E5D8C" w:rsidRDefault="009E5D8C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9E5D8C">
        <w:rPr>
          <w:rFonts w:ascii="Times New Roman" w:hAnsi="Times New Roman" w:cs="Times New Roman"/>
          <w:noProof/>
        </w:rPr>
        <w:drawing>
          <wp:inline distT="0" distB="0" distL="0" distR="0">
            <wp:extent cx="6188287" cy="3793066"/>
            <wp:effectExtent l="19050" t="0" r="22013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55FD7" w:rsidRPr="00F55FD7" w:rsidRDefault="00F55FD7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5FD7" w:rsidRPr="00F55FD7" w:rsidRDefault="00F55FD7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5FD7" w:rsidRPr="00F55FD7" w:rsidRDefault="00077F52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отчетном периоде дотации из районного бюджета бюджетам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субъектов Российской Федерации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муниципальным образованиям поступили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сумме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429,5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21,4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% к утвержденным назначениям в сумме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2005,4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Доля дотаций в общем объеме безвозмездных поступлений составила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90,6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F55FD7" w:rsidRPr="00F55FD7" w:rsidRDefault="00077F52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Субвенции бюджетам субъектов Российской Федерации и муниципальных образований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поступили в сумме 22,7 тыс. рублей, или 24,8% к утвержденным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назначениям в сумме 91,4тыс. рублей. Из 2 видов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субвенций в течение 1 квартала текущего года поступила субвенция на осуществление первичного воинского учета. По сравнению с 1 кварталом 2015 года субвенция возросла на 5,6 тыс. рублей, или на 32,7 процента. Доля субвенций в общем объеме безвозмездных поступлений составила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4,6</w:t>
      </w:r>
      <w:r w:rsidR="00F55FD7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F55FD7" w:rsidRPr="00F55FD7" w:rsidRDefault="00F55FD7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Иные межбюджетные трансферты  в 1 квартале 2016 года исполнены в сумме </w:t>
      </w:r>
      <w:r w:rsidR="00077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21,9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тыс. рублей, или </w:t>
      </w:r>
      <w:r w:rsidR="00077F52">
        <w:rPr>
          <w:rFonts w:ascii="Times New Roman" w:eastAsiaTheme="minorHAnsi" w:hAnsi="Times New Roman" w:cs="Times New Roman"/>
          <w:sz w:val="28"/>
          <w:szCs w:val="28"/>
          <w:lang w:eastAsia="en-US"/>
        </w:rPr>
        <w:t>13,0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</w:t>
      </w:r>
      <w:r w:rsidR="00077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к утвержденным</w:t>
      </w:r>
      <w:r w:rsidR="00077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назначениям в сумме </w:t>
      </w:r>
      <w:r w:rsidR="00077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168,4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числе:</w:t>
      </w:r>
    </w:p>
    <w:p w:rsidR="00F55FD7" w:rsidRPr="00F55FD7" w:rsidRDefault="00F55FD7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 передаваемые полномочия с уровня района в соответствии с заключенными соглашениями в сумме </w:t>
      </w:r>
      <w:r w:rsidR="00DE5545">
        <w:rPr>
          <w:rFonts w:ascii="Times New Roman" w:eastAsiaTheme="minorHAnsi" w:hAnsi="Times New Roman" w:cs="Times New Roman"/>
          <w:sz w:val="28"/>
          <w:szCs w:val="28"/>
          <w:lang w:eastAsia="en-US"/>
        </w:rPr>
        <w:t>21,9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</w:t>
      </w:r>
      <w:r w:rsidR="00DE5545">
        <w:rPr>
          <w:rFonts w:ascii="Times New Roman" w:eastAsiaTheme="minorHAnsi" w:hAnsi="Times New Roman" w:cs="Times New Roman"/>
          <w:sz w:val="28"/>
          <w:szCs w:val="28"/>
          <w:lang w:eastAsia="en-US"/>
        </w:rPr>
        <w:t>, из них 19,7 тыс. рублей на содержание дорог и 3,2 тыс. рублей</w:t>
      </w:r>
      <w:r w:rsidR="003B5C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 </w:t>
      </w:r>
      <w:r w:rsidR="00DE55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имущественные взносы по муниципальному жилью в НО «Фонд капитального ремонта многоквартирных домов»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77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сравнению с 1 кварталом 2015 года иные межбюджетные трансферты возросли на </w:t>
      </w:r>
      <w:r w:rsidR="00DE5545">
        <w:rPr>
          <w:rFonts w:ascii="Times New Roman" w:eastAsiaTheme="minorHAnsi" w:hAnsi="Times New Roman" w:cs="Times New Roman"/>
          <w:sz w:val="28"/>
          <w:szCs w:val="28"/>
          <w:lang w:eastAsia="en-US"/>
        </w:rPr>
        <w:t>21,9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100 процентов. Доля иных межбюджетных трансфертов в общем объеме безвозмездных поступлений составила </w:t>
      </w:r>
      <w:r w:rsidR="00DE5545">
        <w:rPr>
          <w:rFonts w:ascii="Times New Roman" w:eastAsiaTheme="minorHAnsi" w:hAnsi="Times New Roman" w:cs="Times New Roman"/>
          <w:sz w:val="28"/>
          <w:szCs w:val="28"/>
          <w:lang w:eastAsia="en-US"/>
        </w:rPr>
        <w:t>4,6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F55FD7" w:rsidRPr="00F55FD7" w:rsidRDefault="00F55FD7" w:rsidP="00F55FD7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FD7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налоговых доходов бюджета поселения проведен анализ объема задолженности плательщиков по налогам по состоянию на 01января и 01 апреля </w:t>
      </w:r>
      <w:r w:rsidR="00DE5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color w:val="000000"/>
          <w:sz w:val="28"/>
          <w:szCs w:val="28"/>
        </w:rPr>
        <w:t xml:space="preserve">2015 года, а также на   01 января и  01 апреля 2016 года. </w:t>
      </w: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FD7" w:rsidRPr="00F55FD7" w:rsidRDefault="00F55FD7" w:rsidP="00F55FD7">
      <w:pPr>
        <w:pStyle w:val="a9"/>
        <w:spacing w:after="0"/>
        <w:ind w:firstLine="709"/>
        <w:contextualSpacing/>
        <w:jc w:val="both"/>
        <w:rPr>
          <w:sz w:val="28"/>
          <w:szCs w:val="28"/>
        </w:rPr>
      </w:pPr>
      <w:r w:rsidRPr="00F55FD7">
        <w:rPr>
          <w:sz w:val="28"/>
          <w:szCs w:val="28"/>
        </w:rPr>
        <w:t>Объем недоимки по налоговым доходам в разрезе источников  образования  представлен в следующей таблице.</w:t>
      </w:r>
    </w:p>
    <w:p w:rsidR="00F55FD7" w:rsidRP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5FD7" w:rsidRP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55FD7">
        <w:rPr>
          <w:rFonts w:ascii="Times New Roman" w:hAnsi="Times New Roman" w:cs="Times New Roman"/>
        </w:rPr>
        <w:t xml:space="preserve">Таблица № 4                </w:t>
      </w:r>
      <w:r w:rsidR="00DE5545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F55FD7">
        <w:rPr>
          <w:rFonts w:ascii="Times New Roman" w:hAnsi="Times New Roman" w:cs="Times New Roman"/>
        </w:rPr>
        <w:t xml:space="preserve">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F55FD7" w:rsidRPr="00F55FD7" w:rsidTr="00E8680E">
        <w:trPr>
          <w:trHeight w:val="1985"/>
        </w:trPr>
        <w:tc>
          <w:tcPr>
            <w:tcW w:w="3227" w:type="dxa"/>
          </w:tcPr>
          <w:p w:rsidR="00F55FD7" w:rsidRPr="009945BA" w:rsidRDefault="00F55FD7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F55FD7" w:rsidRPr="009945BA" w:rsidRDefault="00F55FD7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задолженности плательщиков</w:t>
            </w:r>
          </w:p>
          <w:p w:rsidR="00F55FD7" w:rsidRPr="009945BA" w:rsidRDefault="00F55FD7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состоянию на 01.01.2015 года</w:t>
            </w:r>
          </w:p>
          <w:p w:rsidR="00F55FD7" w:rsidRPr="009945BA" w:rsidRDefault="00F55FD7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55FD7" w:rsidRPr="009945BA" w:rsidRDefault="00F55FD7" w:rsidP="00F55FD7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задолженности плательщиков по состоянию на 01.01.2016 года</w:t>
            </w:r>
          </w:p>
        </w:tc>
        <w:tc>
          <w:tcPr>
            <w:tcW w:w="992" w:type="dxa"/>
          </w:tcPr>
          <w:p w:rsidR="00F55FD7" w:rsidRPr="009945BA" w:rsidRDefault="00F55FD7" w:rsidP="00F55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задолженности плательщиков по состоянию на 01.04.2015</w:t>
            </w:r>
            <w:r w:rsidR="009945BA"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134" w:type="dxa"/>
          </w:tcPr>
          <w:p w:rsidR="00F55FD7" w:rsidRPr="009945BA" w:rsidRDefault="00F55FD7" w:rsidP="00F55FD7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задолженности плательщиков по состоянию на 01.04.2016 года</w:t>
            </w:r>
          </w:p>
        </w:tc>
        <w:tc>
          <w:tcPr>
            <w:tcW w:w="1134" w:type="dxa"/>
          </w:tcPr>
          <w:p w:rsidR="00F55FD7" w:rsidRPr="009945BA" w:rsidRDefault="00F55FD7" w:rsidP="00F55FD7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 недоимки   на 01.01.2016года от 01.01.2015года (+увеличение;- уменьшение</w:t>
            </w:r>
          </w:p>
        </w:tc>
        <w:tc>
          <w:tcPr>
            <w:tcW w:w="993" w:type="dxa"/>
          </w:tcPr>
          <w:p w:rsidR="00F55FD7" w:rsidRPr="009945BA" w:rsidRDefault="00F55FD7" w:rsidP="00F55FD7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 недоимки на 01.04.2016 года от 01.04.2015 года (+-увеличение;- уменьшение)</w:t>
            </w:r>
          </w:p>
        </w:tc>
      </w:tr>
      <w:tr w:rsidR="00F55FD7" w:rsidRPr="00F55FD7" w:rsidTr="00E8680E">
        <w:tc>
          <w:tcPr>
            <w:tcW w:w="3227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55FD7" w:rsidRPr="00F55FD7" w:rsidRDefault="00F55FD7" w:rsidP="00F55FD7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55FD7" w:rsidRPr="00F55FD7" w:rsidRDefault="00F55FD7" w:rsidP="00F55FD7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FD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F55FD7" w:rsidRPr="00F55FD7" w:rsidTr="00E8680E">
        <w:tc>
          <w:tcPr>
            <w:tcW w:w="3227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1134" w:type="dxa"/>
          </w:tcPr>
          <w:p w:rsidR="00F55FD7" w:rsidRPr="009945BA" w:rsidRDefault="00F55FD7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55FD7" w:rsidRPr="009945BA" w:rsidRDefault="00B15B8E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55FD7" w:rsidRPr="009945BA" w:rsidRDefault="009945B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5FD7" w:rsidRPr="009945BA" w:rsidRDefault="00D52B77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5FD7" w:rsidRPr="009945BA" w:rsidRDefault="00B15B8E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55FD7" w:rsidRPr="009945BA" w:rsidRDefault="00B15B8E" w:rsidP="00684A7F">
            <w:pPr>
              <w:tabs>
                <w:tab w:val="center" w:pos="388"/>
                <w:tab w:val="right" w:pos="777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55FD7" w:rsidRPr="00F55FD7" w:rsidTr="00E8680E">
        <w:tc>
          <w:tcPr>
            <w:tcW w:w="3227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F55FD7" w:rsidRPr="009945BA" w:rsidRDefault="009945B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992" w:type="dxa"/>
          </w:tcPr>
          <w:p w:rsidR="00F55FD7" w:rsidRPr="009945BA" w:rsidRDefault="00B15B8E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143,6</w:t>
            </w:r>
          </w:p>
        </w:tc>
        <w:tc>
          <w:tcPr>
            <w:tcW w:w="992" w:type="dxa"/>
          </w:tcPr>
          <w:p w:rsidR="00F55FD7" w:rsidRPr="009945BA" w:rsidRDefault="009945B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  <w:tc>
          <w:tcPr>
            <w:tcW w:w="1134" w:type="dxa"/>
          </w:tcPr>
          <w:p w:rsidR="00F55FD7" w:rsidRPr="009945BA" w:rsidRDefault="00D52B77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134" w:type="dxa"/>
          </w:tcPr>
          <w:p w:rsidR="00F55FD7" w:rsidRPr="009945BA" w:rsidRDefault="00B15B8E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  <w:tc>
          <w:tcPr>
            <w:tcW w:w="993" w:type="dxa"/>
          </w:tcPr>
          <w:p w:rsidR="00F55FD7" w:rsidRPr="009945BA" w:rsidRDefault="00B15B8E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</w:t>
            </w:r>
          </w:p>
        </w:tc>
      </w:tr>
      <w:tr w:rsidR="00F55FD7" w:rsidRPr="00F55FD7" w:rsidTr="00E8680E">
        <w:tc>
          <w:tcPr>
            <w:tcW w:w="3227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</w:tcPr>
          <w:p w:rsidR="00F55FD7" w:rsidRPr="009945BA" w:rsidRDefault="009945B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992" w:type="dxa"/>
          </w:tcPr>
          <w:p w:rsidR="00F55FD7" w:rsidRPr="009945BA" w:rsidRDefault="00B15B8E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992" w:type="dxa"/>
          </w:tcPr>
          <w:p w:rsidR="009945BA" w:rsidRPr="009945BA" w:rsidRDefault="009945BA" w:rsidP="009945B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134" w:type="dxa"/>
          </w:tcPr>
          <w:p w:rsidR="00F55FD7" w:rsidRPr="009945BA" w:rsidRDefault="00D52B77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134" w:type="dxa"/>
          </w:tcPr>
          <w:p w:rsidR="00F55FD7" w:rsidRPr="009945BA" w:rsidRDefault="00B15B8E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F55FD7" w:rsidRPr="009945BA" w:rsidRDefault="00B15B8E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D52B77" w:rsidRPr="00F55FD7" w:rsidTr="00E8680E">
        <w:tc>
          <w:tcPr>
            <w:tcW w:w="3227" w:type="dxa"/>
          </w:tcPr>
          <w:p w:rsidR="00D52B77" w:rsidRPr="009945BA" w:rsidRDefault="009945BA" w:rsidP="009945B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5BA">
              <w:rPr>
                <w:rFonts w:ascii="Times New Roman" w:eastAsia="Times New Roman" w:hAnsi="Times New Roman" w:cs="Times New Roman"/>
                <w:sz w:val="28"/>
                <w:szCs w:val="28"/>
              </w:rPr>
              <w:t>Задолженность и перерасчеты по отмененным налогам и сборам (имущество)</w:t>
            </w:r>
          </w:p>
        </w:tc>
        <w:tc>
          <w:tcPr>
            <w:tcW w:w="1134" w:type="dxa"/>
          </w:tcPr>
          <w:p w:rsidR="00D52B77" w:rsidRPr="009945BA" w:rsidRDefault="009945B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992" w:type="dxa"/>
          </w:tcPr>
          <w:p w:rsidR="00D52B77" w:rsidRPr="009945BA" w:rsidRDefault="00B15B8E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992" w:type="dxa"/>
          </w:tcPr>
          <w:p w:rsidR="00D52B77" w:rsidRPr="009945BA" w:rsidRDefault="009945B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134" w:type="dxa"/>
          </w:tcPr>
          <w:p w:rsidR="00D52B77" w:rsidRPr="009945BA" w:rsidRDefault="00D52B77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</w:t>
            </w:r>
          </w:p>
        </w:tc>
        <w:tc>
          <w:tcPr>
            <w:tcW w:w="1134" w:type="dxa"/>
          </w:tcPr>
          <w:p w:rsidR="00D52B77" w:rsidRPr="009945BA" w:rsidRDefault="00B15B8E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D52B77" w:rsidRPr="009945BA" w:rsidRDefault="00B15B8E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55FD7" w:rsidRPr="00F55FD7" w:rsidTr="00E8680E">
        <w:tc>
          <w:tcPr>
            <w:tcW w:w="3227" w:type="dxa"/>
          </w:tcPr>
          <w:p w:rsidR="00F55FD7" w:rsidRPr="00F55FD7" w:rsidRDefault="00F55FD7" w:rsidP="00F55FD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F55FD7" w:rsidRPr="009945BA" w:rsidRDefault="009945B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150,2</w:t>
            </w:r>
          </w:p>
        </w:tc>
        <w:tc>
          <w:tcPr>
            <w:tcW w:w="992" w:type="dxa"/>
          </w:tcPr>
          <w:p w:rsidR="00F55FD7" w:rsidRPr="009945BA" w:rsidRDefault="00B15B8E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</w:tcPr>
          <w:p w:rsidR="00F55FD7" w:rsidRPr="009945BA" w:rsidRDefault="009945B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149,1</w:t>
            </w:r>
          </w:p>
        </w:tc>
        <w:tc>
          <w:tcPr>
            <w:tcW w:w="1134" w:type="dxa"/>
          </w:tcPr>
          <w:p w:rsidR="00F55FD7" w:rsidRPr="009945BA" w:rsidRDefault="00D52B77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229,0</w:t>
            </w:r>
          </w:p>
        </w:tc>
        <w:tc>
          <w:tcPr>
            <w:tcW w:w="1134" w:type="dxa"/>
          </w:tcPr>
          <w:p w:rsidR="00F55FD7" w:rsidRPr="009945BA" w:rsidRDefault="00B15B8E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993" w:type="dxa"/>
          </w:tcPr>
          <w:p w:rsidR="00F55FD7" w:rsidRPr="009945BA" w:rsidRDefault="00B15B8E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</w:tr>
    </w:tbl>
    <w:p w:rsidR="00F55FD7" w:rsidRP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FD7" w:rsidRPr="00F55FD7" w:rsidRDefault="00B15B8E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F55FD7" w:rsidRPr="00F55FD7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вышеприведенного анализа  наблюдается  рост  задолженности плательщиков по платежам в бюджет  в сравнении задолженности на 01.01.2016 года с аналогичным периодом прошлого года   на </w:t>
      </w:r>
      <w:r>
        <w:rPr>
          <w:rFonts w:ascii="Times New Roman" w:hAnsi="Times New Roman" w:cs="Times New Roman"/>
          <w:color w:val="000000"/>
          <w:sz w:val="28"/>
          <w:szCs w:val="28"/>
        </w:rPr>
        <w:t>40,8</w:t>
      </w:r>
      <w:r w:rsidR="00F55FD7" w:rsidRPr="00F55FD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color w:val="000000"/>
          <w:sz w:val="28"/>
          <w:szCs w:val="28"/>
        </w:rPr>
        <w:t>на 27,2 %</w:t>
      </w:r>
      <w:r w:rsidR="00ED2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5FD7" w:rsidRPr="00F55FD7">
        <w:rPr>
          <w:rFonts w:ascii="Times New Roman" w:hAnsi="Times New Roman" w:cs="Times New Roman"/>
          <w:color w:val="000000"/>
          <w:sz w:val="28"/>
          <w:szCs w:val="28"/>
        </w:rPr>
        <w:t xml:space="preserve">, на 01.04.2016 года на </w:t>
      </w:r>
      <w:r w:rsidR="00ED2328">
        <w:rPr>
          <w:rFonts w:ascii="Times New Roman" w:hAnsi="Times New Roman" w:cs="Times New Roman"/>
          <w:color w:val="000000"/>
          <w:sz w:val="28"/>
          <w:szCs w:val="28"/>
        </w:rPr>
        <w:t>79,9</w:t>
      </w:r>
      <w:r w:rsidR="00F55FD7" w:rsidRPr="00F55FD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</w:t>
      </w:r>
      <w:r w:rsidR="00ED2328">
        <w:rPr>
          <w:rFonts w:ascii="Times New Roman" w:hAnsi="Times New Roman" w:cs="Times New Roman"/>
          <w:color w:val="000000"/>
          <w:sz w:val="28"/>
          <w:szCs w:val="28"/>
        </w:rPr>
        <w:t>на 53,6%</w:t>
      </w:r>
      <w:r w:rsidR="00F55FD7" w:rsidRPr="00F55FD7">
        <w:rPr>
          <w:rFonts w:ascii="Times New Roman" w:hAnsi="Times New Roman" w:cs="Times New Roman"/>
          <w:color w:val="000000"/>
          <w:sz w:val="28"/>
          <w:szCs w:val="28"/>
        </w:rPr>
        <w:t>, в том числе в разрезе налоговых источников:</w:t>
      </w:r>
    </w:p>
    <w:p w:rsidR="00F55FD7" w:rsidRPr="00F55FD7" w:rsidRDefault="00F55FD7" w:rsidP="00F55F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F55FD7">
        <w:rPr>
          <w:rFonts w:ascii="Times New Roman" w:hAnsi="Times New Roman" w:cs="Times New Roman"/>
          <w:color w:val="000000"/>
          <w:sz w:val="28"/>
          <w:szCs w:val="28"/>
        </w:rPr>
        <w:t xml:space="preserve">по налогу на имущество физических лиц на </w:t>
      </w:r>
      <w:r w:rsidR="00ED2328">
        <w:rPr>
          <w:rFonts w:ascii="Times New Roman" w:hAnsi="Times New Roman" w:cs="Times New Roman"/>
          <w:color w:val="000000"/>
          <w:sz w:val="28"/>
          <w:szCs w:val="28"/>
        </w:rPr>
        <w:t>77,4</w:t>
      </w:r>
      <w:r w:rsidRPr="00F55FD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 </w:t>
      </w:r>
      <w:r w:rsidR="00ED2328">
        <w:rPr>
          <w:rFonts w:ascii="Times New Roman" w:hAnsi="Times New Roman" w:cs="Times New Roman"/>
          <w:color w:val="000000"/>
          <w:sz w:val="28"/>
          <w:szCs w:val="28"/>
        </w:rPr>
        <w:t>на 73,4 процента</w:t>
      </w:r>
      <w:r w:rsidRPr="00F55F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5FD7" w:rsidRPr="00F55FD7" w:rsidRDefault="00F55FD7" w:rsidP="00F55F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- по земельному налогу на </w:t>
      </w:r>
      <w:r w:rsidR="00684A7F">
        <w:rPr>
          <w:rFonts w:ascii="Times New Roman" w:hAnsi="Times New Roman" w:cs="Times New Roman"/>
          <w:sz w:val="28"/>
          <w:szCs w:val="28"/>
        </w:rPr>
        <w:t>2</w:t>
      </w:r>
      <w:r w:rsidR="00ED2328">
        <w:rPr>
          <w:rFonts w:ascii="Times New Roman" w:hAnsi="Times New Roman" w:cs="Times New Roman"/>
          <w:sz w:val="28"/>
          <w:szCs w:val="28"/>
        </w:rPr>
        <w:t>,5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D2328">
        <w:rPr>
          <w:rFonts w:ascii="Times New Roman" w:hAnsi="Times New Roman" w:cs="Times New Roman"/>
          <w:sz w:val="28"/>
          <w:szCs w:val="28"/>
        </w:rPr>
        <w:t>29,8</w:t>
      </w:r>
      <w:r w:rsidRPr="00F55FD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55FD7" w:rsidRPr="00F55FD7" w:rsidRDefault="00ED2328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5FD7" w:rsidRPr="00F55FD7">
        <w:rPr>
          <w:rFonts w:ascii="Times New Roman" w:hAnsi="Times New Roman" w:cs="Times New Roman"/>
          <w:sz w:val="28"/>
          <w:szCs w:val="28"/>
        </w:rPr>
        <w:t xml:space="preserve"> Из имеющихся данных на 01.04.2016 года следует, что наибольший удельный вес в структуре недоимки по платежам составляет налог на имущество  физических лиц – </w:t>
      </w:r>
      <w:r>
        <w:rPr>
          <w:rFonts w:ascii="Times New Roman" w:hAnsi="Times New Roman" w:cs="Times New Roman"/>
          <w:sz w:val="28"/>
          <w:szCs w:val="28"/>
        </w:rPr>
        <w:t>96,9</w:t>
      </w:r>
      <w:r w:rsidR="00F55FD7" w:rsidRPr="00F55FD7">
        <w:rPr>
          <w:rFonts w:ascii="Times New Roman" w:hAnsi="Times New Roman" w:cs="Times New Roman"/>
          <w:sz w:val="28"/>
          <w:szCs w:val="28"/>
        </w:rPr>
        <w:t xml:space="preserve">  % от общей суммы недоимки, на втором</w:t>
      </w:r>
      <w:r>
        <w:rPr>
          <w:rFonts w:ascii="Times New Roman" w:hAnsi="Times New Roman" w:cs="Times New Roman"/>
          <w:sz w:val="28"/>
          <w:szCs w:val="28"/>
        </w:rPr>
        <w:t xml:space="preserve"> и последнем </w:t>
      </w:r>
      <w:r w:rsidR="00F55FD7" w:rsidRPr="00F55FD7">
        <w:rPr>
          <w:rFonts w:ascii="Times New Roman" w:hAnsi="Times New Roman" w:cs="Times New Roman"/>
          <w:sz w:val="28"/>
          <w:szCs w:val="28"/>
        </w:rPr>
        <w:t xml:space="preserve"> месте 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FD7" w:rsidRPr="00F55FD7">
        <w:rPr>
          <w:rFonts w:ascii="Times New Roman" w:hAnsi="Times New Roman" w:cs="Times New Roman"/>
          <w:color w:val="000000"/>
          <w:sz w:val="28"/>
          <w:szCs w:val="28"/>
        </w:rPr>
        <w:t>по земельному налогу –</w:t>
      </w:r>
      <w:r>
        <w:rPr>
          <w:rFonts w:ascii="Times New Roman" w:hAnsi="Times New Roman" w:cs="Times New Roman"/>
          <w:sz w:val="28"/>
          <w:szCs w:val="28"/>
        </w:rPr>
        <w:t>3,1</w:t>
      </w:r>
      <w:r w:rsidR="00F55FD7" w:rsidRPr="00F55FD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55FD7" w:rsidRPr="00F55FD7" w:rsidRDefault="00F55FD7" w:rsidP="00F55FD7">
      <w:pPr>
        <w:pStyle w:val="a9"/>
        <w:spacing w:after="0"/>
        <w:ind w:firstLine="709"/>
        <w:contextualSpacing/>
        <w:jc w:val="both"/>
        <w:rPr>
          <w:color w:val="FF0000"/>
          <w:sz w:val="28"/>
          <w:szCs w:val="28"/>
        </w:rPr>
      </w:pPr>
    </w:p>
    <w:p w:rsidR="00F55FD7" w:rsidRPr="00F55FD7" w:rsidRDefault="00F55FD7" w:rsidP="00F55FD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5FD7">
        <w:rPr>
          <w:rFonts w:ascii="Times New Roman" w:hAnsi="Times New Roman" w:cs="Times New Roman"/>
          <w:b/>
          <w:i/>
          <w:sz w:val="28"/>
          <w:szCs w:val="28"/>
        </w:rPr>
        <w:t>Расходы бюджета поселения</w:t>
      </w:r>
    </w:p>
    <w:p w:rsidR="00F55FD7" w:rsidRPr="00F55FD7" w:rsidRDefault="00F55FD7" w:rsidP="00F55FD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5FD7" w:rsidRPr="003A70B2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7EA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3A70B2">
        <w:rPr>
          <w:rFonts w:ascii="Times New Roman" w:hAnsi="Times New Roman" w:cs="Times New Roman"/>
          <w:sz w:val="28"/>
          <w:szCs w:val="28"/>
        </w:rPr>
        <w:t xml:space="preserve"> Расходы бюджета поселения за 1 квартал 2016 года исполнены в сумме</w:t>
      </w:r>
      <w:r w:rsidR="00FB67EA" w:rsidRPr="003A70B2">
        <w:rPr>
          <w:rFonts w:ascii="Times New Roman" w:hAnsi="Times New Roman" w:cs="Times New Roman"/>
          <w:sz w:val="28"/>
          <w:szCs w:val="28"/>
        </w:rPr>
        <w:t xml:space="preserve"> </w:t>
      </w:r>
      <w:r w:rsidR="003A70B2" w:rsidRPr="003A70B2">
        <w:rPr>
          <w:rFonts w:ascii="Times New Roman" w:hAnsi="Times New Roman" w:cs="Times New Roman"/>
          <w:sz w:val="28"/>
          <w:szCs w:val="28"/>
        </w:rPr>
        <w:t>497,7</w:t>
      </w:r>
      <w:r w:rsidRPr="003A70B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A70B2" w:rsidRPr="003A70B2">
        <w:rPr>
          <w:rFonts w:ascii="Times New Roman" w:hAnsi="Times New Roman" w:cs="Times New Roman"/>
          <w:sz w:val="28"/>
          <w:szCs w:val="28"/>
        </w:rPr>
        <w:t>19,8</w:t>
      </w:r>
      <w:r w:rsidRPr="003A70B2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3A70B2" w:rsidRPr="003A70B2">
        <w:rPr>
          <w:rFonts w:ascii="Times New Roman" w:hAnsi="Times New Roman" w:cs="Times New Roman"/>
          <w:sz w:val="28"/>
          <w:szCs w:val="28"/>
        </w:rPr>
        <w:t>2508,2</w:t>
      </w:r>
      <w:r w:rsidRPr="003A70B2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2015 года  расходы у</w:t>
      </w:r>
      <w:r w:rsidR="003A70B2" w:rsidRPr="003A70B2">
        <w:rPr>
          <w:rFonts w:ascii="Times New Roman" w:hAnsi="Times New Roman" w:cs="Times New Roman"/>
          <w:sz w:val="28"/>
          <w:szCs w:val="28"/>
        </w:rPr>
        <w:t xml:space="preserve">меньшились </w:t>
      </w:r>
      <w:r w:rsidRPr="003A70B2">
        <w:rPr>
          <w:rFonts w:ascii="Times New Roman" w:hAnsi="Times New Roman" w:cs="Times New Roman"/>
          <w:sz w:val="28"/>
          <w:szCs w:val="28"/>
        </w:rPr>
        <w:t xml:space="preserve"> на </w:t>
      </w:r>
      <w:r w:rsidR="003A70B2" w:rsidRPr="003A70B2">
        <w:rPr>
          <w:rFonts w:ascii="Times New Roman" w:hAnsi="Times New Roman" w:cs="Times New Roman"/>
          <w:sz w:val="28"/>
          <w:szCs w:val="28"/>
        </w:rPr>
        <w:t>27,4</w:t>
      </w:r>
      <w:r w:rsidRPr="003A70B2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3A70B2" w:rsidRPr="003A70B2">
        <w:rPr>
          <w:rFonts w:ascii="Times New Roman" w:hAnsi="Times New Roman" w:cs="Times New Roman"/>
          <w:sz w:val="28"/>
          <w:szCs w:val="28"/>
        </w:rPr>
        <w:t>5,2</w:t>
      </w:r>
      <w:r w:rsidRPr="003A70B2">
        <w:rPr>
          <w:rFonts w:ascii="Times New Roman" w:hAnsi="Times New Roman" w:cs="Times New Roman"/>
          <w:sz w:val="28"/>
          <w:szCs w:val="28"/>
        </w:rPr>
        <w:t>%).</w:t>
      </w:r>
    </w:p>
    <w:p w:rsidR="00FB67EA" w:rsidRPr="003A70B2" w:rsidRDefault="00F55FD7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70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Структура  исполнения бюджета поселения по расходам в сравнении с 1 кварталом 2015 года отражена на следующей диаграмме:</w:t>
      </w:r>
    </w:p>
    <w:p w:rsidR="00FB67EA" w:rsidRPr="00FB67EA" w:rsidRDefault="00FB67EA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C00000"/>
        </w:rPr>
      </w:pPr>
    </w:p>
    <w:p w:rsidR="00FB67EA" w:rsidRDefault="00F55FD7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F55FD7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</w:t>
      </w:r>
      <w:r w:rsidR="00FB67EA">
        <w:rPr>
          <w:rFonts w:ascii="Times New Roman" w:hAnsi="Times New Roman" w:cs="Times New Roman"/>
          <w:noProof/>
        </w:rPr>
        <w:t xml:space="preserve">                                </w:t>
      </w:r>
      <w:r w:rsidRPr="00F55FD7">
        <w:rPr>
          <w:rFonts w:ascii="Times New Roman" w:hAnsi="Times New Roman" w:cs="Times New Roman"/>
          <w:noProof/>
        </w:rPr>
        <w:t xml:space="preserve">                             тыс. руб.</w:t>
      </w:r>
    </w:p>
    <w:p w:rsidR="00FB67EA" w:rsidRDefault="00FB67EA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FB67EA" w:rsidRDefault="004E591C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4E591C">
        <w:rPr>
          <w:rFonts w:ascii="Times New Roman" w:hAnsi="Times New Roman" w:cs="Times New Roman"/>
          <w:noProof/>
        </w:rPr>
        <w:drawing>
          <wp:inline distT="0" distB="0" distL="0" distR="0">
            <wp:extent cx="6221660" cy="4143022"/>
            <wp:effectExtent l="19050" t="0" r="2674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B67EA" w:rsidRDefault="00FB67EA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FB67EA" w:rsidRDefault="00FB67EA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FB67EA" w:rsidRDefault="00FB67EA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FB67EA" w:rsidRDefault="00FB67EA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FB67EA" w:rsidRDefault="00FB67EA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FB67EA" w:rsidRDefault="00FB67EA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FB67EA" w:rsidRDefault="00FB67EA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FB67EA" w:rsidRPr="00F55FD7" w:rsidRDefault="00FB67EA" w:rsidP="00F55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5FD7" w:rsidRP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55FD7" w:rsidRPr="00F55FD7" w:rsidRDefault="006A01D6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F55FD7" w:rsidRPr="00F55FD7">
        <w:rPr>
          <w:rFonts w:ascii="Times New Roman" w:hAnsi="Times New Roman" w:cs="Times New Roman"/>
          <w:sz w:val="28"/>
          <w:szCs w:val="28"/>
        </w:rPr>
        <w:t xml:space="preserve"> Бюджет поселения за 1 квартал 2016 года</w:t>
      </w:r>
      <w:r>
        <w:rPr>
          <w:rFonts w:ascii="Times New Roman" w:hAnsi="Times New Roman" w:cs="Times New Roman"/>
          <w:sz w:val="28"/>
          <w:szCs w:val="28"/>
        </w:rPr>
        <w:t xml:space="preserve"> не является социально направленным, так как </w:t>
      </w:r>
      <w:r w:rsidR="00F55FD7" w:rsidRPr="00F55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F55FD7" w:rsidRPr="00F55FD7">
        <w:rPr>
          <w:rFonts w:ascii="Times New Roman" w:hAnsi="Times New Roman" w:cs="Times New Roman"/>
          <w:sz w:val="28"/>
          <w:szCs w:val="28"/>
        </w:rPr>
        <w:t xml:space="preserve"> бюджета поселения на социальную сферу составили</w:t>
      </w:r>
      <w:r>
        <w:rPr>
          <w:rFonts w:ascii="Times New Roman" w:hAnsi="Times New Roman" w:cs="Times New Roman"/>
          <w:sz w:val="28"/>
          <w:szCs w:val="28"/>
        </w:rPr>
        <w:t xml:space="preserve"> всего 87,0</w:t>
      </w:r>
      <w:r w:rsidR="00F55FD7" w:rsidRPr="00F55FD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17,5</w:t>
      </w:r>
      <w:r w:rsidR="00F55FD7" w:rsidRPr="00F55FD7">
        <w:rPr>
          <w:rFonts w:ascii="Times New Roman" w:hAnsi="Times New Roman" w:cs="Times New Roman"/>
          <w:sz w:val="28"/>
          <w:szCs w:val="28"/>
        </w:rPr>
        <w:t>% к утвержденным годовым назначениям. По сравнению с 1 кварталом 2015 года расходы н</w:t>
      </w:r>
      <w:r>
        <w:rPr>
          <w:rFonts w:ascii="Times New Roman" w:hAnsi="Times New Roman" w:cs="Times New Roman"/>
          <w:sz w:val="28"/>
          <w:szCs w:val="28"/>
        </w:rPr>
        <w:t xml:space="preserve">а социальную сферу  снизились </w:t>
      </w:r>
      <w:r w:rsidR="00F55FD7" w:rsidRPr="00F55FD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15,8</w:t>
      </w:r>
      <w:r w:rsidR="00F55FD7" w:rsidRPr="00F55FD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sz w:val="28"/>
          <w:szCs w:val="28"/>
        </w:rPr>
        <w:t>15,4</w:t>
      </w:r>
      <w:r w:rsidR="00F55FD7" w:rsidRPr="00F55FD7">
        <w:rPr>
          <w:rFonts w:ascii="Times New Roman" w:hAnsi="Times New Roman" w:cs="Times New Roman"/>
          <w:sz w:val="28"/>
          <w:szCs w:val="28"/>
        </w:rPr>
        <w:t>%),   их доля  в расходах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FD7" w:rsidRPr="00F55FD7">
        <w:rPr>
          <w:rFonts w:ascii="Times New Roman" w:hAnsi="Times New Roman" w:cs="Times New Roman"/>
          <w:sz w:val="28"/>
          <w:szCs w:val="28"/>
        </w:rPr>
        <w:t xml:space="preserve">так же </w:t>
      </w:r>
      <w:r>
        <w:rPr>
          <w:rFonts w:ascii="Times New Roman" w:hAnsi="Times New Roman" w:cs="Times New Roman"/>
          <w:sz w:val="28"/>
          <w:szCs w:val="28"/>
        </w:rPr>
        <w:t xml:space="preserve">снизилась </w:t>
      </w:r>
      <w:r w:rsidR="00F55FD7" w:rsidRPr="00F55FD7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19,6 </w:t>
      </w:r>
      <w:r w:rsidR="00F55FD7" w:rsidRPr="00F55FD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17,5</w:t>
      </w:r>
      <w:r w:rsidR="00F55FD7" w:rsidRPr="00F55FD7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F55FD7" w:rsidRDefault="006A01D6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5FD7" w:rsidRPr="00F55FD7">
        <w:rPr>
          <w:rFonts w:ascii="Times New Roman" w:hAnsi="Times New Roman" w:cs="Times New Roman"/>
          <w:sz w:val="28"/>
          <w:szCs w:val="28"/>
        </w:rPr>
        <w:t>Наибольший удельный вес в расходах бюджета поселения занимают расходы  по разделу «О</w:t>
      </w:r>
      <w:r w:rsidR="00C53F60">
        <w:rPr>
          <w:rFonts w:ascii="Times New Roman" w:hAnsi="Times New Roman" w:cs="Times New Roman"/>
          <w:sz w:val="28"/>
          <w:szCs w:val="28"/>
        </w:rPr>
        <w:t>бщегосударственные вопросы»-71,6</w:t>
      </w:r>
      <w:r w:rsidR="00F55FD7" w:rsidRPr="00F55FD7">
        <w:rPr>
          <w:rFonts w:ascii="Times New Roman" w:hAnsi="Times New Roman" w:cs="Times New Roman"/>
          <w:sz w:val="28"/>
          <w:szCs w:val="28"/>
        </w:rPr>
        <w:t>%,</w:t>
      </w:r>
      <w:r w:rsidR="00C53F60">
        <w:rPr>
          <w:rFonts w:ascii="Times New Roman" w:hAnsi="Times New Roman" w:cs="Times New Roman"/>
          <w:sz w:val="28"/>
          <w:szCs w:val="28"/>
        </w:rPr>
        <w:t xml:space="preserve"> </w:t>
      </w:r>
      <w:r w:rsidR="00C53F60" w:rsidRPr="00F55FD7">
        <w:rPr>
          <w:rFonts w:ascii="Times New Roman" w:hAnsi="Times New Roman" w:cs="Times New Roman"/>
          <w:sz w:val="28"/>
          <w:szCs w:val="28"/>
        </w:rPr>
        <w:t xml:space="preserve">«Культура и кинематография» - </w:t>
      </w:r>
      <w:r w:rsidR="00C53F60">
        <w:rPr>
          <w:rFonts w:ascii="Times New Roman" w:hAnsi="Times New Roman" w:cs="Times New Roman"/>
          <w:sz w:val="28"/>
          <w:szCs w:val="28"/>
        </w:rPr>
        <w:t xml:space="preserve">16,1%, </w:t>
      </w:r>
      <w:r w:rsidR="00F55FD7" w:rsidRPr="00F55FD7">
        <w:rPr>
          <w:rFonts w:ascii="Times New Roman" w:hAnsi="Times New Roman" w:cs="Times New Roman"/>
          <w:sz w:val="28"/>
          <w:szCs w:val="28"/>
        </w:rPr>
        <w:t xml:space="preserve"> </w:t>
      </w:r>
      <w:r w:rsidR="00C53F60" w:rsidRPr="00F55FD7">
        <w:rPr>
          <w:rFonts w:ascii="Times New Roman" w:hAnsi="Times New Roman" w:cs="Times New Roman"/>
          <w:sz w:val="28"/>
          <w:szCs w:val="28"/>
        </w:rPr>
        <w:t>«Национальная оборона»</w:t>
      </w:r>
      <w:r w:rsidR="00C53F60">
        <w:rPr>
          <w:rFonts w:ascii="Times New Roman" w:hAnsi="Times New Roman" w:cs="Times New Roman"/>
          <w:sz w:val="28"/>
          <w:szCs w:val="28"/>
        </w:rPr>
        <w:t xml:space="preserve"> - 4,6%</w:t>
      </w:r>
      <w:r w:rsidR="00C53F60" w:rsidRPr="00F55FD7">
        <w:rPr>
          <w:rFonts w:ascii="Times New Roman" w:hAnsi="Times New Roman" w:cs="Times New Roman"/>
          <w:sz w:val="28"/>
          <w:szCs w:val="28"/>
        </w:rPr>
        <w:t>, «Национальная экономика»</w:t>
      </w:r>
      <w:r w:rsidR="00C53F60">
        <w:rPr>
          <w:rFonts w:ascii="Times New Roman" w:hAnsi="Times New Roman" w:cs="Times New Roman"/>
          <w:sz w:val="28"/>
          <w:szCs w:val="28"/>
        </w:rPr>
        <w:t>- 3,7%.</w:t>
      </w:r>
      <w:r w:rsidR="00C53F60" w:rsidRPr="00F55FD7">
        <w:rPr>
          <w:rFonts w:ascii="Times New Roman" w:hAnsi="Times New Roman" w:cs="Times New Roman"/>
          <w:sz w:val="28"/>
          <w:szCs w:val="28"/>
        </w:rPr>
        <w:t xml:space="preserve"> </w:t>
      </w:r>
      <w:r w:rsidR="00F55FD7" w:rsidRPr="00F55FD7">
        <w:rPr>
          <w:rFonts w:ascii="Times New Roman" w:hAnsi="Times New Roman" w:cs="Times New Roman"/>
          <w:sz w:val="28"/>
          <w:szCs w:val="28"/>
        </w:rPr>
        <w:t xml:space="preserve">На долю расходов по разделам </w:t>
      </w:r>
      <w:r w:rsidR="00C53F60" w:rsidRPr="00F55FD7">
        <w:rPr>
          <w:rFonts w:ascii="Times New Roman" w:hAnsi="Times New Roman" w:cs="Times New Roman"/>
          <w:sz w:val="28"/>
          <w:szCs w:val="28"/>
        </w:rPr>
        <w:t>«Жилищно-коммунальное хозяйство»</w:t>
      </w:r>
      <w:r w:rsidR="00C53F60">
        <w:rPr>
          <w:rFonts w:ascii="Times New Roman" w:hAnsi="Times New Roman" w:cs="Times New Roman"/>
          <w:sz w:val="28"/>
          <w:szCs w:val="28"/>
        </w:rPr>
        <w:t>,</w:t>
      </w:r>
      <w:r w:rsidR="00C53F60" w:rsidRPr="00C53F60">
        <w:rPr>
          <w:rFonts w:ascii="Times New Roman" w:hAnsi="Times New Roman" w:cs="Times New Roman"/>
          <w:sz w:val="28"/>
          <w:szCs w:val="28"/>
        </w:rPr>
        <w:t xml:space="preserve"> </w:t>
      </w:r>
      <w:r w:rsidR="00C53F60">
        <w:rPr>
          <w:rFonts w:ascii="Times New Roman" w:hAnsi="Times New Roman" w:cs="Times New Roman"/>
          <w:sz w:val="28"/>
          <w:szCs w:val="28"/>
        </w:rPr>
        <w:t>%,</w:t>
      </w:r>
      <w:r w:rsidR="00C53F60" w:rsidRPr="00F55FD7">
        <w:rPr>
          <w:rFonts w:ascii="Times New Roman" w:hAnsi="Times New Roman" w:cs="Times New Roman"/>
          <w:sz w:val="28"/>
          <w:szCs w:val="28"/>
        </w:rPr>
        <w:t xml:space="preserve"> «Физическая культура и спорт»  </w:t>
      </w:r>
      <w:r w:rsidR="00F55FD7" w:rsidRPr="00F55FD7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C53F60">
        <w:rPr>
          <w:rFonts w:ascii="Times New Roman" w:hAnsi="Times New Roman" w:cs="Times New Roman"/>
          <w:sz w:val="28"/>
          <w:szCs w:val="28"/>
        </w:rPr>
        <w:t>4,0</w:t>
      </w:r>
      <w:r w:rsidR="00F55FD7" w:rsidRPr="00F55FD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53F60" w:rsidRPr="00F55FD7" w:rsidRDefault="00C53F60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         Структура  расходов бюджета поселения за 1 квартал 2016 года отражена на диаграмме:</w:t>
      </w:r>
    </w:p>
    <w:p w:rsidR="00291191" w:rsidRDefault="00291191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1191" w:rsidRPr="00F55FD7" w:rsidRDefault="00291191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1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53125" cy="3476625"/>
            <wp:effectExtent l="19050" t="0" r="9525" b="0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55FD7" w:rsidRP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55FD7" w:rsidRPr="00F55FD7" w:rsidRDefault="00291191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55FD7" w:rsidRPr="00F55FD7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не производились расходы, предусмотренные решением о бюджете, по разделам </w:t>
      </w:r>
      <w:r w:rsidR="008A5B82">
        <w:rPr>
          <w:rFonts w:ascii="Times New Roman" w:hAnsi="Times New Roman" w:cs="Times New Roman"/>
          <w:sz w:val="28"/>
          <w:szCs w:val="28"/>
        </w:rPr>
        <w:t xml:space="preserve">«Национальная безопасность и правоохранительная деятельность», </w:t>
      </w:r>
      <w:r w:rsidR="00F55FD7" w:rsidRPr="00F55FD7">
        <w:rPr>
          <w:rFonts w:ascii="Times New Roman" w:hAnsi="Times New Roman" w:cs="Times New Roman"/>
          <w:sz w:val="28"/>
          <w:szCs w:val="28"/>
        </w:rPr>
        <w:t>«Образование»</w:t>
      </w:r>
      <w:r w:rsidR="008A5B82">
        <w:rPr>
          <w:rFonts w:ascii="Times New Roman" w:hAnsi="Times New Roman" w:cs="Times New Roman"/>
          <w:sz w:val="28"/>
          <w:szCs w:val="28"/>
        </w:rPr>
        <w:t xml:space="preserve"> и «Социальная политика»</w:t>
      </w:r>
      <w:r w:rsidR="00F55FD7" w:rsidRPr="00F55F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FD7" w:rsidRPr="00CE7E2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По данным разделам предусмотрены бюджетные ассигнования на проведение мероприятий по молодежной политике и оздоровле</w:t>
      </w:r>
      <w:r w:rsidR="008A5B82">
        <w:rPr>
          <w:rFonts w:ascii="Times New Roman" w:hAnsi="Times New Roman" w:cs="Times New Roman"/>
          <w:sz w:val="28"/>
          <w:szCs w:val="28"/>
        </w:rPr>
        <w:t>нию детей,</w:t>
      </w:r>
      <w:r w:rsidRPr="00F55FD7">
        <w:rPr>
          <w:rFonts w:ascii="Times New Roman" w:hAnsi="Times New Roman" w:cs="Times New Roman"/>
          <w:sz w:val="28"/>
          <w:szCs w:val="28"/>
        </w:rPr>
        <w:t xml:space="preserve"> на проведение мероприятий пожарной </w:t>
      </w:r>
      <w:r w:rsidRPr="00CE7E27">
        <w:rPr>
          <w:rFonts w:ascii="Times New Roman" w:hAnsi="Times New Roman" w:cs="Times New Roman"/>
          <w:sz w:val="28"/>
          <w:szCs w:val="28"/>
        </w:rPr>
        <w:t>безопасности</w:t>
      </w:r>
      <w:r w:rsidR="008A5B82" w:rsidRPr="00CE7E27">
        <w:rPr>
          <w:rFonts w:ascii="Times New Roman" w:hAnsi="Times New Roman" w:cs="Times New Roman"/>
          <w:sz w:val="28"/>
          <w:szCs w:val="28"/>
        </w:rPr>
        <w:t xml:space="preserve"> и  </w:t>
      </w:r>
      <w:r w:rsidR="00CE7E27" w:rsidRPr="00CE7E27">
        <w:rPr>
          <w:rFonts w:ascii="Times New Roman" w:hAnsi="Times New Roman" w:cs="Times New Roman"/>
          <w:sz w:val="28"/>
          <w:szCs w:val="28"/>
        </w:rPr>
        <w:t>на социальные выплаты отдельным категориям граждан.</w:t>
      </w:r>
    </w:p>
    <w:p w:rsidR="008A5B82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По разделам классификации расходов «Общегосударственные вопросы», </w:t>
      </w:r>
      <w:r w:rsidR="008A5B82">
        <w:rPr>
          <w:rFonts w:ascii="Times New Roman" w:hAnsi="Times New Roman" w:cs="Times New Roman"/>
          <w:sz w:val="28"/>
          <w:szCs w:val="28"/>
        </w:rPr>
        <w:t xml:space="preserve">«Национальная оборона», «Национальная экономика», «Жилищно-коммунальное хозяйство», </w:t>
      </w:r>
      <w:r w:rsidRPr="00F55FD7">
        <w:rPr>
          <w:rFonts w:ascii="Times New Roman" w:hAnsi="Times New Roman" w:cs="Times New Roman"/>
          <w:sz w:val="28"/>
          <w:szCs w:val="28"/>
        </w:rPr>
        <w:t xml:space="preserve">«Культура и кинематография» и «Физическая культура и спорт» уровень исполнения к годовым назначениям </w:t>
      </w:r>
      <w:r w:rsidR="008A5B82">
        <w:rPr>
          <w:rFonts w:ascii="Times New Roman" w:hAnsi="Times New Roman" w:cs="Times New Roman"/>
          <w:sz w:val="28"/>
          <w:szCs w:val="28"/>
        </w:rPr>
        <w:t>ниже 25 процентов.</w:t>
      </w:r>
    </w:p>
    <w:p w:rsidR="003B5CC2" w:rsidRDefault="003B5CC2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5FD7" w:rsidRP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           Утвержденные и исполненные показатели бюджета поселения по разделам приведены в таблице 5.</w:t>
      </w:r>
    </w:p>
    <w:p w:rsidR="00F55FD7" w:rsidRP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5FD7" w:rsidRPr="00FB67EA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7EA">
        <w:rPr>
          <w:rFonts w:ascii="Times New Roman" w:hAnsi="Times New Roman" w:cs="Times New Roman"/>
          <w:sz w:val="24"/>
          <w:szCs w:val="24"/>
        </w:rPr>
        <w:t>Таблица 5</w:t>
      </w:r>
      <w:r w:rsidRPr="00FB67EA">
        <w:rPr>
          <w:rFonts w:ascii="Times New Roman" w:hAnsi="Times New Roman" w:cs="Times New Roman"/>
          <w:sz w:val="24"/>
          <w:szCs w:val="24"/>
        </w:rPr>
        <w:tab/>
      </w:r>
      <w:r w:rsidRPr="00FB67EA">
        <w:rPr>
          <w:rFonts w:ascii="Times New Roman" w:hAnsi="Times New Roman" w:cs="Times New Roman"/>
          <w:sz w:val="24"/>
          <w:szCs w:val="24"/>
        </w:rPr>
        <w:tab/>
      </w:r>
      <w:r w:rsidRPr="00FB67EA">
        <w:rPr>
          <w:rFonts w:ascii="Times New Roman" w:hAnsi="Times New Roman" w:cs="Times New Roman"/>
          <w:sz w:val="24"/>
          <w:szCs w:val="24"/>
        </w:rPr>
        <w:tab/>
      </w:r>
      <w:r w:rsidRPr="00FB67EA">
        <w:rPr>
          <w:rFonts w:ascii="Times New Roman" w:hAnsi="Times New Roman" w:cs="Times New Roman"/>
          <w:sz w:val="24"/>
          <w:szCs w:val="24"/>
        </w:rPr>
        <w:tab/>
      </w:r>
      <w:r w:rsidRPr="00FB67EA">
        <w:rPr>
          <w:rFonts w:ascii="Times New Roman" w:hAnsi="Times New Roman" w:cs="Times New Roman"/>
          <w:sz w:val="24"/>
          <w:szCs w:val="24"/>
        </w:rPr>
        <w:tab/>
      </w:r>
      <w:r w:rsidRPr="00FB67EA">
        <w:rPr>
          <w:rFonts w:ascii="Times New Roman" w:hAnsi="Times New Roman" w:cs="Times New Roman"/>
          <w:sz w:val="24"/>
          <w:szCs w:val="24"/>
        </w:rPr>
        <w:tab/>
      </w:r>
      <w:r w:rsidRPr="00FB67EA">
        <w:rPr>
          <w:rFonts w:ascii="Times New Roman" w:hAnsi="Times New Roman" w:cs="Times New Roman"/>
          <w:sz w:val="24"/>
          <w:szCs w:val="24"/>
        </w:rPr>
        <w:tab/>
      </w:r>
      <w:r w:rsidRPr="00FB67EA">
        <w:rPr>
          <w:rFonts w:ascii="Times New Roman" w:hAnsi="Times New Roman" w:cs="Times New Roman"/>
          <w:sz w:val="24"/>
          <w:szCs w:val="24"/>
        </w:rPr>
        <w:tab/>
      </w:r>
      <w:r w:rsidR="00DA5BB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B67EA">
        <w:rPr>
          <w:rFonts w:ascii="Times New Roman" w:hAnsi="Times New Roman" w:cs="Times New Roman"/>
          <w:sz w:val="24"/>
          <w:szCs w:val="24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1212"/>
        <w:gridCol w:w="1323"/>
        <w:gridCol w:w="1212"/>
        <w:gridCol w:w="1277"/>
        <w:gridCol w:w="1343"/>
        <w:gridCol w:w="1212"/>
      </w:tblGrid>
      <w:tr w:rsidR="008E4546" w:rsidRPr="00FB67EA" w:rsidTr="00FB67EA">
        <w:trPr>
          <w:trHeight w:val="970"/>
        </w:trPr>
        <w:tc>
          <w:tcPr>
            <w:tcW w:w="2273" w:type="dxa"/>
          </w:tcPr>
          <w:p w:rsidR="00F55FD7" w:rsidRPr="00FB67EA" w:rsidRDefault="00F55FD7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212" w:type="dxa"/>
          </w:tcPr>
          <w:p w:rsidR="00F55FD7" w:rsidRPr="00FB67EA" w:rsidRDefault="00F55FD7" w:rsidP="00F55F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Исполнено в   1 квартале </w:t>
            </w:r>
          </w:p>
          <w:p w:rsidR="00F55FD7" w:rsidRPr="00FB67EA" w:rsidRDefault="00F55FD7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Calibri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1323" w:type="dxa"/>
          </w:tcPr>
          <w:p w:rsidR="00F55FD7" w:rsidRPr="00FB67EA" w:rsidRDefault="00F55FD7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hAnsi="Times New Roman" w:cs="Times New Roman"/>
                <w:sz w:val="24"/>
                <w:szCs w:val="24"/>
              </w:rPr>
              <w:t>Утверждено в бюджете на 2016</w:t>
            </w:r>
            <w:r w:rsidR="00FB6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7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12" w:type="dxa"/>
          </w:tcPr>
          <w:p w:rsidR="00F55FD7" w:rsidRPr="00FB67EA" w:rsidRDefault="00F55FD7" w:rsidP="00F55F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в 1</w:t>
            </w:r>
          </w:p>
          <w:p w:rsidR="00F55FD7" w:rsidRPr="00FB67EA" w:rsidRDefault="00F55FD7" w:rsidP="00F55F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Calibri" w:hAnsi="Times New Roman" w:cs="Times New Roman"/>
                <w:sz w:val="24"/>
                <w:szCs w:val="24"/>
              </w:rPr>
              <w:t>квартале 2016 года</w:t>
            </w:r>
          </w:p>
        </w:tc>
        <w:tc>
          <w:tcPr>
            <w:tcW w:w="1277" w:type="dxa"/>
          </w:tcPr>
          <w:p w:rsidR="00F55FD7" w:rsidRPr="00FB67EA" w:rsidRDefault="00F55FD7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  <w:p w:rsidR="00F55FD7" w:rsidRPr="00FB67EA" w:rsidRDefault="00F55FD7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344" w:type="dxa"/>
          </w:tcPr>
          <w:p w:rsidR="00F55FD7" w:rsidRPr="00FB67EA" w:rsidRDefault="00F55FD7" w:rsidP="00F55F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Calibri" w:hAnsi="Times New Roman" w:cs="Times New Roman"/>
                <w:sz w:val="24"/>
                <w:szCs w:val="24"/>
              </w:rPr>
              <w:t>Абсолютное</w:t>
            </w:r>
          </w:p>
          <w:p w:rsidR="00F55FD7" w:rsidRPr="00FB67EA" w:rsidRDefault="00F55FD7" w:rsidP="00F55F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 1</w:t>
            </w:r>
          </w:p>
          <w:p w:rsidR="00F55FD7" w:rsidRPr="00FB67EA" w:rsidRDefault="00F55FD7" w:rsidP="00F55F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Calibri" w:hAnsi="Times New Roman" w:cs="Times New Roman"/>
                <w:sz w:val="24"/>
                <w:szCs w:val="24"/>
              </w:rPr>
              <w:t>квартала 2016</w:t>
            </w:r>
          </w:p>
          <w:p w:rsidR="00F55FD7" w:rsidRPr="00FB67EA" w:rsidRDefault="00F55FD7" w:rsidP="00F55F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Calibri" w:hAnsi="Times New Roman" w:cs="Times New Roman"/>
                <w:sz w:val="24"/>
                <w:szCs w:val="24"/>
              </w:rPr>
              <w:t>года от 1</w:t>
            </w:r>
          </w:p>
          <w:p w:rsidR="00F55FD7" w:rsidRPr="00FB67EA" w:rsidRDefault="00F55FD7" w:rsidP="00F55F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Calibri" w:hAnsi="Times New Roman" w:cs="Times New Roman"/>
                <w:sz w:val="24"/>
                <w:szCs w:val="24"/>
              </w:rPr>
              <w:t>квартала 2015</w:t>
            </w:r>
          </w:p>
          <w:p w:rsidR="00F55FD7" w:rsidRPr="00FB67EA" w:rsidRDefault="00F55FD7" w:rsidP="00F55F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F55FD7" w:rsidRPr="00FB67EA" w:rsidRDefault="00F55FD7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F55FD7" w:rsidRPr="00FB67EA" w:rsidRDefault="00F55FD7" w:rsidP="00F55F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</w:t>
            </w:r>
          </w:p>
          <w:p w:rsidR="00F55FD7" w:rsidRPr="00FB67EA" w:rsidRDefault="00F55FD7" w:rsidP="00F55F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Calibri" w:hAnsi="Times New Roman" w:cs="Times New Roman"/>
                <w:sz w:val="24"/>
                <w:szCs w:val="24"/>
              </w:rPr>
              <w:t>к уровню 1</w:t>
            </w:r>
          </w:p>
          <w:p w:rsidR="00F55FD7" w:rsidRPr="00FB67EA" w:rsidRDefault="00F55FD7" w:rsidP="00F55FD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Calibri" w:hAnsi="Times New Roman" w:cs="Times New Roman"/>
                <w:sz w:val="24"/>
                <w:szCs w:val="24"/>
              </w:rPr>
              <w:t>квартала</w:t>
            </w:r>
          </w:p>
          <w:p w:rsidR="00F55FD7" w:rsidRPr="00FB67EA" w:rsidRDefault="00F55FD7" w:rsidP="00F55F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Calibri" w:hAnsi="Times New Roman" w:cs="Times New Roman"/>
                <w:sz w:val="24"/>
                <w:szCs w:val="24"/>
              </w:rPr>
              <w:t>2015 года,</w:t>
            </w:r>
            <w:r w:rsidR="00B54E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67E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B67EA" w:rsidRPr="00F55FD7" w:rsidTr="00FB67EA">
        <w:tc>
          <w:tcPr>
            <w:tcW w:w="2273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FB67EA" w:rsidRPr="00FB67EA" w:rsidRDefault="00FB67EA" w:rsidP="00570D2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Times New Roman" w:hAnsi="Times New Roman" w:cs="Times New Roman"/>
                <w:sz w:val="24"/>
                <w:szCs w:val="24"/>
              </w:rPr>
              <w:t>359,4</w:t>
            </w:r>
          </w:p>
        </w:tc>
        <w:tc>
          <w:tcPr>
            <w:tcW w:w="1323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1489,8</w:t>
            </w:r>
          </w:p>
        </w:tc>
        <w:tc>
          <w:tcPr>
            <w:tcW w:w="1212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356,3</w:t>
            </w:r>
          </w:p>
        </w:tc>
        <w:tc>
          <w:tcPr>
            <w:tcW w:w="1277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344" w:type="dxa"/>
          </w:tcPr>
          <w:p w:rsidR="00FB67EA" w:rsidRPr="00FB67EA" w:rsidRDefault="00126245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-3,1</w:t>
            </w:r>
          </w:p>
        </w:tc>
        <w:tc>
          <w:tcPr>
            <w:tcW w:w="1212" w:type="dxa"/>
          </w:tcPr>
          <w:p w:rsidR="00FB67EA" w:rsidRPr="00FB67EA" w:rsidRDefault="00126245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FB67EA" w:rsidRPr="00F55FD7" w:rsidTr="00FB67EA">
        <w:tc>
          <w:tcPr>
            <w:tcW w:w="2273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12" w:type="dxa"/>
          </w:tcPr>
          <w:p w:rsidR="00FB67EA" w:rsidRPr="00FB67EA" w:rsidRDefault="00FB67EA" w:rsidP="00570D2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323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212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277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344" w:type="dxa"/>
          </w:tcPr>
          <w:p w:rsidR="00FB67EA" w:rsidRPr="00FB67EA" w:rsidRDefault="00126245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12" w:type="dxa"/>
          </w:tcPr>
          <w:p w:rsidR="00FB67EA" w:rsidRPr="00FB67EA" w:rsidRDefault="00126245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132,7</w:t>
            </w:r>
          </w:p>
        </w:tc>
      </w:tr>
      <w:tr w:rsidR="00FB67EA" w:rsidRPr="00F55FD7" w:rsidTr="00FB67EA">
        <w:tc>
          <w:tcPr>
            <w:tcW w:w="2273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FB67EA" w:rsidRPr="00FB67EA" w:rsidRDefault="00FB67EA" w:rsidP="00570D2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23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12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4" w:type="dxa"/>
          </w:tcPr>
          <w:p w:rsidR="00FB67EA" w:rsidRPr="00FB67EA" w:rsidRDefault="00126245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-4,4</w:t>
            </w:r>
          </w:p>
        </w:tc>
        <w:tc>
          <w:tcPr>
            <w:tcW w:w="1212" w:type="dxa"/>
          </w:tcPr>
          <w:p w:rsidR="00FB67EA" w:rsidRPr="00FB67EA" w:rsidRDefault="00126245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67EA" w:rsidRPr="00F55FD7" w:rsidTr="00FB67EA">
        <w:tc>
          <w:tcPr>
            <w:tcW w:w="2273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12" w:type="dxa"/>
          </w:tcPr>
          <w:p w:rsidR="00FB67EA" w:rsidRPr="00FB67EA" w:rsidRDefault="00FB67EA" w:rsidP="00570D2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323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212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7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344" w:type="dxa"/>
          </w:tcPr>
          <w:p w:rsidR="00FB67EA" w:rsidRPr="00FB67EA" w:rsidRDefault="00126245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-17,8</w:t>
            </w:r>
          </w:p>
        </w:tc>
        <w:tc>
          <w:tcPr>
            <w:tcW w:w="1212" w:type="dxa"/>
          </w:tcPr>
          <w:p w:rsidR="00FB67EA" w:rsidRPr="00FB67EA" w:rsidRDefault="00126245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</w:tr>
      <w:tr w:rsidR="00FB67EA" w:rsidRPr="00F55FD7" w:rsidTr="00FB67EA">
        <w:tc>
          <w:tcPr>
            <w:tcW w:w="2273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FB67EA" w:rsidRPr="00FB67EA" w:rsidRDefault="00FB67EA" w:rsidP="00570D2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323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151,9</w:t>
            </w:r>
          </w:p>
        </w:tc>
        <w:tc>
          <w:tcPr>
            <w:tcW w:w="1212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7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344" w:type="dxa"/>
          </w:tcPr>
          <w:p w:rsidR="00FB67EA" w:rsidRPr="00FB67EA" w:rsidRDefault="00126245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212" w:type="dxa"/>
          </w:tcPr>
          <w:p w:rsidR="00FB67EA" w:rsidRPr="00FB67EA" w:rsidRDefault="00126245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2,6 раза</w:t>
            </w:r>
          </w:p>
        </w:tc>
      </w:tr>
      <w:tr w:rsidR="00FB67EA" w:rsidRPr="00F55FD7" w:rsidTr="00FB67EA">
        <w:tc>
          <w:tcPr>
            <w:tcW w:w="2273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12" w:type="dxa"/>
          </w:tcPr>
          <w:p w:rsidR="00FB67EA" w:rsidRPr="00FB67EA" w:rsidRDefault="00FB67EA" w:rsidP="00570D2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3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12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4" w:type="dxa"/>
          </w:tcPr>
          <w:p w:rsidR="00FB67EA" w:rsidRPr="00FB67EA" w:rsidRDefault="00126245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</w:tcPr>
          <w:p w:rsidR="00FB67EA" w:rsidRPr="00FB67EA" w:rsidRDefault="00126245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67EA" w:rsidRPr="00F55FD7" w:rsidTr="00FB67EA">
        <w:tc>
          <w:tcPr>
            <w:tcW w:w="2273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12" w:type="dxa"/>
          </w:tcPr>
          <w:p w:rsidR="00FB67EA" w:rsidRPr="00FB67EA" w:rsidRDefault="00FB67EA" w:rsidP="00570D2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323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212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7" w:type="dxa"/>
          </w:tcPr>
          <w:p w:rsidR="00FB67EA" w:rsidRPr="00FB67EA" w:rsidRDefault="00FD03FB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344" w:type="dxa"/>
          </w:tcPr>
          <w:p w:rsidR="00FB67EA" w:rsidRPr="00FB67EA" w:rsidRDefault="00126245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-15,0</w:t>
            </w:r>
          </w:p>
        </w:tc>
        <w:tc>
          <w:tcPr>
            <w:tcW w:w="1212" w:type="dxa"/>
          </w:tcPr>
          <w:p w:rsidR="00FB67EA" w:rsidRPr="00FB67EA" w:rsidRDefault="00126245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FB67EA" w:rsidRPr="00F55FD7" w:rsidTr="00FB67EA">
        <w:tc>
          <w:tcPr>
            <w:tcW w:w="2273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212" w:type="dxa"/>
          </w:tcPr>
          <w:p w:rsidR="00FB67EA" w:rsidRPr="00FB67EA" w:rsidRDefault="00FB67EA" w:rsidP="00570D2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3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12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4" w:type="dxa"/>
          </w:tcPr>
          <w:p w:rsidR="00FB67EA" w:rsidRPr="00FB67EA" w:rsidRDefault="00126245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-5,8</w:t>
            </w:r>
          </w:p>
        </w:tc>
        <w:tc>
          <w:tcPr>
            <w:tcW w:w="1212" w:type="dxa"/>
          </w:tcPr>
          <w:p w:rsidR="00FB67EA" w:rsidRPr="00FB67EA" w:rsidRDefault="00126245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67EA" w:rsidRPr="00F55FD7" w:rsidTr="00FB67EA">
        <w:trPr>
          <w:trHeight w:val="540"/>
        </w:trPr>
        <w:tc>
          <w:tcPr>
            <w:tcW w:w="2273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FB67EA" w:rsidRPr="00FB67EA" w:rsidRDefault="00FB67EA" w:rsidP="00570D2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7EA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3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212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7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344" w:type="dxa"/>
          </w:tcPr>
          <w:p w:rsidR="00FB67EA" w:rsidRPr="00FB67EA" w:rsidRDefault="00126245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12" w:type="dxa"/>
          </w:tcPr>
          <w:p w:rsidR="00FB67EA" w:rsidRPr="00FB67EA" w:rsidRDefault="00126245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3,5 раза</w:t>
            </w:r>
          </w:p>
        </w:tc>
      </w:tr>
      <w:tr w:rsidR="00FB67EA" w:rsidRPr="00F55FD7" w:rsidTr="00FB67EA">
        <w:tc>
          <w:tcPr>
            <w:tcW w:w="2273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7EA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212" w:type="dxa"/>
          </w:tcPr>
          <w:p w:rsidR="00FB67EA" w:rsidRPr="00FB67EA" w:rsidRDefault="00FB67EA" w:rsidP="00570D25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525,1</w:t>
            </w:r>
          </w:p>
        </w:tc>
        <w:tc>
          <w:tcPr>
            <w:tcW w:w="1323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2508,2</w:t>
            </w:r>
          </w:p>
        </w:tc>
        <w:tc>
          <w:tcPr>
            <w:tcW w:w="1212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497,7</w:t>
            </w:r>
          </w:p>
        </w:tc>
        <w:tc>
          <w:tcPr>
            <w:tcW w:w="1277" w:type="dxa"/>
          </w:tcPr>
          <w:p w:rsidR="00FB67EA" w:rsidRPr="00FB67EA" w:rsidRDefault="00FB67EA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1344" w:type="dxa"/>
          </w:tcPr>
          <w:p w:rsidR="00FB67EA" w:rsidRPr="00FB67EA" w:rsidRDefault="00126245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-27,4</w:t>
            </w:r>
          </w:p>
        </w:tc>
        <w:tc>
          <w:tcPr>
            <w:tcW w:w="1212" w:type="dxa"/>
          </w:tcPr>
          <w:p w:rsidR="00FB67EA" w:rsidRPr="00FB67EA" w:rsidRDefault="00126245" w:rsidP="00F55F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94,8</w:t>
            </w:r>
          </w:p>
        </w:tc>
      </w:tr>
    </w:tbl>
    <w:p w:rsidR="00F55FD7" w:rsidRP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5FD7" w:rsidRPr="00F55FD7" w:rsidRDefault="00466EB5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F55FD7" w:rsidRPr="00F55FD7">
        <w:rPr>
          <w:rFonts w:ascii="Times New Roman" w:hAnsi="Times New Roman" w:cs="Times New Roman"/>
          <w:i/>
          <w:sz w:val="28"/>
          <w:szCs w:val="28"/>
        </w:rPr>
        <w:t>«Общегосударственные вопросы»</w:t>
      </w:r>
      <w:r w:rsidR="00F55FD7" w:rsidRPr="00F55FD7">
        <w:rPr>
          <w:rFonts w:ascii="Times New Roman" w:hAnsi="Times New Roman" w:cs="Times New Roman"/>
          <w:sz w:val="28"/>
          <w:szCs w:val="28"/>
        </w:rPr>
        <w:t xml:space="preserve"> -  исполнены  в сумме</w:t>
      </w:r>
      <w:r>
        <w:rPr>
          <w:rFonts w:ascii="Times New Roman" w:hAnsi="Times New Roman" w:cs="Times New Roman"/>
          <w:sz w:val="28"/>
          <w:szCs w:val="28"/>
        </w:rPr>
        <w:t xml:space="preserve">   356,3</w:t>
      </w:r>
      <w:r w:rsidR="00F55FD7" w:rsidRPr="00F55FD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23,9</w:t>
      </w:r>
      <w:r w:rsidR="00F55FD7" w:rsidRPr="00F55FD7">
        <w:rPr>
          <w:rFonts w:ascii="Times New Roman" w:hAnsi="Times New Roman" w:cs="Times New Roman"/>
          <w:sz w:val="28"/>
          <w:szCs w:val="28"/>
        </w:rPr>
        <w:t>% к годовым назначениям. По сравнению с 1 кварталом 2015 года расходы у</w:t>
      </w:r>
      <w:r>
        <w:rPr>
          <w:rFonts w:ascii="Times New Roman" w:hAnsi="Times New Roman" w:cs="Times New Roman"/>
          <w:sz w:val="28"/>
          <w:szCs w:val="28"/>
        </w:rPr>
        <w:t>меньшились</w:t>
      </w:r>
      <w:r w:rsidR="00F55FD7" w:rsidRPr="00F55FD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3,1</w:t>
      </w:r>
      <w:r w:rsidR="00F55FD7" w:rsidRPr="00F55FD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sz w:val="28"/>
          <w:szCs w:val="28"/>
        </w:rPr>
        <w:t>0,9</w:t>
      </w:r>
      <w:r w:rsidR="00F55FD7" w:rsidRPr="00F55FD7">
        <w:rPr>
          <w:rFonts w:ascii="Times New Roman" w:hAnsi="Times New Roman" w:cs="Times New Roman"/>
          <w:sz w:val="28"/>
          <w:szCs w:val="28"/>
        </w:rPr>
        <w:t xml:space="preserve"> %). Средства направлены:</w:t>
      </w:r>
    </w:p>
    <w:p w:rsidR="00F55FD7" w:rsidRP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- на функционирование высшего должностного лица -</w:t>
      </w:r>
      <w:r w:rsidR="004218AE">
        <w:rPr>
          <w:rFonts w:ascii="Times New Roman" w:hAnsi="Times New Roman" w:cs="Times New Roman"/>
          <w:sz w:val="28"/>
          <w:szCs w:val="28"/>
        </w:rPr>
        <w:t xml:space="preserve">107,6 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- на функционирование администрации -</w:t>
      </w:r>
      <w:r w:rsidR="004218AE">
        <w:rPr>
          <w:rFonts w:ascii="Times New Roman" w:hAnsi="Times New Roman" w:cs="Times New Roman"/>
          <w:sz w:val="28"/>
          <w:szCs w:val="28"/>
        </w:rPr>
        <w:t>248,6 тыс. рублей, из них:</w:t>
      </w:r>
    </w:p>
    <w:p w:rsidR="003B5CC2" w:rsidRDefault="003B5CC2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CC2" w:rsidRDefault="003B5CC2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8AE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218AE" w:rsidRPr="00F55FD7">
        <w:rPr>
          <w:rFonts w:ascii="Times New Roman" w:hAnsi="Times New Roman" w:cs="Times New Roman"/>
          <w:sz w:val="28"/>
          <w:szCs w:val="28"/>
        </w:rPr>
        <w:t>на межбюджетные трансферты по осуществлению  полномочий по</w:t>
      </w:r>
      <w:r w:rsidR="004218AE">
        <w:rPr>
          <w:rFonts w:ascii="Times New Roman" w:hAnsi="Times New Roman" w:cs="Times New Roman"/>
          <w:sz w:val="28"/>
          <w:szCs w:val="28"/>
        </w:rPr>
        <w:t xml:space="preserve"> правовым вопросам</w:t>
      </w:r>
      <w:r w:rsidR="004218AE" w:rsidRPr="00F55FD7">
        <w:rPr>
          <w:rFonts w:ascii="Times New Roman" w:hAnsi="Times New Roman" w:cs="Times New Roman"/>
          <w:sz w:val="28"/>
          <w:szCs w:val="28"/>
        </w:rPr>
        <w:t xml:space="preserve"> -</w:t>
      </w:r>
      <w:r w:rsidR="004218AE">
        <w:rPr>
          <w:rFonts w:ascii="Times New Roman" w:hAnsi="Times New Roman" w:cs="Times New Roman"/>
          <w:sz w:val="28"/>
          <w:szCs w:val="28"/>
        </w:rPr>
        <w:t>22,0</w:t>
      </w:r>
      <w:r w:rsidR="004218AE" w:rsidRPr="00F55FD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55FD7" w:rsidRPr="00F55FD7" w:rsidRDefault="004218AE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5FD7" w:rsidRPr="00F55FD7">
        <w:rPr>
          <w:rFonts w:ascii="Times New Roman" w:hAnsi="Times New Roman" w:cs="Times New Roman"/>
          <w:sz w:val="28"/>
          <w:szCs w:val="28"/>
        </w:rPr>
        <w:t>на межбюджетные трансферты по осуществлению  полномочий по внешнему муниципальному финансовому контролю -</w:t>
      </w:r>
      <w:r>
        <w:rPr>
          <w:rFonts w:ascii="Times New Roman" w:hAnsi="Times New Roman" w:cs="Times New Roman"/>
          <w:sz w:val="28"/>
          <w:szCs w:val="28"/>
        </w:rPr>
        <w:t>13,8</w:t>
      </w:r>
      <w:r w:rsidR="00F55FD7" w:rsidRPr="00F55FD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F760E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- на другие общегосударственные вопросы -</w:t>
      </w:r>
      <w:r w:rsidR="004218AE">
        <w:rPr>
          <w:rFonts w:ascii="Times New Roman" w:hAnsi="Times New Roman" w:cs="Times New Roman"/>
          <w:sz w:val="28"/>
          <w:szCs w:val="28"/>
        </w:rPr>
        <w:t>0,1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F760E">
        <w:rPr>
          <w:rFonts w:ascii="Times New Roman" w:hAnsi="Times New Roman" w:cs="Times New Roman"/>
          <w:sz w:val="28"/>
          <w:szCs w:val="28"/>
        </w:rPr>
        <w:t>.</w:t>
      </w:r>
    </w:p>
    <w:p w:rsidR="00F55FD7" w:rsidRP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 Средства резервного фонда Администрации поселения в 1 квартале не расходовались.</w:t>
      </w:r>
    </w:p>
    <w:p w:rsidR="00F55FD7" w:rsidRP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F55FD7">
        <w:rPr>
          <w:rFonts w:ascii="Times New Roman" w:hAnsi="Times New Roman" w:cs="Times New Roman"/>
          <w:i/>
          <w:sz w:val="28"/>
          <w:szCs w:val="28"/>
        </w:rPr>
        <w:t>Национальная оборона</w:t>
      </w:r>
      <w:r w:rsidRPr="00F55FD7">
        <w:rPr>
          <w:rFonts w:ascii="Times New Roman" w:hAnsi="Times New Roman" w:cs="Times New Roman"/>
          <w:sz w:val="28"/>
          <w:szCs w:val="28"/>
        </w:rPr>
        <w:t>» - 22,7 тыс. рублей, или 24,9 % к годовым бюджетным назначениям. По сравнению с 1 кварталом 2015 года расходы увеличились на 5,6 тыс. рублей (32,7 %). Средства направлены на осуществление первичного воинского учета в поселении.</w:t>
      </w: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i/>
          <w:sz w:val="28"/>
          <w:szCs w:val="28"/>
        </w:rPr>
        <w:t>«Национальная безопасность и правоохранительная деятельность»</w:t>
      </w:r>
      <w:r w:rsidRPr="00F55FD7">
        <w:rPr>
          <w:rFonts w:ascii="Times New Roman" w:hAnsi="Times New Roman" w:cs="Times New Roman"/>
          <w:sz w:val="28"/>
          <w:szCs w:val="28"/>
        </w:rPr>
        <w:t>- расходы в 1 квартале 2016 года не осуществлялись.</w:t>
      </w: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i/>
          <w:sz w:val="28"/>
          <w:szCs w:val="28"/>
        </w:rPr>
        <w:t>«Национальная экономика» -</w:t>
      </w:r>
      <w:r w:rsidRPr="00F55FD7">
        <w:rPr>
          <w:rFonts w:ascii="Times New Roman" w:hAnsi="Times New Roman" w:cs="Times New Roman"/>
          <w:sz w:val="28"/>
          <w:szCs w:val="28"/>
        </w:rPr>
        <w:t xml:space="preserve"> расходы составили </w:t>
      </w:r>
      <w:r w:rsidR="005F760E">
        <w:rPr>
          <w:rFonts w:ascii="Times New Roman" w:hAnsi="Times New Roman" w:cs="Times New Roman"/>
          <w:sz w:val="28"/>
          <w:szCs w:val="28"/>
        </w:rPr>
        <w:t>18,7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5F760E">
        <w:rPr>
          <w:rFonts w:ascii="Times New Roman" w:hAnsi="Times New Roman" w:cs="Times New Roman"/>
          <w:sz w:val="28"/>
          <w:szCs w:val="28"/>
        </w:rPr>
        <w:t>14,4</w:t>
      </w:r>
      <w:r w:rsidRPr="00F55FD7">
        <w:rPr>
          <w:rFonts w:ascii="Times New Roman" w:hAnsi="Times New Roman" w:cs="Times New Roman"/>
          <w:sz w:val="28"/>
          <w:szCs w:val="28"/>
        </w:rPr>
        <w:t xml:space="preserve"> % к годовым назначениям. По сравнению с 1 кварталом 2015</w:t>
      </w:r>
      <w:r w:rsidR="005F760E">
        <w:rPr>
          <w:rFonts w:ascii="Times New Roman" w:hAnsi="Times New Roman" w:cs="Times New Roman"/>
          <w:sz w:val="28"/>
          <w:szCs w:val="28"/>
        </w:rPr>
        <w:t xml:space="preserve">  года расходы снизились на  17,8 </w:t>
      </w:r>
      <w:r w:rsidRPr="00F55FD7">
        <w:rPr>
          <w:rFonts w:ascii="Times New Roman" w:hAnsi="Times New Roman" w:cs="Times New Roman"/>
          <w:sz w:val="28"/>
          <w:szCs w:val="28"/>
        </w:rPr>
        <w:t xml:space="preserve">тыс. рублей (на </w:t>
      </w:r>
      <w:r w:rsidR="005F760E">
        <w:rPr>
          <w:rFonts w:ascii="Times New Roman" w:hAnsi="Times New Roman" w:cs="Times New Roman"/>
          <w:sz w:val="28"/>
          <w:szCs w:val="28"/>
        </w:rPr>
        <w:t>48,8</w:t>
      </w:r>
      <w:r w:rsidRPr="00F55FD7">
        <w:rPr>
          <w:rFonts w:ascii="Times New Roman" w:hAnsi="Times New Roman" w:cs="Times New Roman"/>
          <w:sz w:val="28"/>
          <w:szCs w:val="28"/>
        </w:rPr>
        <w:t>%).Средства направлены на содержание  муниципальных автомобильных дорог поселения.</w:t>
      </w:r>
    </w:p>
    <w:p w:rsidR="00F55FD7" w:rsidRPr="00F55FD7" w:rsidRDefault="00F55FD7" w:rsidP="00F55FD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i/>
          <w:sz w:val="28"/>
          <w:szCs w:val="28"/>
        </w:rPr>
        <w:t>«Жилищно-коммунальное хозяйство»</w:t>
      </w:r>
      <w:r w:rsidRPr="00F55FD7">
        <w:rPr>
          <w:rFonts w:ascii="Times New Roman" w:hAnsi="Times New Roman" w:cs="Times New Roman"/>
          <w:sz w:val="28"/>
          <w:szCs w:val="28"/>
        </w:rPr>
        <w:t xml:space="preserve">- расходы составили </w:t>
      </w:r>
      <w:r w:rsidR="00BA6070">
        <w:rPr>
          <w:rFonts w:ascii="Times New Roman" w:hAnsi="Times New Roman" w:cs="Times New Roman"/>
          <w:sz w:val="28"/>
          <w:szCs w:val="28"/>
        </w:rPr>
        <w:t>13,0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или 11,7% к годовым назначениям, в том числе  по подразделу «Жилищное хозяйство» - </w:t>
      </w:r>
      <w:r w:rsidR="00BA6070">
        <w:rPr>
          <w:rFonts w:ascii="Times New Roman" w:hAnsi="Times New Roman" w:cs="Times New Roman"/>
          <w:sz w:val="28"/>
          <w:szCs w:val="28"/>
        </w:rPr>
        <w:t>3,2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 на взносы в некоммерческую организации «Фонд капитального ремонта». По подразделу «Благоустройство» расходы составили </w:t>
      </w:r>
      <w:r w:rsidR="00BA6070">
        <w:rPr>
          <w:rFonts w:ascii="Times New Roman" w:hAnsi="Times New Roman" w:cs="Times New Roman"/>
          <w:sz w:val="28"/>
          <w:szCs w:val="28"/>
        </w:rPr>
        <w:t>9,8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 на</w:t>
      </w:r>
      <w:r w:rsidR="00BA6070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Pr="00F55FD7">
        <w:rPr>
          <w:rFonts w:ascii="Times New Roman" w:hAnsi="Times New Roman" w:cs="Times New Roman"/>
          <w:sz w:val="28"/>
          <w:szCs w:val="28"/>
        </w:rPr>
        <w:t xml:space="preserve"> оплату уличного освещения на территории поселения.</w:t>
      </w:r>
      <w:r w:rsidR="00BA6070"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>По сравнению с 1</w:t>
      </w:r>
      <w:r w:rsidR="00BA6070"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 xml:space="preserve">кварталом 2015 года расходы </w:t>
      </w:r>
      <w:r w:rsidR="00BA6070">
        <w:rPr>
          <w:rFonts w:ascii="Times New Roman" w:hAnsi="Times New Roman" w:cs="Times New Roman"/>
          <w:sz w:val="28"/>
          <w:szCs w:val="28"/>
        </w:rPr>
        <w:t>увеличились</w:t>
      </w:r>
      <w:r w:rsidRPr="00F55FD7">
        <w:rPr>
          <w:rFonts w:ascii="Times New Roman" w:hAnsi="Times New Roman" w:cs="Times New Roman"/>
          <w:sz w:val="28"/>
          <w:szCs w:val="28"/>
        </w:rPr>
        <w:t xml:space="preserve"> на  </w:t>
      </w:r>
      <w:r w:rsidR="00BA6070">
        <w:rPr>
          <w:rFonts w:ascii="Times New Roman" w:hAnsi="Times New Roman" w:cs="Times New Roman"/>
          <w:sz w:val="28"/>
          <w:szCs w:val="28"/>
        </w:rPr>
        <w:t>8,1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A6070">
        <w:rPr>
          <w:rFonts w:ascii="Times New Roman" w:hAnsi="Times New Roman" w:cs="Times New Roman"/>
          <w:sz w:val="28"/>
          <w:szCs w:val="28"/>
        </w:rPr>
        <w:t>в 2,6 раза</w:t>
      </w:r>
      <w:r w:rsidRPr="00F55FD7">
        <w:rPr>
          <w:rFonts w:ascii="Times New Roman" w:hAnsi="Times New Roman" w:cs="Times New Roman"/>
          <w:sz w:val="28"/>
          <w:szCs w:val="28"/>
        </w:rPr>
        <w:t>).</w:t>
      </w: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i/>
          <w:sz w:val="28"/>
          <w:szCs w:val="28"/>
        </w:rPr>
        <w:t>«Образование»</w:t>
      </w:r>
      <w:r w:rsidRPr="00F55FD7">
        <w:rPr>
          <w:rFonts w:ascii="Times New Roman" w:hAnsi="Times New Roman" w:cs="Times New Roman"/>
          <w:sz w:val="28"/>
          <w:szCs w:val="28"/>
        </w:rPr>
        <w:t xml:space="preserve"> - расходы в 1 квартале 2016 года не осуществлялись.</w:t>
      </w: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i/>
          <w:sz w:val="28"/>
          <w:szCs w:val="28"/>
        </w:rPr>
        <w:t>«Культура и  кинематография»</w:t>
      </w:r>
      <w:r w:rsidRPr="00F55FD7">
        <w:rPr>
          <w:rFonts w:ascii="Times New Roman" w:hAnsi="Times New Roman" w:cs="Times New Roman"/>
          <w:sz w:val="28"/>
          <w:szCs w:val="28"/>
        </w:rPr>
        <w:t>-</w:t>
      </w:r>
      <w:r w:rsidR="00BA6070">
        <w:rPr>
          <w:rFonts w:ascii="Times New Roman" w:hAnsi="Times New Roman" w:cs="Times New Roman"/>
          <w:sz w:val="28"/>
          <w:szCs w:val="28"/>
        </w:rPr>
        <w:t>80,0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BA6070">
        <w:rPr>
          <w:rFonts w:ascii="Times New Roman" w:hAnsi="Times New Roman" w:cs="Times New Roman"/>
          <w:sz w:val="28"/>
          <w:szCs w:val="28"/>
        </w:rPr>
        <w:t>15,1</w:t>
      </w:r>
      <w:r w:rsidRPr="00F55FD7">
        <w:rPr>
          <w:rFonts w:ascii="Times New Roman" w:hAnsi="Times New Roman" w:cs="Times New Roman"/>
          <w:sz w:val="28"/>
          <w:szCs w:val="28"/>
        </w:rPr>
        <w:t xml:space="preserve"> % к годовым назначениям. По сравнению с 1 кварталом 2015 года расходы </w:t>
      </w:r>
      <w:r w:rsidR="00BA6070">
        <w:rPr>
          <w:rFonts w:ascii="Times New Roman" w:hAnsi="Times New Roman" w:cs="Times New Roman"/>
          <w:sz w:val="28"/>
          <w:szCs w:val="28"/>
        </w:rPr>
        <w:t>уменьшились</w:t>
      </w:r>
      <w:r w:rsidRPr="00F55FD7">
        <w:rPr>
          <w:rFonts w:ascii="Times New Roman" w:hAnsi="Times New Roman" w:cs="Times New Roman"/>
          <w:sz w:val="28"/>
          <w:szCs w:val="28"/>
        </w:rPr>
        <w:t xml:space="preserve"> на  </w:t>
      </w:r>
      <w:r w:rsidR="00BA6070">
        <w:rPr>
          <w:rFonts w:ascii="Times New Roman" w:hAnsi="Times New Roman" w:cs="Times New Roman"/>
          <w:sz w:val="28"/>
          <w:szCs w:val="28"/>
        </w:rPr>
        <w:t xml:space="preserve">15,0 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A6070">
        <w:rPr>
          <w:rFonts w:ascii="Times New Roman" w:hAnsi="Times New Roman" w:cs="Times New Roman"/>
          <w:sz w:val="28"/>
          <w:szCs w:val="28"/>
        </w:rPr>
        <w:t>15,8</w:t>
      </w:r>
      <w:r w:rsidRPr="00F55FD7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Расходы по подразделу «Культура» составили </w:t>
      </w:r>
      <w:r w:rsidR="00BA6070">
        <w:rPr>
          <w:rFonts w:ascii="Times New Roman" w:hAnsi="Times New Roman" w:cs="Times New Roman"/>
          <w:sz w:val="28"/>
          <w:szCs w:val="28"/>
        </w:rPr>
        <w:t>80,0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A6070">
        <w:rPr>
          <w:rFonts w:ascii="Times New Roman" w:hAnsi="Times New Roman" w:cs="Times New Roman"/>
          <w:sz w:val="28"/>
          <w:szCs w:val="28"/>
        </w:rPr>
        <w:t>15,1%),  р</w:t>
      </w:r>
      <w:r w:rsidRPr="00F55FD7">
        <w:rPr>
          <w:rFonts w:ascii="Times New Roman" w:hAnsi="Times New Roman" w:cs="Times New Roman"/>
          <w:sz w:val="28"/>
          <w:szCs w:val="28"/>
        </w:rPr>
        <w:t>асходы производились на финансовое обеспечение муниципального задания МБУК «</w:t>
      </w:r>
      <w:r w:rsidR="00BA6070">
        <w:rPr>
          <w:rFonts w:ascii="Times New Roman" w:hAnsi="Times New Roman" w:cs="Times New Roman"/>
          <w:sz w:val="28"/>
          <w:szCs w:val="28"/>
        </w:rPr>
        <w:t>Шейбухтовский</w:t>
      </w:r>
      <w:r w:rsidRPr="00F55FD7">
        <w:rPr>
          <w:rFonts w:ascii="Times New Roman" w:hAnsi="Times New Roman" w:cs="Times New Roman"/>
          <w:sz w:val="28"/>
          <w:szCs w:val="28"/>
        </w:rPr>
        <w:t xml:space="preserve">  Дом культуры» в сумме </w:t>
      </w:r>
      <w:r w:rsidR="00BA6070">
        <w:rPr>
          <w:rFonts w:ascii="Times New Roman" w:hAnsi="Times New Roman" w:cs="Times New Roman"/>
          <w:sz w:val="28"/>
          <w:szCs w:val="28"/>
        </w:rPr>
        <w:t>80,0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55FD7" w:rsidRPr="00F55FD7" w:rsidRDefault="00F55FD7" w:rsidP="00BA6070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i/>
          <w:sz w:val="28"/>
          <w:szCs w:val="28"/>
        </w:rPr>
        <w:t>«Социальная политика»</w:t>
      </w:r>
      <w:r w:rsidR="00BA6070">
        <w:rPr>
          <w:rFonts w:ascii="Times New Roman" w:hAnsi="Times New Roman" w:cs="Times New Roman"/>
          <w:sz w:val="28"/>
          <w:szCs w:val="28"/>
        </w:rPr>
        <w:t xml:space="preserve"> - </w:t>
      </w:r>
      <w:r w:rsidR="00BA6070" w:rsidRPr="00F55FD7">
        <w:rPr>
          <w:rFonts w:ascii="Times New Roman" w:hAnsi="Times New Roman" w:cs="Times New Roman"/>
          <w:sz w:val="28"/>
          <w:szCs w:val="28"/>
        </w:rPr>
        <w:t>расходы в 1 квартале 2016 года не осуществлялись.</w:t>
      </w:r>
    </w:p>
    <w:p w:rsidR="007E7392" w:rsidRPr="007E7392" w:rsidRDefault="007E7392" w:rsidP="007E7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F55FD7" w:rsidRPr="007E7392">
        <w:rPr>
          <w:rFonts w:ascii="Times New Roman" w:hAnsi="Times New Roman" w:cs="Times New Roman"/>
          <w:i/>
          <w:sz w:val="28"/>
          <w:szCs w:val="28"/>
        </w:rPr>
        <w:t xml:space="preserve">   «Физическая культура и спорт»</w:t>
      </w:r>
      <w:r w:rsidR="00F55FD7" w:rsidRPr="007E7392">
        <w:rPr>
          <w:rFonts w:ascii="Times New Roman" w:hAnsi="Times New Roman" w:cs="Times New Roman"/>
          <w:sz w:val="28"/>
          <w:szCs w:val="28"/>
        </w:rPr>
        <w:t xml:space="preserve"> - </w:t>
      </w:r>
      <w:r w:rsidR="001C3778" w:rsidRPr="007E7392">
        <w:rPr>
          <w:rFonts w:ascii="Times New Roman" w:hAnsi="Times New Roman" w:cs="Times New Roman"/>
          <w:sz w:val="28"/>
          <w:szCs w:val="28"/>
        </w:rPr>
        <w:t>7,0</w:t>
      </w:r>
      <w:r w:rsidR="00F55FD7" w:rsidRPr="007E7392">
        <w:rPr>
          <w:rFonts w:ascii="Times New Roman" w:hAnsi="Times New Roman" w:cs="Times New Roman"/>
          <w:sz w:val="28"/>
          <w:szCs w:val="28"/>
        </w:rPr>
        <w:t xml:space="preserve"> тыс.рублей, или  </w:t>
      </w:r>
      <w:r w:rsidR="001C3778" w:rsidRPr="007E7392">
        <w:rPr>
          <w:rFonts w:ascii="Times New Roman" w:hAnsi="Times New Roman" w:cs="Times New Roman"/>
          <w:sz w:val="28"/>
          <w:szCs w:val="28"/>
        </w:rPr>
        <w:t>22,7</w:t>
      </w:r>
      <w:r w:rsidR="00F55FD7" w:rsidRPr="007E7392">
        <w:rPr>
          <w:rFonts w:ascii="Times New Roman" w:hAnsi="Times New Roman" w:cs="Times New Roman"/>
          <w:sz w:val="28"/>
          <w:szCs w:val="28"/>
        </w:rPr>
        <w:t xml:space="preserve">% к годовым назначениям.  По сравнению с 1 кварталом 2015  года расходы увеличились на </w:t>
      </w:r>
      <w:r w:rsidR="001C3778" w:rsidRPr="007E7392">
        <w:rPr>
          <w:rFonts w:ascii="Times New Roman" w:hAnsi="Times New Roman" w:cs="Times New Roman"/>
          <w:sz w:val="28"/>
          <w:szCs w:val="28"/>
        </w:rPr>
        <w:t>5,0</w:t>
      </w:r>
      <w:r w:rsidR="00F55FD7" w:rsidRPr="007E7392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C3778" w:rsidRPr="007E7392">
        <w:rPr>
          <w:rFonts w:ascii="Times New Roman" w:hAnsi="Times New Roman" w:cs="Times New Roman"/>
          <w:sz w:val="28"/>
          <w:szCs w:val="28"/>
        </w:rPr>
        <w:t>в 3,5 раза</w:t>
      </w:r>
      <w:r w:rsidR="00F55FD7" w:rsidRPr="007E7392">
        <w:rPr>
          <w:rFonts w:ascii="Times New Roman" w:hAnsi="Times New Roman" w:cs="Times New Roman"/>
          <w:sz w:val="28"/>
          <w:szCs w:val="28"/>
        </w:rPr>
        <w:t>)</w:t>
      </w:r>
      <w:r w:rsidRPr="007E7392">
        <w:rPr>
          <w:rFonts w:ascii="Times New Roman" w:hAnsi="Times New Roman" w:cs="Times New Roman"/>
          <w:sz w:val="28"/>
          <w:szCs w:val="28"/>
        </w:rPr>
        <w:t xml:space="preserve">. </w:t>
      </w:r>
      <w:r w:rsidRPr="007E7392">
        <w:rPr>
          <w:rFonts w:ascii="Times New Roman" w:eastAsia="Times New Roman" w:hAnsi="Times New Roman" w:cs="Times New Roman"/>
          <w:sz w:val="28"/>
          <w:szCs w:val="28"/>
        </w:rPr>
        <w:t>Средства направлены на проведение спортивных мероприятий в поселении.</w:t>
      </w:r>
    </w:p>
    <w:p w:rsidR="00F55FD7" w:rsidRPr="00454980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980">
        <w:rPr>
          <w:rFonts w:ascii="Times New Roman" w:hAnsi="Times New Roman" w:cs="Times New Roman"/>
          <w:sz w:val="28"/>
          <w:szCs w:val="28"/>
        </w:rPr>
        <w:t>В рамках проведения анализа исполнения бюджета поселения  за 1 квартал 2016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</w:p>
    <w:p w:rsidR="00F55FD7" w:rsidRPr="00711882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1882">
        <w:rPr>
          <w:rFonts w:ascii="Times New Roman" w:hAnsi="Times New Roman" w:cs="Times New Roman"/>
          <w:sz w:val="28"/>
          <w:szCs w:val="28"/>
        </w:rPr>
        <w:lastRenderedPageBreak/>
        <w:t>Информация в отношении органов местного самоуправления предоставлена следующими данными:</w:t>
      </w:r>
    </w:p>
    <w:p w:rsidR="00F55FD7" w:rsidRPr="00711882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1882">
        <w:rPr>
          <w:rFonts w:ascii="Times New Roman" w:hAnsi="Times New Roman" w:cs="Times New Roman"/>
          <w:sz w:val="28"/>
          <w:szCs w:val="28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</w:t>
      </w:r>
      <w:r w:rsidR="009E3D23" w:rsidRPr="00711882">
        <w:rPr>
          <w:rFonts w:ascii="Times New Roman" w:hAnsi="Times New Roman" w:cs="Times New Roman"/>
          <w:sz w:val="28"/>
          <w:szCs w:val="28"/>
        </w:rPr>
        <w:t>янию на  01 апреля  2015 года -3</w:t>
      </w:r>
      <w:r w:rsidRPr="00711882">
        <w:rPr>
          <w:rFonts w:ascii="Times New Roman" w:hAnsi="Times New Roman" w:cs="Times New Roman"/>
          <w:sz w:val="28"/>
          <w:szCs w:val="28"/>
        </w:rPr>
        <w:t xml:space="preserve"> шт. единиц, на 01 апреля 2016 года – 4 шт. единиц.</w:t>
      </w:r>
    </w:p>
    <w:p w:rsidR="00F55FD7" w:rsidRPr="00711882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1882">
        <w:rPr>
          <w:rFonts w:ascii="Times New Roman" w:hAnsi="Times New Roman" w:cs="Times New Roman"/>
          <w:sz w:val="28"/>
          <w:szCs w:val="28"/>
        </w:rPr>
        <w:t>2. Фактический объем расходов на оплату труда работников органов местного самоуправления составил:</w:t>
      </w:r>
    </w:p>
    <w:p w:rsidR="00F55FD7" w:rsidRPr="00711882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1882">
        <w:rPr>
          <w:rFonts w:ascii="Times New Roman" w:hAnsi="Times New Roman" w:cs="Times New Roman"/>
          <w:sz w:val="28"/>
          <w:szCs w:val="28"/>
        </w:rPr>
        <w:t>- за 1 квартал 2015 год –</w:t>
      </w:r>
      <w:r w:rsidR="009E3D23" w:rsidRPr="00711882">
        <w:rPr>
          <w:rFonts w:ascii="Times New Roman" w:hAnsi="Times New Roman" w:cs="Times New Roman"/>
          <w:sz w:val="28"/>
          <w:szCs w:val="28"/>
        </w:rPr>
        <w:t>221,1</w:t>
      </w:r>
      <w:r w:rsidRPr="00711882">
        <w:rPr>
          <w:rFonts w:ascii="Times New Roman" w:hAnsi="Times New Roman" w:cs="Times New Roman"/>
          <w:sz w:val="28"/>
          <w:szCs w:val="28"/>
        </w:rPr>
        <w:t>. рублей;</w:t>
      </w:r>
    </w:p>
    <w:p w:rsidR="00F55FD7" w:rsidRPr="00711882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1882">
        <w:rPr>
          <w:rFonts w:ascii="Times New Roman" w:hAnsi="Times New Roman" w:cs="Times New Roman"/>
          <w:sz w:val="28"/>
          <w:szCs w:val="28"/>
        </w:rPr>
        <w:t xml:space="preserve">- за 1 квартал 2016 года – </w:t>
      </w:r>
      <w:r w:rsidR="009E3D23" w:rsidRPr="00711882">
        <w:rPr>
          <w:rFonts w:ascii="Times New Roman" w:hAnsi="Times New Roman" w:cs="Times New Roman"/>
          <w:sz w:val="28"/>
          <w:szCs w:val="28"/>
        </w:rPr>
        <w:t>249,4</w:t>
      </w:r>
      <w:r w:rsidRPr="0071188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E3D23" w:rsidRPr="00121FFE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3. Доля расходов на оплату труда работников аппарата управления в общей сумме расходов бюджета поселения за 1 квартал  2016 года составила  </w:t>
      </w:r>
      <w:r w:rsidR="009E3D23">
        <w:rPr>
          <w:rFonts w:ascii="Times New Roman" w:hAnsi="Times New Roman" w:cs="Times New Roman"/>
          <w:sz w:val="28"/>
          <w:szCs w:val="28"/>
        </w:rPr>
        <w:t>50,1</w:t>
      </w:r>
      <w:r w:rsidRPr="00F55FD7">
        <w:rPr>
          <w:rFonts w:ascii="Times New Roman" w:hAnsi="Times New Roman" w:cs="Times New Roman"/>
          <w:sz w:val="28"/>
          <w:szCs w:val="28"/>
        </w:rPr>
        <w:t xml:space="preserve"> процента от общего объема расходов.</w:t>
      </w:r>
      <w:r w:rsidR="009E3D23"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>Наблюдается увеличение расходов на оплату труда</w:t>
      </w:r>
      <w:r w:rsidR="009E3D23"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 xml:space="preserve">работников органа местного самоуправления  за 1 квартал 2016 года по сравнению с аналогичным периодом прошлого года на </w:t>
      </w:r>
      <w:r w:rsidR="009E3D23">
        <w:rPr>
          <w:rFonts w:ascii="Times New Roman" w:hAnsi="Times New Roman" w:cs="Times New Roman"/>
          <w:sz w:val="28"/>
          <w:szCs w:val="28"/>
        </w:rPr>
        <w:t>28,3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121FFE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9E3D23" w:rsidRPr="00121FFE">
        <w:rPr>
          <w:rFonts w:ascii="Times New Roman" w:hAnsi="Times New Roman" w:cs="Times New Roman"/>
          <w:sz w:val="28"/>
          <w:szCs w:val="28"/>
        </w:rPr>
        <w:t>12,8</w:t>
      </w:r>
      <w:r w:rsidR="00121FFE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121FFE" w:rsidRPr="00121FFE">
        <w:rPr>
          <w:rFonts w:ascii="Times New Roman" w:hAnsi="Times New Roman" w:cs="Times New Roman"/>
          <w:sz w:val="28"/>
          <w:szCs w:val="28"/>
        </w:rPr>
        <w:t xml:space="preserve"> </w:t>
      </w:r>
      <w:r w:rsidR="00121FFE">
        <w:rPr>
          <w:rFonts w:ascii="Times New Roman" w:hAnsi="Times New Roman" w:cs="Times New Roman"/>
          <w:sz w:val="28"/>
          <w:szCs w:val="28"/>
        </w:rPr>
        <w:t xml:space="preserve">Увеличение расходов на оплату труда связано с тем, </w:t>
      </w:r>
      <w:r w:rsidR="00121FFE" w:rsidRPr="00121FFE">
        <w:rPr>
          <w:rFonts w:ascii="Times New Roman" w:hAnsi="Times New Roman" w:cs="Times New Roman"/>
          <w:sz w:val="28"/>
          <w:szCs w:val="28"/>
        </w:rPr>
        <w:t xml:space="preserve">что  </w:t>
      </w:r>
      <w:r w:rsidR="00121FFE">
        <w:rPr>
          <w:rFonts w:ascii="Times New Roman" w:hAnsi="Times New Roman" w:cs="Times New Roman"/>
          <w:sz w:val="28"/>
          <w:szCs w:val="28"/>
        </w:rPr>
        <w:t xml:space="preserve">при увольнении </w:t>
      </w:r>
      <w:r w:rsidR="00121FFE" w:rsidRPr="00121FFE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121FFE">
        <w:rPr>
          <w:rFonts w:ascii="Times New Roman" w:hAnsi="Times New Roman" w:cs="Times New Roman"/>
          <w:sz w:val="28"/>
          <w:szCs w:val="28"/>
        </w:rPr>
        <w:t>была выплачена компенса</w:t>
      </w:r>
      <w:r w:rsidR="00121FFE" w:rsidRPr="00121FFE">
        <w:rPr>
          <w:rFonts w:ascii="Times New Roman" w:hAnsi="Times New Roman" w:cs="Times New Roman"/>
          <w:sz w:val="28"/>
          <w:szCs w:val="28"/>
        </w:rPr>
        <w:t>ция за не</w:t>
      </w:r>
      <w:r w:rsidR="00121FFE">
        <w:rPr>
          <w:rFonts w:ascii="Times New Roman" w:hAnsi="Times New Roman" w:cs="Times New Roman"/>
          <w:sz w:val="28"/>
          <w:szCs w:val="28"/>
        </w:rPr>
        <w:t xml:space="preserve"> использованный </w:t>
      </w:r>
      <w:r w:rsidR="00121FFE" w:rsidRPr="00121FFE">
        <w:rPr>
          <w:rFonts w:ascii="Times New Roman" w:hAnsi="Times New Roman" w:cs="Times New Roman"/>
          <w:sz w:val="28"/>
          <w:szCs w:val="28"/>
        </w:rPr>
        <w:t xml:space="preserve"> отпуск. </w:t>
      </w: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Информация в отношении муниципальных учреждений представлена в следующей форме.</w:t>
      </w: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 Число бюджетных организаций по состоянию на 01 апреля 2015 года составило  </w:t>
      </w:r>
      <w:r w:rsidR="00307BCB">
        <w:rPr>
          <w:rFonts w:ascii="Times New Roman" w:hAnsi="Times New Roman" w:cs="Times New Roman"/>
          <w:sz w:val="28"/>
          <w:szCs w:val="28"/>
        </w:rPr>
        <w:t>1</w:t>
      </w:r>
      <w:r w:rsidRPr="00F55FD7">
        <w:rPr>
          <w:rFonts w:ascii="Times New Roman" w:hAnsi="Times New Roman" w:cs="Times New Roman"/>
          <w:sz w:val="28"/>
          <w:szCs w:val="28"/>
        </w:rPr>
        <w:t xml:space="preserve"> (в т.ч. финансируемых за счет собственных доходов  – </w:t>
      </w:r>
      <w:r w:rsidR="00307BCB">
        <w:rPr>
          <w:rFonts w:ascii="Times New Roman" w:hAnsi="Times New Roman" w:cs="Times New Roman"/>
          <w:sz w:val="28"/>
          <w:szCs w:val="28"/>
        </w:rPr>
        <w:t>1</w:t>
      </w:r>
      <w:r w:rsidRPr="00F55FD7">
        <w:rPr>
          <w:rFonts w:ascii="Times New Roman" w:hAnsi="Times New Roman" w:cs="Times New Roman"/>
          <w:sz w:val="28"/>
          <w:szCs w:val="28"/>
        </w:rPr>
        <w:t xml:space="preserve">), на 01 апреля  2016 года – </w:t>
      </w:r>
      <w:r w:rsidR="00307BCB">
        <w:rPr>
          <w:rFonts w:ascii="Times New Roman" w:hAnsi="Times New Roman" w:cs="Times New Roman"/>
          <w:sz w:val="28"/>
          <w:szCs w:val="28"/>
        </w:rPr>
        <w:t>1</w:t>
      </w:r>
      <w:r w:rsidRPr="00F55FD7">
        <w:rPr>
          <w:rFonts w:ascii="Times New Roman" w:hAnsi="Times New Roman" w:cs="Times New Roman"/>
          <w:sz w:val="28"/>
          <w:szCs w:val="28"/>
        </w:rPr>
        <w:t xml:space="preserve"> (в т.ч. финансируемых за счет собственных доходов – </w:t>
      </w:r>
      <w:r w:rsidR="00307BCB">
        <w:rPr>
          <w:rFonts w:ascii="Times New Roman" w:hAnsi="Times New Roman" w:cs="Times New Roman"/>
          <w:sz w:val="28"/>
          <w:szCs w:val="28"/>
        </w:rPr>
        <w:t>1</w:t>
      </w:r>
      <w:r w:rsidRPr="00F55FD7">
        <w:rPr>
          <w:rFonts w:ascii="Times New Roman" w:hAnsi="Times New Roman" w:cs="Times New Roman"/>
          <w:sz w:val="28"/>
          <w:szCs w:val="28"/>
        </w:rPr>
        <w:t>).</w:t>
      </w: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1. Количество работников муниципальных учреждений по состоянию на 01 апреля 2015 года составило</w:t>
      </w:r>
      <w:r w:rsidR="009E3D23">
        <w:rPr>
          <w:rFonts w:ascii="Times New Roman" w:hAnsi="Times New Roman" w:cs="Times New Roman"/>
          <w:sz w:val="28"/>
          <w:szCs w:val="28"/>
        </w:rPr>
        <w:t xml:space="preserve"> 2,2 </w:t>
      </w:r>
      <w:r w:rsidRPr="00F55FD7">
        <w:rPr>
          <w:rFonts w:ascii="Times New Roman" w:hAnsi="Times New Roman" w:cs="Times New Roman"/>
          <w:sz w:val="28"/>
          <w:szCs w:val="28"/>
        </w:rPr>
        <w:t>шт. единиц, на 01 апреля 2016года –</w:t>
      </w:r>
      <w:r w:rsidR="009E3D23">
        <w:rPr>
          <w:rFonts w:ascii="Times New Roman" w:hAnsi="Times New Roman" w:cs="Times New Roman"/>
          <w:sz w:val="28"/>
          <w:szCs w:val="28"/>
        </w:rPr>
        <w:t>2,0</w:t>
      </w:r>
      <w:r w:rsidRPr="00F55FD7">
        <w:rPr>
          <w:rFonts w:ascii="Times New Roman" w:hAnsi="Times New Roman" w:cs="Times New Roman"/>
          <w:sz w:val="28"/>
          <w:szCs w:val="28"/>
        </w:rPr>
        <w:t xml:space="preserve"> шт. единиц. Штатная численность работников муниципальных учреждений поселения на 01.04.2016 года в сравнении с 01.04.2015 года сократилась на </w:t>
      </w:r>
      <w:r w:rsidR="009E3D23">
        <w:rPr>
          <w:rFonts w:ascii="Times New Roman" w:hAnsi="Times New Roman" w:cs="Times New Roman"/>
          <w:sz w:val="28"/>
          <w:szCs w:val="28"/>
        </w:rPr>
        <w:t xml:space="preserve">0,2 </w:t>
      </w:r>
      <w:r w:rsidRPr="00F55FD7">
        <w:rPr>
          <w:rFonts w:ascii="Times New Roman" w:hAnsi="Times New Roman" w:cs="Times New Roman"/>
          <w:sz w:val="28"/>
          <w:szCs w:val="28"/>
        </w:rPr>
        <w:t xml:space="preserve">штатные единицы, или на </w:t>
      </w:r>
      <w:r w:rsidR="009E3D23">
        <w:rPr>
          <w:rFonts w:ascii="Times New Roman" w:hAnsi="Times New Roman" w:cs="Times New Roman"/>
          <w:sz w:val="28"/>
          <w:szCs w:val="28"/>
        </w:rPr>
        <w:t>9,0</w:t>
      </w:r>
      <w:r w:rsidRPr="00F55FD7">
        <w:rPr>
          <w:rFonts w:ascii="Times New Roman" w:hAnsi="Times New Roman" w:cs="Times New Roman"/>
          <w:sz w:val="28"/>
          <w:szCs w:val="28"/>
        </w:rPr>
        <w:t xml:space="preserve"> %, что связано с процессом оптимизации штатной численности в муниципальных учреждениях.</w:t>
      </w: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2. Фактический объем расходов на оплату труда муниципальных учреждений составил:</w:t>
      </w: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- за 1 квартал 2015 года –</w:t>
      </w:r>
      <w:r w:rsidR="00790D2B">
        <w:rPr>
          <w:rFonts w:ascii="Times New Roman" w:hAnsi="Times New Roman" w:cs="Times New Roman"/>
          <w:sz w:val="28"/>
          <w:szCs w:val="28"/>
        </w:rPr>
        <w:t xml:space="preserve">77,0 </w:t>
      </w:r>
      <w:r w:rsidRPr="00F55FD7">
        <w:rPr>
          <w:rFonts w:ascii="Times New Roman" w:hAnsi="Times New Roman" w:cs="Times New Roman"/>
          <w:sz w:val="28"/>
          <w:szCs w:val="28"/>
        </w:rPr>
        <w:t>тыс. рублей;</w:t>
      </w: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- за 1 квартал 2016</w:t>
      </w:r>
      <w:r w:rsidR="009E3D23"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9E3D23">
        <w:rPr>
          <w:rFonts w:ascii="Times New Roman" w:hAnsi="Times New Roman" w:cs="Times New Roman"/>
          <w:sz w:val="28"/>
          <w:szCs w:val="28"/>
        </w:rPr>
        <w:t>65,7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3. Доля расходов на оплату труда работников муниципальных учреждений  в общей сумме расходов бюджета поселения  за 1 квартал  2016 года составила  </w:t>
      </w:r>
      <w:r w:rsidR="00790D2B">
        <w:rPr>
          <w:rFonts w:ascii="Times New Roman" w:hAnsi="Times New Roman" w:cs="Times New Roman"/>
          <w:sz w:val="28"/>
          <w:szCs w:val="28"/>
        </w:rPr>
        <w:t>13,2</w:t>
      </w:r>
      <w:r w:rsidRPr="00F55FD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55FD7" w:rsidRP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        Наблюдается снижение    расходов на оплату труда работников муниципальных учреждений  на </w:t>
      </w:r>
      <w:r w:rsidR="00790D2B">
        <w:rPr>
          <w:rFonts w:ascii="Times New Roman" w:hAnsi="Times New Roman" w:cs="Times New Roman"/>
          <w:sz w:val="28"/>
          <w:szCs w:val="28"/>
        </w:rPr>
        <w:t>11,3</w:t>
      </w:r>
      <w:r w:rsidRPr="00F55FD7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790D2B">
        <w:rPr>
          <w:rFonts w:ascii="Times New Roman" w:hAnsi="Times New Roman" w:cs="Times New Roman"/>
          <w:sz w:val="28"/>
          <w:szCs w:val="28"/>
        </w:rPr>
        <w:t>14,7</w:t>
      </w:r>
      <w:r w:rsidRPr="00F55FD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55FD7" w:rsidRPr="00F55FD7" w:rsidRDefault="00F55FD7" w:rsidP="00F55F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5FD7" w:rsidRPr="00711882" w:rsidRDefault="00F55FD7" w:rsidP="00F55F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1882">
        <w:rPr>
          <w:rFonts w:ascii="Times New Roman" w:hAnsi="Times New Roman" w:cs="Times New Roman"/>
          <w:b/>
          <w:i/>
          <w:sz w:val="28"/>
          <w:szCs w:val="28"/>
        </w:rPr>
        <w:t>Дефицит бюджета поселения.</w:t>
      </w:r>
    </w:p>
    <w:p w:rsidR="00F55FD7" w:rsidRPr="00EB1A94" w:rsidRDefault="00F55FD7" w:rsidP="00F55FD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1A94">
        <w:rPr>
          <w:rFonts w:ascii="Times New Roman" w:hAnsi="Times New Roman" w:cs="Times New Roman"/>
          <w:sz w:val="28"/>
          <w:szCs w:val="28"/>
        </w:rPr>
        <w:t xml:space="preserve"> Первоначальный бюджет поселения на 2016 год принят без дефицита. В течение 1 квартала 2016 года изменения в бюджет поселения не вносились.</w:t>
      </w:r>
    </w:p>
    <w:p w:rsidR="00F55FD7" w:rsidRPr="00F55FD7" w:rsidRDefault="00F55FD7" w:rsidP="00F55FD7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FD7">
        <w:rPr>
          <w:rFonts w:ascii="Times New Roman" w:hAnsi="Times New Roman" w:cs="Times New Roman"/>
          <w:color w:val="000000"/>
          <w:sz w:val="28"/>
          <w:szCs w:val="28"/>
        </w:rPr>
        <w:t>Источниками внутреннего финансирования дефицита  бюджета поселения</w:t>
      </w:r>
      <w:r w:rsidR="00711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color w:val="000000"/>
          <w:sz w:val="28"/>
          <w:szCs w:val="28"/>
        </w:rPr>
        <w:t>является изменение остатков средств на счетах по учету средств бюджета поселения.</w:t>
      </w:r>
    </w:p>
    <w:p w:rsidR="00EB1A94" w:rsidRPr="00DE21B2" w:rsidRDefault="00307BCB" w:rsidP="00EB1A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F55FD7" w:rsidRPr="00F55FD7">
        <w:rPr>
          <w:rFonts w:ascii="Times New Roman" w:hAnsi="Times New Roman" w:cs="Times New Roman"/>
          <w:sz w:val="28"/>
          <w:szCs w:val="28"/>
        </w:rPr>
        <w:t xml:space="preserve">Бюджет поселения за 1 квартал  2016 года исполнен с дефицитом в сумме </w:t>
      </w:r>
      <w:r w:rsidR="00711882">
        <w:rPr>
          <w:rFonts w:ascii="Times New Roman" w:hAnsi="Times New Roman" w:cs="Times New Roman"/>
          <w:sz w:val="28"/>
          <w:szCs w:val="28"/>
        </w:rPr>
        <w:t>14,2</w:t>
      </w:r>
      <w:r w:rsidR="00F55FD7" w:rsidRPr="00F55FD7">
        <w:rPr>
          <w:rFonts w:ascii="Times New Roman" w:hAnsi="Times New Roman" w:cs="Times New Roman"/>
          <w:sz w:val="28"/>
          <w:szCs w:val="28"/>
        </w:rPr>
        <w:t xml:space="preserve"> тыс. рублей. Источником финансирования дефицита бюджета поселения являются остатки средств бюджета на начало 2016 года в сумме </w:t>
      </w:r>
      <w:r w:rsidR="00EB1A94">
        <w:rPr>
          <w:rFonts w:ascii="Times New Roman" w:hAnsi="Times New Roman" w:cs="Times New Roman"/>
          <w:sz w:val="28"/>
          <w:szCs w:val="28"/>
        </w:rPr>
        <w:t>26,7</w:t>
      </w:r>
      <w:r w:rsidR="00F55FD7" w:rsidRPr="00F55FD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B1A94">
        <w:rPr>
          <w:rFonts w:ascii="Times New Roman" w:hAnsi="Times New Roman" w:cs="Times New Roman"/>
          <w:sz w:val="28"/>
          <w:szCs w:val="28"/>
        </w:rPr>
        <w:t xml:space="preserve">, </w:t>
      </w:r>
      <w:r w:rsidR="00EB1A94" w:rsidRPr="00DE21B2">
        <w:rPr>
          <w:rFonts w:ascii="Times New Roman" w:hAnsi="Times New Roman" w:cs="Times New Roman"/>
          <w:sz w:val="28"/>
          <w:szCs w:val="28"/>
        </w:rPr>
        <w:t xml:space="preserve"> в том числе средства Дорожного фонда поселения – </w:t>
      </w:r>
      <w:r w:rsidR="00EB1A94">
        <w:rPr>
          <w:rFonts w:ascii="Times New Roman" w:hAnsi="Times New Roman" w:cs="Times New Roman"/>
          <w:sz w:val="28"/>
          <w:szCs w:val="28"/>
        </w:rPr>
        <w:t>20,1</w:t>
      </w:r>
      <w:r w:rsidR="00EB1A94" w:rsidRPr="00DE21B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55FD7" w:rsidRPr="00F55FD7" w:rsidRDefault="00F55FD7" w:rsidP="00EB1A94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5FD7" w:rsidRPr="00F55FD7" w:rsidRDefault="00F55FD7" w:rsidP="00F55FD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5FD7" w:rsidRPr="00F55FD7" w:rsidRDefault="00F55FD7" w:rsidP="00F55FD7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55FD7">
        <w:rPr>
          <w:rFonts w:ascii="Times New Roman" w:hAnsi="Times New Roman" w:cs="Times New Roman"/>
          <w:b/>
          <w:bCs/>
          <w:i/>
          <w:sz w:val="28"/>
          <w:szCs w:val="28"/>
        </w:rPr>
        <w:t>Долговые обязательства бюджета поселения.</w:t>
      </w:r>
    </w:p>
    <w:p w:rsidR="00F55FD7" w:rsidRPr="00F55FD7" w:rsidRDefault="00F55FD7" w:rsidP="00F55FD7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5FD7" w:rsidRPr="00F55FD7" w:rsidRDefault="00F55FD7" w:rsidP="00F55FD7">
      <w:pPr>
        <w:pStyle w:val="1"/>
        <w:ind w:firstLine="709"/>
        <w:contextualSpacing/>
        <w:jc w:val="both"/>
        <w:rPr>
          <w:sz w:val="28"/>
          <w:szCs w:val="28"/>
        </w:rPr>
      </w:pPr>
      <w:r w:rsidRPr="00F55FD7">
        <w:rPr>
          <w:sz w:val="28"/>
          <w:szCs w:val="28"/>
        </w:rPr>
        <w:t xml:space="preserve">Решением Совета поселения </w:t>
      </w:r>
      <w:r w:rsidR="00307BCB">
        <w:rPr>
          <w:sz w:val="28"/>
          <w:szCs w:val="28"/>
        </w:rPr>
        <w:t>Шейбухтовское</w:t>
      </w:r>
      <w:r w:rsidRPr="00F55FD7">
        <w:rPr>
          <w:sz w:val="28"/>
          <w:szCs w:val="28"/>
        </w:rPr>
        <w:t xml:space="preserve"> от 25 декабря 2015</w:t>
      </w:r>
      <w:r w:rsidR="00EB1A94">
        <w:rPr>
          <w:sz w:val="28"/>
          <w:szCs w:val="28"/>
        </w:rPr>
        <w:t xml:space="preserve"> </w:t>
      </w:r>
      <w:r w:rsidRPr="00F55FD7">
        <w:rPr>
          <w:sz w:val="28"/>
          <w:szCs w:val="28"/>
        </w:rPr>
        <w:t>года №</w:t>
      </w:r>
      <w:r w:rsidR="00EB1A94">
        <w:rPr>
          <w:sz w:val="28"/>
          <w:szCs w:val="28"/>
        </w:rPr>
        <w:t>59</w:t>
      </w:r>
      <w:r w:rsidRPr="00F55FD7">
        <w:rPr>
          <w:sz w:val="28"/>
          <w:szCs w:val="28"/>
        </w:rPr>
        <w:t xml:space="preserve"> установлен верхний предел муниципального внутреннего долга поселения по состоянию на 1 января 2017 года в сумме 0,0 тыс. рублей.</w:t>
      </w:r>
    </w:p>
    <w:p w:rsidR="00F55FD7" w:rsidRPr="00F55FD7" w:rsidRDefault="00F55FD7" w:rsidP="00F55FD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В соответствии со статьей 107 Бюджетного кодекса Российской Федерации предельный объем муниципального внутреннего долга поселения</w:t>
      </w:r>
      <w:r w:rsidR="00BF65D9"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>можно   предусмотреть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F55FD7" w:rsidRPr="00F55FD7" w:rsidRDefault="00F55FD7" w:rsidP="00F55F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55FD7">
        <w:rPr>
          <w:rFonts w:ascii="Times New Roman" w:hAnsi="Times New Roman" w:cs="Times New Roman"/>
          <w:color w:val="000000"/>
          <w:spacing w:val="1"/>
          <w:sz w:val="28"/>
          <w:szCs w:val="28"/>
        </w:rPr>
        <w:t>В рамках утвержденного бюджета предоставление муниципальных гарантий в 2016 году не запланировано.</w:t>
      </w:r>
    </w:p>
    <w:p w:rsidR="00F55FD7" w:rsidRPr="00F55FD7" w:rsidRDefault="00F55FD7" w:rsidP="00F55F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F55FD7" w:rsidRPr="00F55FD7" w:rsidRDefault="00F55FD7" w:rsidP="00F55F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F55FD7" w:rsidRPr="00307BCB" w:rsidRDefault="00F55FD7" w:rsidP="00307BC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F55FD7">
        <w:rPr>
          <w:rFonts w:ascii="Times New Roman" w:hAnsi="Times New Roman" w:cs="Times New Roman"/>
          <w:b/>
          <w:i/>
          <w:spacing w:val="1"/>
          <w:sz w:val="28"/>
          <w:szCs w:val="28"/>
        </w:rPr>
        <w:t>Кредиторская, дебиторская задолженность</w:t>
      </w:r>
      <w:r w:rsidRPr="00F55FD7">
        <w:rPr>
          <w:rFonts w:ascii="Times New Roman" w:hAnsi="Times New Roman" w:cs="Times New Roman"/>
          <w:spacing w:val="1"/>
          <w:sz w:val="28"/>
          <w:szCs w:val="28"/>
        </w:rPr>
        <w:tab/>
        <w:t>.</w:t>
      </w:r>
    </w:p>
    <w:p w:rsidR="00F55FD7" w:rsidRP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ab/>
        <w:t xml:space="preserve">Объем кредиторской задолженности по состоянию на 01 января 2015 года </w:t>
      </w:r>
      <w:r w:rsidR="00424E53">
        <w:rPr>
          <w:rFonts w:ascii="Times New Roman" w:hAnsi="Times New Roman" w:cs="Times New Roman"/>
          <w:sz w:val="28"/>
          <w:szCs w:val="28"/>
        </w:rPr>
        <w:t>0,0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на 01  апреля  2015 года – </w:t>
      </w:r>
      <w:r w:rsidR="00424E53">
        <w:rPr>
          <w:rFonts w:ascii="Times New Roman" w:hAnsi="Times New Roman" w:cs="Times New Roman"/>
          <w:sz w:val="28"/>
          <w:szCs w:val="28"/>
        </w:rPr>
        <w:t>74,0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</w:t>
      </w:r>
      <w:r w:rsidR="00976091"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 xml:space="preserve">рублей, на 01 января 2016 года – </w:t>
      </w:r>
      <w:r w:rsidR="00424E53">
        <w:rPr>
          <w:rFonts w:ascii="Times New Roman" w:hAnsi="Times New Roman" w:cs="Times New Roman"/>
          <w:sz w:val="28"/>
          <w:szCs w:val="28"/>
        </w:rPr>
        <w:t>0,0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 (в том числе просроченной -</w:t>
      </w:r>
      <w:r w:rsidR="00424E53">
        <w:rPr>
          <w:rFonts w:ascii="Times New Roman" w:hAnsi="Times New Roman" w:cs="Times New Roman"/>
          <w:sz w:val="28"/>
          <w:szCs w:val="28"/>
        </w:rPr>
        <w:t>0,0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рублей), на 01 апреля 2016 года – </w:t>
      </w:r>
      <w:r w:rsidR="00424E53">
        <w:rPr>
          <w:rFonts w:ascii="Times New Roman" w:hAnsi="Times New Roman" w:cs="Times New Roman"/>
          <w:sz w:val="28"/>
          <w:szCs w:val="28"/>
        </w:rPr>
        <w:t>69,6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 (в том числе просроченной -</w:t>
      </w:r>
      <w:r w:rsidR="00424E53">
        <w:rPr>
          <w:rFonts w:ascii="Times New Roman" w:hAnsi="Times New Roman" w:cs="Times New Roman"/>
          <w:sz w:val="28"/>
          <w:szCs w:val="28"/>
        </w:rPr>
        <w:t>69,6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рублей). </w:t>
      </w:r>
    </w:p>
    <w:p w:rsidR="006723C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Объем кредиторской задолженности на начало 2016 года по сравнению с началом пр</w:t>
      </w:r>
      <w:r w:rsidR="00424E53">
        <w:rPr>
          <w:rFonts w:ascii="Times New Roman" w:hAnsi="Times New Roman" w:cs="Times New Roman"/>
          <w:sz w:val="28"/>
          <w:szCs w:val="28"/>
        </w:rPr>
        <w:t xml:space="preserve">ошлого года не изменяется и составляет 0,0 тыс. рублей. </w:t>
      </w:r>
      <w:r w:rsidRPr="00F55FD7">
        <w:rPr>
          <w:rFonts w:ascii="Times New Roman" w:hAnsi="Times New Roman" w:cs="Times New Roman"/>
          <w:sz w:val="28"/>
          <w:szCs w:val="28"/>
        </w:rPr>
        <w:t>В ходе исполнения бюджета поселения за 1</w:t>
      </w:r>
      <w:r w:rsidR="00424E53"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 xml:space="preserve">квартал текущего года объем кредиторской </w:t>
      </w:r>
      <w:r w:rsidR="00424E53">
        <w:rPr>
          <w:rFonts w:ascii="Times New Roman" w:hAnsi="Times New Roman" w:cs="Times New Roman"/>
          <w:sz w:val="28"/>
          <w:szCs w:val="28"/>
        </w:rPr>
        <w:t>незначительно снизился</w:t>
      </w:r>
      <w:r w:rsidRPr="00F55FD7">
        <w:rPr>
          <w:rFonts w:ascii="Times New Roman" w:hAnsi="Times New Roman" w:cs="Times New Roman"/>
          <w:sz w:val="28"/>
          <w:szCs w:val="28"/>
        </w:rPr>
        <w:t xml:space="preserve">, сумма </w:t>
      </w:r>
      <w:r w:rsidR="00424E53">
        <w:rPr>
          <w:rFonts w:ascii="Times New Roman" w:hAnsi="Times New Roman" w:cs="Times New Roman"/>
          <w:sz w:val="28"/>
          <w:szCs w:val="28"/>
        </w:rPr>
        <w:t>снижения</w:t>
      </w:r>
      <w:r w:rsidRPr="00F55FD7">
        <w:rPr>
          <w:rFonts w:ascii="Times New Roman" w:hAnsi="Times New Roman" w:cs="Times New Roman"/>
          <w:sz w:val="28"/>
          <w:szCs w:val="28"/>
        </w:rPr>
        <w:t xml:space="preserve"> составила– </w:t>
      </w:r>
      <w:r w:rsidR="00424E53">
        <w:rPr>
          <w:rFonts w:ascii="Times New Roman" w:hAnsi="Times New Roman" w:cs="Times New Roman"/>
          <w:sz w:val="28"/>
          <w:szCs w:val="28"/>
        </w:rPr>
        <w:t>4,4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24E53">
        <w:rPr>
          <w:rFonts w:ascii="Times New Roman" w:hAnsi="Times New Roman" w:cs="Times New Roman"/>
          <w:sz w:val="28"/>
          <w:szCs w:val="28"/>
        </w:rPr>
        <w:t xml:space="preserve">на 5,9%, </w:t>
      </w:r>
      <w:r w:rsidRPr="00F55FD7">
        <w:rPr>
          <w:rFonts w:ascii="Times New Roman" w:hAnsi="Times New Roman" w:cs="Times New Roman"/>
          <w:sz w:val="28"/>
          <w:szCs w:val="28"/>
        </w:rPr>
        <w:t xml:space="preserve">  просроченная задолженность увеличилась на</w:t>
      </w:r>
      <w:r w:rsidR="00424E53">
        <w:rPr>
          <w:rFonts w:ascii="Times New Roman" w:hAnsi="Times New Roman" w:cs="Times New Roman"/>
          <w:sz w:val="28"/>
          <w:szCs w:val="28"/>
        </w:rPr>
        <w:t xml:space="preserve">  69,6  </w:t>
      </w:r>
      <w:r w:rsidRPr="00F55FD7">
        <w:rPr>
          <w:rFonts w:ascii="Times New Roman" w:hAnsi="Times New Roman" w:cs="Times New Roman"/>
          <w:sz w:val="28"/>
          <w:szCs w:val="28"/>
        </w:rPr>
        <w:t xml:space="preserve">тыс. рублей.    Наиболее значительная по объему задолженность </w:t>
      </w:r>
      <w:r w:rsidR="006723C7">
        <w:rPr>
          <w:rFonts w:ascii="Times New Roman" w:hAnsi="Times New Roman" w:cs="Times New Roman"/>
          <w:sz w:val="28"/>
          <w:szCs w:val="28"/>
        </w:rPr>
        <w:t>за публикацию нормативно-правовых актов – 31,0 тыс. рублей, на втором месте по величине  задолженность з</w:t>
      </w:r>
      <w:r w:rsidRPr="00F55FD7">
        <w:rPr>
          <w:rFonts w:ascii="Times New Roman" w:hAnsi="Times New Roman" w:cs="Times New Roman"/>
          <w:sz w:val="28"/>
          <w:szCs w:val="28"/>
        </w:rPr>
        <w:t>а</w:t>
      </w:r>
      <w:r w:rsidR="006723C7">
        <w:rPr>
          <w:rFonts w:ascii="Times New Roman" w:hAnsi="Times New Roman" w:cs="Times New Roman"/>
          <w:sz w:val="28"/>
          <w:szCs w:val="28"/>
        </w:rPr>
        <w:t xml:space="preserve"> уличное освещение – 29,6 тыс. рублей, за </w:t>
      </w:r>
      <w:r w:rsidRPr="00F55FD7">
        <w:rPr>
          <w:rFonts w:ascii="Times New Roman" w:hAnsi="Times New Roman" w:cs="Times New Roman"/>
          <w:sz w:val="28"/>
          <w:szCs w:val="28"/>
        </w:rPr>
        <w:t xml:space="preserve"> коммунальные услуги</w:t>
      </w:r>
      <w:r w:rsidR="006723C7">
        <w:rPr>
          <w:rFonts w:ascii="Times New Roman" w:hAnsi="Times New Roman" w:cs="Times New Roman"/>
          <w:sz w:val="28"/>
          <w:szCs w:val="28"/>
        </w:rPr>
        <w:t xml:space="preserve"> (отопление)</w:t>
      </w:r>
      <w:r w:rsidRPr="00F55FD7">
        <w:rPr>
          <w:rFonts w:ascii="Times New Roman" w:hAnsi="Times New Roman" w:cs="Times New Roman"/>
          <w:sz w:val="28"/>
          <w:szCs w:val="28"/>
        </w:rPr>
        <w:t xml:space="preserve"> -</w:t>
      </w:r>
      <w:r w:rsidR="006723C7">
        <w:rPr>
          <w:rFonts w:ascii="Times New Roman" w:hAnsi="Times New Roman" w:cs="Times New Roman"/>
          <w:sz w:val="28"/>
          <w:szCs w:val="28"/>
        </w:rPr>
        <w:t>28,4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за обновление программного обеспечения, содержание сайта</w:t>
      </w:r>
      <w:r w:rsidR="006723C7">
        <w:rPr>
          <w:rFonts w:ascii="Times New Roman" w:hAnsi="Times New Roman" w:cs="Times New Roman"/>
          <w:sz w:val="28"/>
          <w:szCs w:val="28"/>
        </w:rPr>
        <w:t xml:space="preserve"> – 8,5 тыс. рублей.</w:t>
      </w: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Объем дебиторской задолженности по состоянию  на 01 января 2016</w:t>
      </w:r>
      <w:r w:rsidR="006723C7"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 xml:space="preserve">года  составил </w:t>
      </w:r>
      <w:r w:rsidR="006723C7">
        <w:rPr>
          <w:rFonts w:ascii="Times New Roman" w:hAnsi="Times New Roman" w:cs="Times New Roman"/>
          <w:sz w:val="28"/>
          <w:szCs w:val="28"/>
        </w:rPr>
        <w:t>5,9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на 01</w:t>
      </w:r>
      <w:r w:rsidR="006723C7"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 xml:space="preserve">апреля  2016 года – </w:t>
      </w:r>
      <w:r w:rsidR="006723C7">
        <w:rPr>
          <w:rFonts w:ascii="Times New Roman" w:hAnsi="Times New Roman" w:cs="Times New Roman"/>
          <w:sz w:val="28"/>
          <w:szCs w:val="28"/>
        </w:rPr>
        <w:t>0,0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рублей. Объем дебиторской задолженности за 1 квартал 2016 года имеет тенденцию к снижению, задолженность снизилась на </w:t>
      </w:r>
      <w:r w:rsidR="006723C7">
        <w:rPr>
          <w:rFonts w:ascii="Times New Roman" w:hAnsi="Times New Roman" w:cs="Times New Roman"/>
          <w:sz w:val="28"/>
          <w:szCs w:val="28"/>
        </w:rPr>
        <w:t>0,0 тыс. рублей.</w:t>
      </w:r>
      <w:r w:rsidRPr="00F55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FD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1. Изменения в решение «О бюджете поселения на 2016 год» в 1 квартале  2016  года не вносились.</w:t>
      </w: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lastRenderedPageBreak/>
        <w:t xml:space="preserve">2. За 1 квартал  2016 года доходы бюджета поселения составили </w:t>
      </w:r>
      <w:r w:rsidR="00155C8A">
        <w:rPr>
          <w:rFonts w:ascii="Times New Roman" w:hAnsi="Times New Roman" w:cs="Times New Roman"/>
          <w:sz w:val="28"/>
          <w:szCs w:val="28"/>
        </w:rPr>
        <w:t>483,5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55C8A">
        <w:rPr>
          <w:rFonts w:ascii="Times New Roman" w:hAnsi="Times New Roman" w:cs="Times New Roman"/>
          <w:sz w:val="28"/>
          <w:szCs w:val="28"/>
        </w:rPr>
        <w:t>19,3</w:t>
      </w:r>
      <w:r w:rsidRPr="00F55FD7"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 в сумме </w:t>
      </w:r>
      <w:r w:rsidR="00155C8A">
        <w:rPr>
          <w:rFonts w:ascii="Times New Roman" w:hAnsi="Times New Roman" w:cs="Times New Roman"/>
          <w:sz w:val="28"/>
          <w:szCs w:val="28"/>
        </w:rPr>
        <w:t>2508,2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в том числе налоговые и неналоговые доходы – </w:t>
      </w:r>
      <w:r w:rsidR="00155C8A">
        <w:rPr>
          <w:rFonts w:ascii="Times New Roman" w:hAnsi="Times New Roman" w:cs="Times New Roman"/>
          <w:sz w:val="28"/>
          <w:szCs w:val="28"/>
        </w:rPr>
        <w:t>9,4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55C8A">
        <w:rPr>
          <w:rFonts w:ascii="Times New Roman" w:hAnsi="Times New Roman" w:cs="Times New Roman"/>
          <w:sz w:val="28"/>
          <w:szCs w:val="28"/>
        </w:rPr>
        <w:t>3,9</w:t>
      </w:r>
      <w:r w:rsidRPr="00F55FD7">
        <w:rPr>
          <w:rFonts w:ascii="Times New Roman" w:hAnsi="Times New Roman" w:cs="Times New Roman"/>
          <w:sz w:val="28"/>
          <w:szCs w:val="28"/>
        </w:rPr>
        <w:t xml:space="preserve"> %), безвозмездные поступления – </w:t>
      </w:r>
      <w:r w:rsidR="00155C8A">
        <w:rPr>
          <w:rFonts w:ascii="Times New Roman" w:hAnsi="Times New Roman" w:cs="Times New Roman"/>
          <w:sz w:val="28"/>
          <w:szCs w:val="28"/>
        </w:rPr>
        <w:t>474,1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55C8A">
        <w:rPr>
          <w:rFonts w:ascii="Times New Roman" w:hAnsi="Times New Roman" w:cs="Times New Roman"/>
          <w:sz w:val="28"/>
          <w:szCs w:val="28"/>
        </w:rPr>
        <w:t>20,9</w:t>
      </w:r>
      <w:r w:rsidRPr="00F55FD7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Основными источниками налоговых и неналоговых доходов бюджета поселения является земельный налог,</w:t>
      </w:r>
      <w:r w:rsidR="00155C8A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лиц, </w:t>
      </w:r>
      <w:r w:rsidRPr="00F55FD7">
        <w:rPr>
          <w:rFonts w:ascii="Times New Roman" w:hAnsi="Times New Roman" w:cs="Times New Roman"/>
          <w:sz w:val="28"/>
          <w:szCs w:val="28"/>
        </w:rPr>
        <w:t xml:space="preserve">доля которых в объеме налоговых и неналоговых доходов бюджета поселения составила </w:t>
      </w:r>
      <w:r w:rsidR="00155C8A">
        <w:rPr>
          <w:rFonts w:ascii="Times New Roman" w:hAnsi="Times New Roman" w:cs="Times New Roman"/>
          <w:sz w:val="28"/>
          <w:szCs w:val="28"/>
        </w:rPr>
        <w:t>86,9</w:t>
      </w:r>
      <w:r w:rsidRPr="00F55FD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В общем объеме доходов бюджета поселения доля налоговых и неналоговых доходов составила </w:t>
      </w:r>
      <w:r w:rsidR="00155C8A">
        <w:rPr>
          <w:rFonts w:ascii="Times New Roman" w:hAnsi="Times New Roman" w:cs="Times New Roman"/>
          <w:sz w:val="28"/>
          <w:szCs w:val="28"/>
        </w:rPr>
        <w:t>1,9</w:t>
      </w:r>
      <w:r w:rsidRPr="00F55FD7">
        <w:rPr>
          <w:rFonts w:ascii="Times New Roman" w:hAnsi="Times New Roman" w:cs="Times New Roman"/>
          <w:sz w:val="28"/>
          <w:szCs w:val="28"/>
        </w:rPr>
        <w:t xml:space="preserve"> %, доля безвозмездных поступлений – </w:t>
      </w:r>
      <w:r w:rsidR="00155C8A">
        <w:rPr>
          <w:rFonts w:ascii="Times New Roman" w:hAnsi="Times New Roman" w:cs="Times New Roman"/>
          <w:sz w:val="28"/>
          <w:szCs w:val="28"/>
        </w:rPr>
        <w:t>98,1</w:t>
      </w:r>
      <w:r w:rsidRPr="00F55FD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3. Расходы бюджета поселения исполнены в сумме  </w:t>
      </w:r>
      <w:r w:rsidR="00155C8A">
        <w:rPr>
          <w:rFonts w:ascii="Times New Roman" w:hAnsi="Times New Roman" w:cs="Times New Roman"/>
          <w:sz w:val="28"/>
          <w:szCs w:val="28"/>
        </w:rPr>
        <w:t>497,7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155C8A">
        <w:rPr>
          <w:rFonts w:ascii="Times New Roman" w:hAnsi="Times New Roman" w:cs="Times New Roman"/>
          <w:sz w:val="28"/>
          <w:szCs w:val="28"/>
        </w:rPr>
        <w:t>19,8</w:t>
      </w:r>
      <w:r w:rsidRPr="00F55FD7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 </w:t>
      </w:r>
      <w:r w:rsidR="00155C8A">
        <w:rPr>
          <w:rFonts w:ascii="Times New Roman" w:hAnsi="Times New Roman" w:cs="Times New Roman"/>
          <w:sz w:val="28"/>
          <w:szCs w:val="28"/>
        </w:rPr>
        <w:t>2508,2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Бюджет поселения в 1 квартале 2016 года </w:t>
      </w:r>
      <w:r w:rsidR="00155C8A">
        <w:rPr>
          <w:rFonts w:ascii="Times New Roman" w:hAnsi="Times New Roman" w:cs="Times New Roman"/>
          <w:sz w:val="28"/>
          <w:szCs w:val="28"/>
        </w:rPr>
        <w:t xml:space="preserve">не имеет </w:t>
      </w:r>
      <w:r w:rsidRPr="00F55FD7">
        <w:rPr>
          <w:rFonts w:ascii="Times New Roman" w:hAnsi="Times New Roman" w:cs="Times New Roman"/>
          <w:sz w:val="28"/>
          <w:szCs w:val="28"/>
        </w:rPr>
        <w:t>социальную направленность</w:t>
      </w:r>
      <w:r w:rsidR="00155C8A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Pr="00F55FD7">
        <w:rPr>
          <w:rFonts w:ascii="Times New Roman" w:hAnsi="Times New Roman" w:cs="Times New Roman"/>
          <w:sz w:val="28"/>
          <w:szCs w:val="28"/>
        </w:rPr>
        <w:t xml:space="preserve">на указанные цели израсходовано </w:t>
      </w:r>
      <w:r w:rsidR="00155C8A">
        <w:rPr>
          <w:rFonts w:ascii="Times New Roman" w:hAnsi="Times New Roman" w:cs="Times New Roman"/>
          <w:sz w:val="28"/>
          <w:szCs w:val="28"/>
        </w:rPr>
        <w:t>всего лишь 37,8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155C8A">
        <w:rPr>
          <w:rFonts w:ascii="Times New Roman" w:hAnsi="Times New Roman" w:cs="Times New Roman"/>
          <w:sz w:val="28"/>
          <w:szCs w:val="28"/>
        </w:rPr>
        <w:t>7,6</w:t>
      </w:r>
      <w:r w:rsidRPr="00F55FD7">
        <w:rPr>
          <w:rFonts w:ascii="Times New Roman" w:hAnsi="Times New Roman" w:cs="Times New Roman"/>
          <w:sz w:val="28"/>
          <w:szCs w:val="28"/>
        </w:rPr>
        <w:t xml:space="preserve"> % от всех расходов бюджета поселения.</w:t>
      </w: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Не производилось финансирование расходов по разделам  «Национальная безопасность и правоохранительная деятельность», «Образование»</w:t>
      </w:r>
      <w:r w:rsidR="00155C8A">
        <w:rPr>
          <w:rFonts w:ascii="Times New Roman" w:hAnsi="Times New Roman" w:cs="Times New Roman"/>
          <w:sz w:val="28"/>
          <w:szCs w:val="28"/>
        </w:rPr>
        <w:t xml:space="preserve"> и «Социальная политика»</w:t>
      </w:r>
      <w:r w:rsidRPr="00F55FD7">
        <w:rPr>
          <w:rFonts w:ascii="Times New Roman" w:hAnsi="Times New Roman" w:cs="Times New Roman"/>
          <w:sz w:val="28"/>
          <w:szCs w:val="28"/>
        </w:rPr>
        <w:t>.</w:t>
      </w:r>
    </w:p>
    <w:p w:rsidR="00155C8A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По</w:t>
      </w:r>
      <w:r w:rsidR="00155C8A">
        <w:rPr>
          <w:rFonts w:ascii="Times New Roman" w:hAnsi="Times New Roman" w:cs="Times New Roman"/>
          <w:sz w:val="28"/>
          <w:szCs w:val="28"/>
        </w:rPr>
        <w:t xml:space="preserve"> всем </w:t>
      </w:r>
      <w:r w:rsidRPr="00F55FD7">
        <w:rPr>
          <w:rFonts w:ascii="Times New Roman" w:hAnsi="Times New Roman" w:cs="Times New Roman"/>
          <w:sz w:val="28"/>
          <w:szCs w:val="28"/>
        </w:rPr>
        <w:t xml:space="preserve"> разделам классификации расходов уровень исполнения к го</w:t>
      </w:r>
      <w:r w:rsidR="00155C8A">
        <w:rPr>
          <w:rFonts w:ascii="Times New Roman" w:hAnsi="Times New Roman" w:cs="Times New Roman"/>
          <w:sz w:val="28"/>
          <w:szCs w:val="28"/>
        </w:rPr>
        <w:t>довым назначениям составил менее 25,0 процентов.</w:t>
      </w:r>
    </w:p>
    <w:p w:rsidR="00F55FD7" w:rsidRPr="00F55FD7" w:rsidRDefault="00F55FD7" w:rsidP="00F55F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FD7">
        <w:rPr>
          <w:rFonts w:ascii="Times New Roman" w:hAnsi="Times New Roman" w:cs="Times New Roman"/>
          <w:color w:val="000000"/>
          <w:sz w:val="28"/>
          <w:szCs w:val="28"/>
        </w:rPr>
        <w:t>4. При  сравнении задолженности по  налоговым платежам  по состоянию на 01.04.2016 года с аналогичным периодом 2015 года   произошло</w:t>
      </w:r>
      <w:r w:rsidR="00684A7F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увеличение</w:t>
      </w:r>
      <w:r w:rsidRPr="00F55FD7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684A7F">
        <w:rPr>
          <w:rFonts w:ascii="Times New Roman" w:hAnsi="Times New Roman" w:cs="Times New Roman"/>
          <w:color w:val="000000"/>
          <w:sz w:val="28"/>
          <w:szCs w:val="28"/>
        </w:rPr>
        <w:t>79,9</w:t>
      </w:r>
      <w:r w:rsidRPr="00F55FD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 </w:t>
      </w:r>
      <w:r w:rsidR="00684A7F">
        <w:rPr>
          <w:rFonts w:ascii="Times New Roman" w:hAnsi="Times New Roman" w:cs="Times New Roman"/>
          <w:color w:val="000000"/>
          <w:sz w:val="28"/>
          <w:szCs w:val="28"/>
        </w:rPr>
        <w:t>на 53,6%</w:t>
      </w:r>
      <w:r w:rsidRPr="00F55FD7">
        <w:rPr>
          <w:rFonts w:ascii="Times New Roman" w:hAnsi="Times New Roman" w:cs="Times New Roman"/>
          <w:color w:val="000000"/>
          <w:sz w:val="28"/>
          <w:szCs w:val="28"/>
        </w:rPr>
        <w:t>, в том числе в разрезе налоговых источников:</w:t>
      </w:r>
    </w:p>
    <w:p w:rsidR="00684A7F" w:rsidRPr="00F55FD7" w:rsidRDefault="00684A7F" w:rsidP="00684A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-  </w:t>
      </w:r>
      <w:r w:rsidRPr="00F55FD7">
        <w:rPr>
          <w:rFonts w:ascii="Times New Roman" w:hAnsi="Times New Roman" w:cs="Times New Roman"/>
          <w:color w:val="000000"/>
          <w:sz w:val="28"/>
          <w:szCs w:val="28"/>
        </w:rPr>
        <w:t xml:space="preserve">по налогу на имущество физических лиц на </w:t>
      </w:r>
      <w:r>
        <w:rPr>
          <w:rFonts w:ascii="Times New Roman" w:hAnsi="Times New Roman" w:cs="Times New Roman"/>
          <w:color w:val="000000"/>
          <w:sz w:val="28"/>
          <w:szCs w:val="28"/>
        </w:rPr>
        <w:t>77,4</w:t>
      </w:r>
      <w:r w:rsidRPr="00F55FD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 </w:t>
      </w:r>
      <w:r>
        <w:rPr>
          <w:rFonts w:ascii="Times New Roman" w:hAnsi="Times New Roman" w:cs="Times New Roman"/>
          <w:color w:val="000000"/>
          <w:sz w:val="28"/>
          <w:szCs w:val="28"/>
        </w:rPr>
        <w:t>на 73,4 процента</w:t>
      </w:r>
      <w:r w:rsidRPr="00F55F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4A7F" w:rsidRPr="00F55FD7" w:rsidRDefault="00684A7F" w:rsidP="00684A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- по земельному налогу на </w:t>
      </w:r>
      <w:r>
        <w:rPr>
          <w:rFonts w:ascii="Times New Roman" w:hAnsi="Times New Roman" w:cs="Times New Roman"/>
          <w:sz w:val="28"/>
          <w:szCs w:val="28"/>
        </w:rPr>
        <w:t>2,5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29,8</w:t>
      </w:r>
      <w:r w:rsidRPr="00F55FD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5. За 1 квартал 2016 года бюджет поселения исполнен с дефицитом  в сумме  </w:t>
      </w:r>
      <w:r w:rsidR="00EB1F13">
        <w:rPr>
          <w:rFonts w:ascii="Times New Roman" w:hAnsi="Times New Roman" w:cs="Times New Roman"/>
          <w:sz w:val="28"/>
          <w:szCs w:val="28"/>
        </w:rPr>
        <w:t>14,2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684A7F"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 xml:space="preserve">Источником финансирования дефицита бюджета поселения являются остатки средств бюджета на начало 2016 года в сумме </w:t>
      </w:r>
      <w:r w:rsidR="00EB1F13">
        <w:rPr>
          <w:rFonts w:ascii="Times New Roman" w:hAnsi="Times New Roman" w:cs="Times New Roman"/>
          <w:sz w:val="28"/>
          <w:szCs w:val="28"/>
        </w:rPr>
        <w:t>26,7</w:t>
      </w:r>
      <w:r w:rsidRPr="00F55FD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 xml:space="preserve">6. За 1 квартал 2016 года произошло </w:t>
      </w:r>
      <w:r w:rsidR="00684A7F">
        <w:rPr>
          <w:rFonts w:ascii="Times New Roman" w:hAnsi="Times New Roman" w:cs="Times New Roman"/>
          <w:sz w:val="28"/>
          <w:szCs w:val="28"/>
        </w:rPr>
        <w:t xml:space="preserve">незначительное снижение </w:t>
      </w:r>
      <w:r w:rsidRPr="00F55FD7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 по сравнению с началом года на  </w:t>
      </w:r>
      <w:r w:rsidR="00684A7F">
        <w:rPr>
          <w:rFonts w:ascii="Times New Roman" w:hAnsi="Times New Roman" w:cs="Times New Roman"/>
          <w:sz w:val="28"/>
          <w:szCs w:val="28"/>
        </w:rPr>
        <w:t xml:space="preserve">4,4 тыс. рублей, </w:t>
      </w:r>
      <w:r w:rsidRPr="00F55FD7">
        <w:rPr>
          <w:rFonts w:ascii="Times New Roman" w:hAnsi="Times New Roman" w:cs="Times New Roman"/>
          <w:sz w:val="28"/>
          <w:szCs w:val="28"/>
        </w:rPr>
        <w:t xml:space="preserve">или </w:t>
      </w:r>
      <w:r w:rsidR="00684A7F">
        <w:rPr>
          <w:rFonts w:ascii="Times New Roman" w:hAnsi="Times New Roman" w:cs="Times New Roman"/>
          <w:sz w:val="28"/>
          <w:szCs w:val="28"/>
        </w:rPr>
        <w:t>на 5,9%</w:t>
      </w:r>
      <w:r w:rsidRPr="00F55FD7">
        <w:rPr>
          <w:rFonts w:ascii="Times New Roman" w:hAnsi="Times New Roman" w:cs="Times New Roman"/>
          <w:sz w:val="28"/>
          <w:szCs w:val="28"/>
        </w:rPr>
        <w:t xml:space="preserve">, просроченная кредиторская задолженность </w:t>
      </w:r>
      <w:r w:rsidR="00684A7F">
        <w:rPr>
          <w:rFonts w:ascii="Times New Roman" w:hAnsi="Times New Roman" w:cs="Times New Roman"/>
          <w:sz w:val="28"/>
          <w:szCs w:val="28"/>
        </w:rPr>
        <w:t>увеличилась</w:t>
      </w:r>
      <w:r w:rsidRPr="00F55FD7">
        <w:rPr>
          <w:rFonts w:ascii="Times New Roman" w:hAnsi="Times New Roman" w:cs="Times New Roman"/>
          <w:sz w:val="28"/>
          <w:szCs w:val="28"/>
        </w:rPr>
        <w:t xml:space="preserve">   </w:t>
      </w:r>
      <w:r w:rsidR="00684A7F">
        <w:rPr>
          <w:rFonts w:ascii="Times New Roman" w:hAnsi="Times New Roman" w:cs="Times New Roman"/>
          <w:sz w:val="28"/>
          <w:szCs w:val="28"/>
        </w:rPr>
        <w:t xml:space="preserve">на 69,6 тыс. рублей, </w:t>
      </w:r>
      <w:r w:rsidRPr="00F55FD7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684A7F">
        <w:rPr>
          <w:rFonts w:ascii="Times New Roman" w:hAnsi="Times New Roman" w:cs="Times New Roman"/>
          <w:sz w:val="28"/>
          <w:szCs w:val="28"/>
        </w:rPr>
        <w:t>100,0</w:t>
      </w:r>
      <w:r w:rsidRPr="00F55FD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4A7F" w:rsidRPr="00F55FD7" w:rsidRDefault="00684A7F" w:rsidP="00684A7F">
      <w:pPr>
        <w:pStyle w:val="a9"/>
        <w:spacing w:after="0"/>
        <w:ind w:firstLine="709"/>
        <w:contextualSpacing/>
        <w:jc w:val="both"/>
        <w:rPr>
          <w:color w:val="FF0000"/>
          <w:sz w:val="28"/>
          <w:szCs w:val="28"/>
        </w:rPr>
      </w:pP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FD7">
        <w:rPr>
          <w:rFonts w:ascii="Times New Roman" w:hAnsi="Times New Roman" w:cs="Times New Roman"/>
          <w:b/>
          <w:sz w:val="28"/>
          <w:szCs w:val="28"/>
        </w:rPr>
        <w:t>Рекомендации администрации поселения:</w:t>
      </w:r>
    </w:p>
    <w:p w:rsidR="00F55FD7" w:rsidRPr="00F55FD7" w:rsidRDefault="00F55FD7" w:rsidP="00F55FD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FD7" w:rsidRPr="00F55FD7" w:rsidRDefault="000F0420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5FD7" w:rsidRPr="00F55FD7">
        <w:rPr>
          <w:rFonts w:ascii="Times New Roman" w:hAnsi="Times New Roman" w:cs="Times New Roman"/>
          <w:sz w:val="28"/>
          <w:szCs w:val="28"/>
        </w:rPr>
        <w:t>1.В связи со значительным  ростом</w:t>
      </w:r>
      <w:r>
        <w:rPr>
          <w:rFonts w:ascii="Times New Roman" w:hAnsi="Times New Roman" w:cs="Times New Roman"/>
          <w:sz w:val="28"/>
          <w:szCs w:val="28"/>
        </w:rPr>
        <w:t xml:space="preserve"> просроченной</w:t>
      </w:r>
      <w:r w:rsidR="00F55FD7" w:rsidRPr="00F55FD7">
        <w:rPr>
          <w:rFonts w:ascii="Times New Roman" w:hAnsi="Times New Roman" w:cs="Times New Roman"/>
          <w:sz w:val="28"/>
          <w:szCs w:val="28"/>
        </w:rPr>
        <w:t xml:space="preserve"> кредиторской задолженности, принять все  необходимые меры по  ее сокращению.</w:t>
      </w:r>
    </w:p>
    <w:p w:rsidR="00F55FD7" w:rsidRPr="00F55FD7" w:rsidRDefault="000F0420" w:rsidP="00F55FD7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55FD7" w:rsidRPr="00F55FD7">
        <w:rPr>
          <w:rFonts w:ascii="Times New Roman" w:hAnsi="Times New Roman" w:cs="Times New Roman"/>
          <w:sz w:val="28"/>
          <w:szCs w:val="28"/>
        </w:rPr>
        <w:t>2.В целях пополнения доходной части  бюджета поселения  рекомендуем принять</w:t>
      </w:r>
      <w:r w:rsidR="00684A7F">
        <w:rPr>
          <w:rFonts w:ascii="Times New Roman" w:hAnsi="Times New Roman" w:cs="Times New Roman"/>
          <w:sz w:val="28"/>
          <w:szCs w:val="28"/>
        </w:rPr>
        <w:t xml:space="preserve"> </w:t>
      </w:r>
      <w:r w:rsidR="00F55FD7" w:rsidRPr="00F55FD7">
        <w:rPr>
          <w:rFonts w:ascii="Times New Roman" w:hAnsi="Times New Roman" w:cs="Times New Roman"/>
          <w:sz w:val="28"/>
          <w:szCs w:val="28"/>
        </w:rPr>
        <w:t xml:space="preserve">все необходимые меры по сокращению задолженности по налоговым доходам. </w:t>
      </w:r>
    </w:p>
    <w:p w:rsidR="009D3A7B" w:rsidRPr="000F0420" w:rsidRDefault="000F0420" w:rsidP="009D3A7B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D3A7B">
        <w:rPr>
          <w:rFonts w:ascii="Times New Roman" w:hAnsi="Times New Roman" w:cs="Times New Roman"/>
          <w:sz w:val="28"/>
          <w:szCs w:val="28"/>
        </w:rPr>
        <w:t xml:space="preserve">  3</w:t>
      </w:r>
      <w:r w:rsidR="009D3A7B" w:rsidRPr="000F0420">
        <w:rPr>
          <w:rFonts w:ascii="Times New Roman" w:hAnsi="Times New Roman" w:cs="Times New Roman"/>
          <w:sz w:val="28"/>
          <w:szCs w:val="28"/>
        </w:rPr>
        <w:t>.Принять все необходимые меры по повышению исполнения  собственных</w:t>
      </w:r>
      <w:r w:rsidR="009D3A7B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9D3A7B" w:rsidRPr="000F0420">
        <w:rPr>
          <w:rFonts w:ascii="Times New Roman" w:hAnsi="Times New Roman" w:cs="Times New Roman"/>
          <w:sz w:val="28"/>
          <w:szCs w:val="28"/>
        </w:rPr>
        <w:t>.</w:t>
      </w:r>
    </w:p>
    <w:p w:rsidR="000F0420" w:rsidRPr="000F0420" w:rsidRDefault="009D3A7B" w:rsidP="000F04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0F0420">
        <w:rPr>
          <w:rFonts w:ascii="Times New Roman" w:hAnsi="Times New Roman" w:cs="Times New Roman"/>
          <w:sz w:val="28"/>
          <w:szCs w:val="28"/>
        </w:rPr>
        <w:t xml:space="preserve">. Дополнить  постановление от 11 мая 2016 года №21 приложением </w:t>
      </w:r>
      <w:r w:rsidR="000F0420" w:rsidRPr="000F0420">
        <w:rPr>
          <w:rFonts w:ascii="Times New Roman" w:hAnsi="Times New Roman" w:cs="Times New Roman"/>
          <w:sz w:val="28"/>
          <w:szCs w:val="28"/>
        </w:rPr>
        <w:t>3 по показателям дефицита (профицита) бюджета поселения.</w:t>
      </w:r>
    </w:p>
    <w:p w:rsidR="00F55FD7" w:rsidRPr="00F55FD7" w:rsidRDefault="00F55FD7" w:rsidP="00F55FD7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5FD7" w:rsidRPr="00F55FD7" w:rsidRDefault="00F55FD7" w:rsidP="00F55FD7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5FD7" w:rsidRP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Инспектор ревизионной комиссии</w:t>
      </w:r>
    </w:p>
    <w:p w:rsidR="00F55FD7" w:rsidRPr="00F55FD7" w:rsidRDefault="00F55FD7" w:rsidP="00F55F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FD7">
        <w:rPr>
          <w:rFonts w:ascii="Times New Roman" w:hAnsi="Times New Roman" w:cs="Times New Roman"/>
          <w:sz w:val="28"/>
          <w:szCs w:val="28"/>
        </w:rPr>
        <w:t>Представительного собрания района</w:t>
      </w:r>
      <w:r w:rsidRPr="00F55FD7">
        <w:rPr>
          <w:rFonts w:ascii="Times New Roman" w:hAnsi="Times New Roman" w:cs="Times New Roman"/>
          <w:sz w:val="28"/>
          <w:szCs w:val="28"/>
        </w:rPr>
        <w:tab/>
      </w:r>
      <w:r w:rsidRPr="00F55FD7">
        <w:rPr>
          <w:rFonts w:ascii="Times New Roman" w:hAnsi="Times New Roman" w:cs="Times New Roman"/>
          <w:sz w:val="28"/>
          <w:szCs w:val="28"/>
        </w:rPr>
        <w:tab/>
      </w:r>
      <w:r w:rsidRPr="00F55FD7">
        <w:rPr>
          <w:rFonts w:ascii="Times New Roman" w:hAnsi="Times New Roman" w:cs="Times New Roman"/>
          <w:sz w:val="28"/>
          <w:szCs w:val="28"/>
        </w:rPr>
        <w:tab/>
      </w:r>
      <w:r w:rsidRPr="00F55FD7">
        <w:rPr>
          <w:rFonts w:ascii="Times New Roman" w:hAnsi="Times New Roman" w:cs="Times New Roman"/>
          <w:sz w:val="28"/>
          <w:szCs w:val="28"/>
        </w:rPr>
        <w:tab/>
      </w:r>
      <w:r w:rsidR="000F042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55FD7">
        <w:rPr>
          <w:rFonts w:ascii="Times New Roman" w:hAnsi="Times New Roman" w:cs="Times New Roman"/>
          <w:sz w:val="28"/>
          <w:szCs w:val="28"/>
        </w:rPr>
        <w:t>М.И.Шестакова</w:t>
      </w:r>
    </w:p>
    <w:p w:rsidR="00F55FD7" w:rsidRPr="006A7260" w:rsidRDefault="000F0420" w:rsidP="00F55FD7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F55FD7" w:rsidRDefault="00F55FD7" w:rsidP="00F55FD7"/>
    <w:p w:rsidR="006F07F8" w:rsidRDefault="006F07F8"/>
    <w:sectPr w:rsidR="006F07F8" w:rsidSect="00C11B8A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D69" w:rsidRDefault="002E4D69" w:rsidP="00EE152F">
      <w:pPr>
        <w:spacing w:after="0" w:line="240" w:lineRule="auto"/>
      </w:pPr>
      <w:r>
        <w:separator/>
      </w:r>
    </w:p>
  </w:endnote>
  <w:endnote w:type="continuationSeparator" w:id="0">
    <w:p w:rsidR="002E4D69" w:rsidRDefault="002E4D69" w:rsidP="00EE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D69" w:rsidRDefault="002E4D69" w:rsidP="00EE152F">
      <w:pPr>
        <w:spacing w:after="0" w:line="240" w:lineRule="auto"/>
      </w:pPr>
      <w:r>
        <w:separator/>
      </w:r>
    </w:p>
  </w:footnote>
  <w:footnote w:type="continuationSeparator" w:id="0">
    <w:p w:rsidR="002E4D69" w:rsidRDefault="002E4D69" w:rsidP="00EE1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81B" w:rsidRDefault="00F82DBA" w:rsidP="00C11B8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F07F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181B" w:rsidRDefault="002014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81B" w:rsidRDefault="00F82DBA" w:rsidP="00C11B8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F07F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14AB">
      <w:rPr>
        <w:rStyle w:val="a8"/>
        <w:noProof/>
      </w:rPr>
      <w:t>15</w:t>
    </w:r>
    <w:r>
      <w:rPr>
        <w:rStyle w:val="a8"/>
      </w:rPr>
      <w:fldChar w:fldCharType="end"/>
    </w:r>
  </w:p>
  <w:p w:rsidR="0040181B" w:rsidRDefault="002014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D7"/>
    <w:rsid w:val="00077F52"/>
    <w:rsid w:val="000F0420"/>
    <w:rsid w:val="0011620F"/>
    <w:rsid w:val="00121FFE"/>
    <w:rsid w:val="00126245"/>
    <w:rsid w:val="00131B9C"/>
    <w:rsid w:val="001455F2"/>
    <w:rsid w:val="001508E4"/>
    <w:rsid w:val="00155C8A"/>
    <w:rsid w:val="001C3778"/>
    <w:rsid w:val="002014AB"/>
    <w:rsid w:val="00291191"/>
    <w:rsid w:val="002E4552"/>
    <w:rsid w:val="002E4D69"/>
    <w:rsid w:val="00307BCB"/>
    <w:rsid w:val="003A70B2"/>
    <w:rsid w:val="003B5CC2"/>
    <w:rsid w:val="004218AE"/>
    <w:rsid w:val="00424E53"/>
    <w:rsid w:val="0043038D"/>
    <w:rsid w:val="00454980"/>
    <w:rsid w:val="00466EB5"/>
    <w:rsid w:val="004B47E6"/>
    <w:rsid w:val="004C256C"/>
    <w:rsid w:val="004E591C"/>
    <w:rsid w:val="00501265"/>
    <w:rsid w:val="00513649"/>
    <w:rsid w:val="005F760E"/>
    <w:rsid w:val="006723C7"/>
    <w:rsid w:val="00684A7F"/>
    <w:rsid w:val="006A01D6"/>
    <w:rsid w:val="006E74C2"/>
    <w:rsid w:val="006F07F8"/>
    <w:rsid w:val="00703445"/>
    <w:rsid w:val="00711882"/>
    <w:rsid w:val="00790D2B"/>
    <w:rsid w:val="007B16D7"/>
    <w:rsid w:val="007E05BE"/>
    <w:rsid w:val="007E7392"/>
    <w:rsid w:val="00820552"/>
    <w:rsid w:val="008638E3"/>
    <w:rsid w:val="008A5B82"/>
    <w:rsid w:val="008A6581"/>
    <w:rsid w:val="008C0E64"/>
    <w:rsid w:val="008E4546"/>
    <w:rsid w:val="009441CD"/>
    <w:rsid w:val="00966C3A"/>
    <w:rsid w:val="00976091"/>
    <w:rsid w:val="009822EE"/>
    <w:rsid w:val="00990382"/>
    <w:rsid w:val="009945BA"/>
    <w:rsid w:val="009D3A7B"/>
    <w:rsid w:val="009E3D23"/>
    <w:rsid w:val="009E5D8C"/>
    <w:rsid w:val="00A12687"/>
    <w:rsid w:val="00A30790"/>
    <w:rsid w:val="00A52EFA"/>
    <w:rsid w:val="00AA7A11"/>
    <w:rsid w:val="00AD3214"/>
    <w:rsid w:val="00AF0338"/>
    <w:rsid w:val="00B15B8E"/>
    <w:rsid w:val="00B54E94"/>
    <w:rsid w:val="00B70CE5"/>
    <w:rsid w:val="00B76E50"/>
    <w:rsid w:val="00BA6070"/>
    <w:rsid w:val="00BF65D9"/>
    <w:rsid w:val="00C028E1"/>
    <w:rsid w:val="00C04676"/>
    <w:rsid w:val="00C40D9F"/>
    <w:rsid w:val="00C53F60"/>
    <w:rsid w:val="00CE7E27"/>
    <w:rsid w:val="00D447D6"/>
    <w:rsid w:val="00D52B77"/>
    <w:rsid w:val="00DA5BB1"/>
    <w:rsid w:val="00DD015D"/>
    <w:rsid w:val="00DE175C"/>
    <w:rsid w:val="00DE5545"/>
    <w:rsid w:val="00DF2B3B"/>
    <w:rsid w:val="00E46C9A"/>
    <w:rsid w:val="00E741AE"/>
    <w:rsid w:val="00EB1A94"/>
    <w:rsid w:val="00EB1F13"/>
    <w:rsid w:val="00EC53FA"/>
    <w:rsid w:val="00ED2328"/>
    <w:rsid w:val="00EE152F"/>
    <w:rsid w:val="00EE322D"/>
    <w:rsid w:val="00F12297"/>
    <w:rsid w:val="00F55FD7"/>
    <w:rsid w:val="00F82DBA"/>
    <w:rsid w:val="00FB67EA"/>
    <w:rsid w:val="00FD03FB"/>
    <w:rsid w:val="00F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55F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F55FD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F55F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55FD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F55F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55F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page number"/>
    <w:basedOn w:val="a0"/>
    <w:rsid w:val="00F55FD7"/>
  </w:style>
  <w:style w:type="paragraph" w:customStyle="1" w:styleId="ConsPlusTitle">
    <w:name w:val="ConsPlusTitle"/>
    <w:rsid w:val="00F55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rsid w:val="00F55F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55FD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55F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link w:val="Normal"/>
    <w:rsid w:val="00F55FD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Normal">
    <w:name w:val="Normal Знак"/>
    <w:link w:val="1"/>
    <w:rsid w:val="00F55FD7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55FD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5FD7"/>
    <w:rPr>
      <w:rFonts w:ascii="Tahoma" w:eastAsia="Times New Roman" w:hAnsi="Tahoma" w:cs="Tahoma"/>
      <w:sz w:val="16"/>
      <w:szCs w:val="16"/>
    </w:rPr>
  </w:style>
  <w:style w:type="paragraph" w:customStyle="1" w:styleId="rvps698610">
    <w:name w:val="rvps698610"/>
    <w:basedOn w:val="a"/>
    <w:rsid w:val="00F55FD7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F55FD7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F55F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55F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F55FD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F55F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55FD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F55F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55F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page number"/>
    <w:basedOn w:val="a0"/>
    <w:rsid w:val="00F55FD7"/>
  </w:style>
  <w:style w:type="paragraph" w:customStyle="1" w:styleId="ConsPlusTitle">
    <w:name w:val="ConsPlusTitle"/>
    <w:rsid w:val="00F55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rsid w:val="00F55F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55FD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55F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link w:val="Normal"/>
    <w:rsid w:val="00F55FD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Normal">
    <w:name w:val="Normal Знак"/>
    <w:link w:val="1"/>
    <w:rsid w:val="00F55FD7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55FD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5FD7"/>
    <w:rPr>
      <w:rFonts w:ascii="Tahoma" w:eastAsia="Times New Roman" w:hAnsi="Tahoma" w:cs="Tahoma"/>
      <w:sz w:val="16"/>
      <w:szCs w:val="16"/>
    </w:rPr>
  </w:style>
  <w:style w:type="paragraph" w:customStyle="1" w:styleId="rvps698610">
    <w:name w:val="rvps698610"/>
    <w:basedOn w:val="a"/>
    <w:rsid w:val="00F55FD7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F55FD7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F55F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160917607719074E-2"/>
          <c:y val="5.1222697508832266E-2"/>
          <c:w val="0.91978572963077165"/>
          <c:h val="0.4649825173237441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1 квартал 2015 года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2.1352313167259857E-2"/>
                  <c:y val="-4.61361014994228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Лист1!$A$5:$A$11</c:f>
              <c:strCache>
                <c:ptCount val="6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налог на имущество физ.лиц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  <c:pt idx="5">
                  <c:v>доходы от сдачи в аренду муниципального имущества</c:v>
                </c:pt>
              </c:strCache>
            </c:strRef>
          </c:cat>
          <c:val>
            <c:numRef>
              <c:f>Лист1!$B$5:$B$11</c:f>
              <c:numCache>
                <c:formatCode>General</c:formatCode>
                <c:ptCount val="7"/>
                <c:pt idx="0">
                  <c:v>11.8</c:v>
                </c:pt>
                <c:pt idx="1">
                  <c:v>42.7</c:v>
                </c:pt>
                <c:pt idx="2">
                  <c:v>2.7</c:v>
                </c:pt>
                <c:pt idx="3">
                  <c:v>1.5</c:v>
                </c:pt>
                <c:pt idx="4">
                  <c:v>2</c:v>
                </c:pt>
                <c:pt idx="5">
                  <c:v>23.5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1 квартал 2016года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4234875444839895E-2"/>
                  <c:y val="-2.3068050749711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Лист1!$A$5:$A$11</c:f>
              <c:strCache>
                <c:ptCount val="6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налог на имущество физ.лиц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  <c:pt idx="5">
                  <c:v>доходы от сдачи в аренду муниципального имущества</c:v>
                </c:pt>
              </c:strCache>
            </c:strRef>
          </c:cat>
          <c:val>
            <c:numRef>
              <c:f>Лист1!$C$5:$C$11</c:f>
              <c:numCache>
                <c:formatCode>General</c:formatCode>
                <c:ptCount val="7"/>
                <c:pt idx="0">
                  <c:v>-4.3</c:v>
                </c:pt>
                <c:pt idx="1">
                  <c:v>0</c:v>
                </c:pt>
                <c:pt idx="2">
                  <c:v>3.9</c:v>
                </c:pt>
                <c:pt idx="3">
                  <c:v>8</c:v>
                </c:pt>
                <c:pt idx="4">
                  <c:v>1.8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80961920"/>
        <c:axId val="80963456"/>
        <c:axId val="0"/>
      </c:bar3DChart>
      <c:catAx>
        <c:axId val="80961920"/>
        <c:scaling>
          <c:orientation val="minMax"/>
        </c:scaling>
        <c:delete val="0"/>
        <c:axPos val="b"/>
        <c:majorTickMark val="out"/>
        <c:minorTickMark val="none"/>
        <c:tickLblPos val="nextTo"/>
        <c:crossAx val="80963456"/>
        <c:crosses val="autoZero"/>
        <c:auto val="1"/>
        <c:lblAlgn val="ctr"/>
        <c:lblOffset val="100"/>
        <c:noMultiLvlLbl val="0"/>
      </c:catAx>
      <c:valAx>
        <c:axId val="80963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961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506645744015165"/>
          <c:y val="0.81795638866940945"/>
          <c:w val="0.2406986671150092"/>
          <c:h val="0.1806958559245836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Лист1!$B$34</c:f>
              <c:strCache>
                <c:ptCount val="1"/>
                <c:pt idx="0">
                  <c:v>1 квартал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Лист1!$A$35:$A$37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</c:strCache>
            </c:strRef>
          </c:cat>
          <c:val>
            <c:numRef>
              <c:f>Лист1!$B$35:$B$37</c:f>
              <c:numCache>
                <c:formatCode>General</c:formatCode>
                <c:ptCount val="3"/>
                <c:pt idx="0">
                  <c:v>429.5</c:v>
                </c:pt>
                <c:pt idx="1">
                  <c:v>22</c:v>
                </c:pt>
                <c:pt idx="2">
                  <c:v>21.9</c:v>
                </c:pt>
              </c:numCache>
            </c:numRef>
          </c:val>
        </c:ser>
        <c:ser>
          <c:idx val="1"/>
          <c:order val="1"/>
          <c:tx>
            <c:strRef>
              <c:f>Лист1!$C$34</c:f>
              <c:strCache>
                <c:ptCount val="1"/>
                <c:pt idx="0">
                  <c:v>1 квартал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Лист1!$A$35:$A$37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</c:strCache>
            </c:strRef>
          </c:cat>
          <c:val>
            <c:numRef>
              <c:f>Лист1!$C$35:$C$37</c:f>
              <c:numCache>
                <c:formatCode>General</c:formatCode>
                <c:ptCount val="3"/>
                <c:pt idx="0">
                  <c:v>406.6</c:v>
                </c:pt>
                <c:pt idx="1">
                  <c:v>17.100000000000001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1001856"/>
        <c:axId val="35193984"/>
        <c:axId val="0"/>
      </c:bar3DChart>
      <c:catAx>
        <c:axId val="81001856"/>
        <c:scaling>
          <c:orientation val="minMax"/>
        </c:scaling>
        <c:delete val="0"/>
        <c:axPos val="l"/>
        <c:majorTickMark val="out"/>
        <c:minorTickMark val="none"/>
        <c:tickLblPos val="nextTo"/>
        <c:crossAx val="35193984"/>
        <c:crosses val="autoZero"/>
        <c:auto val="1"/>
        <c:lblAlgn val="ctr"/>
        <c:lblOffset val="100"/>
        <c:noMultiLvlLbl val="0"/>
      </c:catAx>
      <c:valAx>
        <c:axId val="351939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1001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3118010305931317"/>
          <c:y val="3.3719347857675004E-2"/>
          <c:w val="0.40742277784385666"/>
          <c:h val="0.8667139590376294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Лист1!$B$189</c:f>
              <c:strCache>
                <c:ptCount val="1"/>
                <c:pt idx="0">
                  <c:v>1 квартал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Лист1!$A$190:$A$198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Лист1!$B$190:$B$198</c:f>
              <c:numCache>
                <c:formatCode>General</c:formatCode>
                <c:ptCount val="9"/>
                <c:pt idx="0">
                  <c:v>359.4</c:v>
                </c:pt>
                <c:pt idx="1">
                  <c:v>17.100000000000001</c:v>
                </c:pt>
                <c:pt idx="2">
                  <c:v>4.4000000000000004</c:v>
                </c:pt>
                <c:pt idx="3">
                  <c:v>36.5</c:v>
                </c:pt>
                <c:pt idx="4">
                  <c:v>4.9000000000000004</c:v>
                </c:pt>
                <c:pt idx="5">
                  <c:v>0</c:v>
                </c:pt>
                <c:pt idx="6">
                  <c:v>95</c:v>
                </c:pt>
                <c:pt idx="7">
                  <c:v>5.8</c:v>
                </c:pt>
                <c:pt idx="8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Лист1!$C$189</c:f>
              <c:strCache>
                <c:ptCount val="1"/>
                <c:pt idx="0">
                  <c:v>1 квартал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Лист1!$A$190:$A$198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Лист1!$C$190:$C$198</c:f>
              <c:numCache>
                <c:formatCode>General</c:formatCode>
                <c:ptCount val="9"/>
                <c:pt idx="0">
                  <c:v>356.3</c:v>
                </c:pt>
                <c:pt idx="1">
                  <c:v>22.7</c:v>
                </c:pt>
                <c:pt idx="2">
                  <c:v>0</c:v>
                </c:pt>
                <c:pt idx="3">
                  <c:v>18.7</c:v>
                </c:pt>
                <c:pt idx="4">
                  <c:v>13</c:v>
                </c:pt>
                <c:pt idx="5">
                  <c:v>0</c:v>
                </c:pt>
                <c:pt idx="6">
                  <c:v>80</c:v>
                </c:pt>
                <c:pt idx="7">
                  <c:v>0</c:v>
                </c:pt>
                <c:pt idx="8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225984"/>
        <c:axId val="35227520"/>
      </c:barChart>
      <c:catAx>
        <c:axId val="3522598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35227520"/>
        <c:crosses val="autoZero"/>
        <c:auto val="1"/>
        <c:lblAlgn val="ctr"/>
        <c:lblOffset val="100"/>
        <c:noMultiLvlLbl val="0"/>
      </c:catAx>
      <c:valAx>
        <c:axId val="352275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5225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093444514808085"/>
          <c:y val="0.83200765045418756"/>
          <c:w val="0.21681801962820221"/>
          <c:h val="0.16670681449434741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3800306211723553E-2"/>
          <c:y val="0"/>
          <c:w val="0.95619964304462102"/>
          <c:h val="1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71,6</a:t>
                    </a:r>
                    <a:r>
                      <a:rPr lang="ru-RU"/>
                      <a:t>% Общегосударственные вопросы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464566929133861E-3"/>
                  <c:y val="6.63117247330386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4,6</a:t>
                    </a:r>
                    <a:r>
                      <a:rPr lang="ru-RU"/>
                      <a:t>% Национальная оборона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200000000000266E-4"/>
                  <c:y val="-2.97107108186819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3,7</a:t>
                    </a:r>
                    <a:r>
                      <a:rPr lang="ru-RU"/>
                      <a:t>% Национальная экономика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1908745406824163E-2"/>
                  <c:y val="-6.13183762988530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2,6</a:t>
                    </a:r>
                    <a:r>
                      <a:rPr lang="ru-RU"/>
                      <a:t>% ЖКХ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16,1</a:t>
                    </a:r>
                    <a:r>
                      <a:rPr lang="ru-RU"/>
                      <a:t>% Культура и кинематография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1,4</a:t>
                    </a:r>
                    <a:r>
                      <a:rPr lang="ru-RU"/>
                      <a:t>%  Физическая культура и спорт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Лист1!$A$63:$A$68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Культура и кинематография</c:v>
                </c:pt>
                <c:pt idx="5">
                  <c:v>Физическая культура и спорт</c:v>
                </c:pt>
              </c:strCache>
            </c:strRef>
          </c:cat>
          <c:val>
            <c:numRef>
              <c:f>Лист1!$B$63:$B$68</c:f>
              <c:numCache>
                <c:formatCode>General</c:formatCode>
                <c:ptCount val="6"/>
                <c:pt idx="0">
                  <c:v>71.599999999999994</c:v>
                </c:pt>
                <c:pt idx="1">
                  <c:v>4.5999999999999996</c:v>
                </c:pt>
                <c:pt idx="2">
                  <c:v>3.7</c:v>
                </c:pt>
                <c:pt idx="3">
                  <c:v>2.6</c:v>
                </c:pt>
                <c:pt idx="4">
                  <c:v>16.100000000000001</c:v>
                </c:pt>
                <c:pt idx="5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9D0FD-14DE-4961-A18F-9FE23CFB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4128</Words>
  <Characters>23535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2016-05-18T11:51:00Z</cp:lastPrinted>
  <dcterms:created xsi:type="dcterms:W3CDTF">2016-06-20T06:05:00Z</dcterms:created>
  <dcterms:modified xsi:type="dcterms:W3CDTF">2016-06-20T06:05:00Z</dcterms:modified>
</cp:coreProperties>
</file>