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A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" cy="64833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УТВЕРЖДАЮ</w:t>
      </w:r>
    </w:p>
    <w:p w:rsidR="00E5253E" w:rsidRDefault="00E5253E" w:rsidP="00E5253E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E5253E" w:rsidRPr="00692AE0" w:rsidRDefault="00E5253E" w:rsidP="00E52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92AE0">
        <w:rPr>
          <w:rFonts w:ascii="Times New Roman" w:hAnsi="Times New Roman" w:cs="Times New Roman"/>
          <w:sz w:val="28"/>
          <w:szCs w:val="28"/>
        </w:rPr>
        <w:t>____________________О.А. Дудина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2AE0"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</w:t>
      </w:r>
    </w:p>
    <w:p w:rsidR="00E5253E" w:rsidRPr="00692AE0" w:rsidRDefault="00E5253E" w:rsidP="00E52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 в решение от 19.12.2014 г. № 280»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"</w:t>
      </w:r>
      <w:r w:rsidR="00C1218A">
        <w:rPr>
          <w:rFonts w:ascii="Times New Roman" w:hAnsi="Times New Roman" w:cs="Times New Roman"/>
          <w:sz w:val="28"/>
          <w:szCs w:val="28"/>
        </w:rPr>
        <w:t>25</w:t>
      </w:r>
      <w:r w:rsidRPr="00692AE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92AE0">
        <w:rPr>
          <w:rFonts w:ascii="Times New Roman" w:hAnsi="Times New Roman" w:cs="Times New Roman"/>
          <w:sz w:val="28"/>
          <w:szCs w:val="28"/>
        </w:rPr>
        <w:t xml:space="preserve"> 2015 года  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ab/>
      </w:r>
      <w:r w:rsidRPr="00692AE0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проекта решения Совета поселения Ботановское «О внесении изменений  в решение от 19.12.2014 г. № 280».</w:t>
      </w:r>
    </w:p>
    <w:p w:rsidR="00E5253E" w:rsidRPr="00692AE0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Ботановское  от 19.12.2014 года № 280 «О бюджете поселения на 2015 год и плановый период 2016 и 2017 годов», решения  Совета поселения Ботанов</w:t>
      </w:r>
      <w:r>
        <w:rPr>
          <w:rFonts w:ascii="Times New Roman" w:hAnsi="Times New Roman" w:cs="Times New Roman"/>
          <w:sz w:val="28"/>
          <w:szCs w:val="28"/>
        </w:rPr>
        <w:t>ское  от 23.03.2015 года № 284,</w:t>
      </w:r>
      <w:r w:rsidRPr="00692AE0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01.06.2015 года № 290 и от 01.07.2015 года №291,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0359">
        <w:rPr>
          <w:rFonts w:ascii="Times New Roman" w:hAnsi="Times New Roman" w:cs="Times New Roman"/>
          <w:sz w:val="28"/>
          <w:szCs w:val="28"/>
        </w:rPr>
        <w:t xml:space="preserve">от 20.10.2015 года №292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C4B" w:rsidRPr="00CA7C4B">
        <w:rPr>
          <w:rFonts w:ascii="Times New Roman" w:hAnsi="Times New Roman" w:cs="Times New Roman"/>
          <w:sz w:val="28"/>
          <w:szCs w:val="28"/>
        </w:rPr>
        <w:t>от 26.</w:t>
      </w:r>
      <w:r w:rsidRPr="00CA7C4B">
        <w:rPr>
          <w:rFonts w:ascii="Times New Roman" w:hAnsi="Times New Roman" w:cs="Times New Roman"/>
          <w:sz w:val="28"/>
          <w:szCs w:val="28"/>
        </w:rPr>
        <w:t>11.2015</w:t>
      </w:r>
      <w:r w:rsidR="00CA7C4B" w:rsidRPr="00CA7C4B">
        <w:rPr>
          <w:rFonts w:ascii="Times New Roman" w:hAnsi="Times New Roman" w:cs="Times New Roman"/>
          <w:sz w:val="28"/>
          <w:szCs w:val="28"/>
        </w:rPr>
        <w:t xml:space="preserve"> года №297 </w:t>
      </w:r>
      <w:r w:rsidRPr="00CA7C4B">
        <w:rPr>
          <w:rFonts w:ascii="Times New Roman" w:hAnsi="Times New Roman" w:cs="Times New Roman"/>
          <w:sz w:val="28"/>
          <w:szCs w:val="28"/>
        </w:rPr>
        <w:t>«О</w:t>
      </w:r>
      <w:r w:rsidRPr="00692AE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19.12.2014 года № 280»,</w:t>
      </w:r>
      <w:r w:rsidR="00C1218A">
        <w:rPr>
          <w:rFonts w:ascii="Times New Roman" w:hAnsi="Times New Roman" w:cs="Times New Roman"/>
          <w:sz w:val="28"/>
          <w:szCs w:val="28"/>
        </w:rPr>
        <w:t xml:space="preserve"> от 10.12.2015 года № 299 </w:t>
      </w:r>
      <w:r w:rsidR="00C1218A" w:rsidRPr="00CA7C4B">
        <w:rPr>
          <w:rFonts w:ascii="Times New Roman" w:hAnsi="Times New Roman" w:cs="Times New Roman"/>
          <w:sz w:val="28"/>
          <w:szCs w:val="28"/>
        </w:rPr>
        <w:t xml:space="preserve"> «О</w:t>
      </w:r>
      <w:r w:rsidR="00C1218A" w:rsidRPr="00692AE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19.12.2014 года № 280»</w:t>
      </w:r>
      <w:r w:rsidR="00C1218A">
        <w:rPr>
          <w:rFonts w:ascii="Times New Roman" w:hAnsi="Times New Roman" w:cs="Times New Roman"/>
          <w:sz w:val="28"/>
          <w:szCs w:val="28"/>
        </w:rPr>
        <w:t>,</w:t>
      </w:r>
      <w:r w:rsidRPr="00692AE0">
        <w:rPr>
          <w:rFonts w:ascii="Times New Roman" w:hAnsi="Times New Roman" w:cs="Times New Roman"/>
          <w:sz w:val="28"/>
          <w:szCs w:val="28"/>
        </w:rPr>
        <w:t xml:space="preserve">  пояснительная записка к проекту решению Совета поселения  «О внесении изменений в решение от 19.12.2014 года № 280 «О бюджете поселения на 2015 год  и плановый период 2016 и 2017 годов».</w:t>
      </w:r>
    </w:p>
    <w:p w:rsidR="00E5253E" w:rsidRPr="000E0CFE" w:rsidRDefault="00E5253E" w:rsidP="00E52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FE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C1218A" w:rsidRDefault="00E5253E" w:rsidP="00E52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FE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и дополнений в решение о бюджете поселения Ботановское </w:t>
      </w:r>
      <w:r w:rsidRPr="000E0CFE">
        <w:rPr>
          <w:rFonts w:ascii="Times New Roman" w:hAnsi="Times New Roman" w:cs="Times New Roman"/>
          <w:b/>
          <w:sz w:val="28"/>
          <w:szCs w:val="28"/>
        </w:rPr>
        <w:t xml:space="preserve">на 2015 год </w:t>
      </w:r>
      <w:r w:rsidRPr="000E0CFE">
        <w:rPr>
          <w:rFonts w:ascii="Times New Roman" w:hAnsi="Times New Roman" w:cs="Times New Roman"/>
          <w:sz w:val="28"/>
          <w:szCs w:val="28"/>
        </w:rPr>
        <w:t>и плановый период 2016 и 2017 годов в  рамках рассматриваемого проекта решения связано с изменением  доходной части бюджета по</w:t>
      </w:r>
      <w:r w:rsidR="00C1218A"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и </w:t>
      </w:r>
      <w:r w:rsidRPr="000E0CFE">
        <w:rPr>
          <w:rFonts w:ascii="Times New Roman" w:hAnsi="Times New Roman" w:cs="Times New Roman"/>
          <w:sz w:val="28"/>
          <w:szCs w:val="28"/>
        </w:rPr>
        <w:t xml:space="preserve"> безвозмездным поступления, а также   с корректировкой лимитов бюджетных об</w:t>
      </w:r>
      <w:r w:rsidR="00C1218A">
        <w:rPr>
          <w:rFonts w:ascii="Times New Roman" w:hAnsi="Times New Roman" w:cs="Times New Roman"/>
          <w:sz w:val="28"/>
          <w:szCs w:val="28"/>
        </w:rPr>
        <w:t>язательств по раздел</w:t>
      </w:r>
      <w:r w:rsidR="00230E09">
        <w:rPr>
          <w:rFonts w:ascii="Times New Roman" w:hAnsi="Times New Roman" w:cs="Times New Roman"/>
          <w:sz w:val="28"/>
          <w:szCs w:val="28"/>
        </w:rPr>
        <w:t xml:space="preserve">ам </w:t>
      </w:r>
      <w:r w:rsidR="00C1218A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вопросы», «Национальная оборона», </w:t>
      </w:r>
    </w:p>
    <w:p w:rsidR="000113FC" w:rsidRDefault="00C1218A" w:rsidP="00C12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«Национальная безопасность  и правоохранительная деятельность», «Национальная экономика», </w:t>
      </w:r>
      <w:r w:rsidR="00E5253E" w:rsidRPr="000E0CFE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и «Социальная политика</w:t>
      </w:r>
      <w:r w:rsidR="00E5253E" w:rsidRPr="000E0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53E" w:rsidRPr="00D631FE" w:rsidRDefault="000E0CFE" w:rsidP="00011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3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3FC">
        <w:rPr>
          <w:rFonts w:ascii="Times New Roman" w:hAnsi="Times New Roman" w:cs="Times New Roman"/>
          <w:sz w:val="28"/>
          <w:szCs w:val="28"/>
        </w:rPr>
        <w:t xml:space="preserve">  </w:t>
      </w:r>
      <w:r w:rsidR="00E5253E" w:rsidRPr="000E0CFE">
        <w:rPr>
          <w:rFonts w:ascii="Times New Roman" w:hAnsi="Times New Roman" w:cs="Times New Roman"/>
          <w:sz w:val="28"/>
          <w:szCs w:val="28"/>
        </w:rPr>
        <w:t>Изменения и дополнения вносятся</w:t>
      </w:r>
      <w:r w:rsidR="000113FC">
        <w:rPr>
          <w:rFonts w:ascii="Times New Roman" w:hAnsi="Times New Roman" w:cs="Times New Roman"/>
          <w:sz w:val="28"/>
          <w:szCs w:val="28"/>
        </w:rPr>
        <w:t xml:space="preserve"> в</w:t>
      </w:r>
      <w:r w:rsidR="00E5253E" w:rsidRPr="000E0CFE">
        <w:rPr>
          <w:rFonts w:ascii="Times New Roman" w:hAnsi="Times New Roman" w:cs="Times New Roman"/>
          <w:sz w:val="28"/>
          <w:szCs w:val="28"/>
        </w:rPr>
        <w:t xml:space="preserve"> </w:t>
      </w:r>
      <w:r w:rsidR="00230E09">
        <w:rPr>
          <w:rFonts w:ascii="Times New Roman" w:hAnsi="Times New Roman" w:cs="Times New Roman"/>
          <w:sz w:val="28"/>
          <w:szCs w:val="28"/>
        </w:rPr>
        <w:t>седьмой</w:t>
      </w:r>
      <w:r w:rsidR="00E5253E" w:rsidRPr="00D631FE">
        <w:rPr>
          <w:rFonts w:ascii="Times New Roman" w:hAnsi="Times New Roman" w:cs="Times New Roman"/>
          <w:sz w:val="28"/>
          <w:szCs w:val="28"/>
        </w:rPr>
        <w:t xml:space="preserve">   раз, поправки в бюджет поселения  от  01.06.2015 года в ревизионную комиссию  не предоставлялись.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С учетом предлагаемых поправок объем доходов бюджета поселения на 2015 год </w:t>
      </w:r>
      <w:r w:rsidR="00230E09">
        <w:rPr>
          <w:sz w:val="28"/>
          <w:szCs w:val="28"/>
        </w:rPr>
        <w:t>уменьшится</w:t>
      </w:r>
      <w:r w:rsidRPr="00692AE0">
        <w:rPr>
          <w:sz w:val="28"/>
          <w:szCs w:val="28"/>
        </w:rPr>
        <w:t xml:space="preserve"> на </w:t>
      </w:r>
      <w:r w:rsidR="00230E09">
        <w:rPr>
          <w:sz w:val="28"/>
          <w:szCs w:val="28"/>
        </w:rPr>
        <w:t>207,1</w:t>
      </w:r>
      <w:r w:rsidRPr="00692AE0">
        <w:rPr>
          <w:sz w:val="28"/>
          <w:szCs w:val="28"/>
        </w:rPr>
        <w:t xml:space="preserve"> тыс. рублей и составит </w:t>
      </w:r>
      <w:r w:rsidR="00230E09">
        <w:rPr>
          <w:sz w:val="28"/>
          <w:szCs w:val="28"/>
        </w:rPr>
        <w:t>4424,6</w:t>
      </w:r>
      <w:r w:rsidRPr="00692AE0">
        <w:rPr>
          <w:sz w:val="28"/>
          <w:szCs w:val="28"/>
        </w:rPr>
        <w:t xml:space="preserve"> тыс. рублей, объем расходов у</w:t>
      </w:r>
      <w:r w:rsidR="00230E09">
        <w:rPr>
          <w:sz w:val="28"/>
          <w:szCs w:val="28"/>
        </w:rPr>
        <w:t>меньшится</w:t>
      </w:r>
      <w:r>
        <w:rPr>
          <w:sz w:val="28"/>
          <w:szCs w:val="28"/>
        </w:rPr>
        <w:t xml:space="preserve"> также </w:t>
      </w:r>
      <w:r w:rsidRPr="00692AE0">
        <w:rPr>
          <w:sz w:val="28"/>
          <w:szCs w:val="28"/>
        </w:rPr>
        <w:t xml:space="preserve"> на </w:t>
      </w:r>
      <w:r w:rsidR="00230E09">
        <w:rPr>
          <w:sz w:val="28"/>
          <w:szCs w:val="28"/>
        </w:rPr>
        <w:t>207,1</w:t>
      </w:r>
      <w:r w:rsidRPr="00692AE0">
        <w:rPr>
          <w:sz w:val="28"/>
          <w:szCs w:val="28"/>
        </w:rPr>
        <w:t xml:space="preserve"> тыс. рублей и составит </w:t>
      </w:r>
      <w:r w:rsidR="00230E09">
        <w:rPr>
          <w:sz w:val="28"/>
          <w:szCs w:val="28"/>
        </w:rPr>
        <w:t>4481,4</w:t>
      </w:r>
      <w:r>
        <w:rPr>
          <w:sz w:val="28"/>
          <w:szCs w:val="28"/>
        </w:rPr>
        <w:t xml:space="preserve"> </w:t>
      </w:r>
      <w:r w:rsidRPr="00692AE0">
        <w:rPr>
          <w:sz w:val="28"/>
          <w:szCs w:val="28"/>
        </w:rPr>
        <w:t xml:space="preserve"> тыс. рублей.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Проект решения сформирован с дефицитом бюджета поселения в сумме 56,8 тыс. рублей или </w:t>
      </w:r>
      <w:r w:rsidR="000E0CFE">
        <w:rPr>
          <w:sz w:val="28"/>
          <w:szCs w:val="28"/>
        </w:rPr>
        <w:t>5</w:t>
      </w:r>
      <w:r w:rsidR="00230E09">
        <w:rPr>
          <w:sz w:val="28"/>
          <w:szCs w:val="28"/>
        </w:rPr>
        <w:t>,7</w:t>
      </w:r>
      <w:r w:rsidRPr="00692AE0">
        <w:rPr>
          <w:sz w:val="28"/>
          <w:szCs w:val="28"/>
        </w:rPr>
        <w:t xml:space="preserve">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</w:t>
      </w:r>
      <w:r>
        <w:rPr>
          <w:sz w:val="28"/>
          <w:szCs w:val="28"/>
        </w:rPr>
        <w:t xml:space="preserve">по состоянию на </w:t>
      </w:r>
      <w:r w:rsidRPr="00692AE0">
        <w:rPr>
          <w:sz w:val="28"/>
          <w:szCs w:val="28"/>
        </w:rPr>
        <w:t xml:space="preserve"> 01.01.2015 года</w:t>
      </w:r>
      <w:r>
        <w:rPr>
          <w:sz w:val="28"/>
          <w:szCs w:val="28"/>
        </w:rPr>
        <w:t xml:space="preserve"> в сумме 56,9 тыс. рублей</w:t>
      </w:r>
      <w:r w:rsidRPr="00692AE0">
        <w:rPr>
          <w:sz w:val="28"/>
          <w:szCs w:val="28"/>
        </w:rPr>
        <w:t>.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>Динамика основных показателей бюджета поселения на 2015 год с учетом предлагаемых поправок приведена в следующей таблице.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692AE0" w:rsidRDefault="00E5253E" w:rsidP="00E525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992"/>
        <w:gridCol w:w="992"/>
        <w:gridCol w:w="1065"/>
        <w:gridCol w:w="1203"/>
        <w:gridCol w:w="851"/>
        <w:gridCol w:w="992"/>
      </w:tblGrid>
      <w:tr w:rsidR="00230E09" w:rsidRPr="00692AE0" w:rsidTr="00230E09">
        <w:trPr>
          <w:trHeight w:val="12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Первоначально утвержденный бюджет на 2015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Бюджет с учетом</w:t>
            </w:r>
          </w:p>
          <w:p w:rsidR="00230E09" w:rsidRPr="00230E09" w:rsidRDefault="00230E09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поправок в июле 2015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Бюджет с учетом</w:t>
            </w:r>
          </w:p>
          <w:p w:rsidR="00230E09" w:rsidRPr="00230E09" w:rsidRDefault="00230E09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в октябре 2015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09" w:rsidRPr="00230E09" w:rsidRDefault="00230E09" w:rsidP="000E0CFE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Бюджет с учетом</w:t>
            </w:r>
          </w:p>
          <w:p w:rsidR="00230E09" w:rsidRPr="00230E09" w:rsidRDefault="00230E09" w:rsidP="000E0C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 xml:space="preserve">в ноябре 2015 года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09" w:rsidRPr="00230E09" w:rsidRDefault="00230E09" w:rsidP="000E0CFE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Бюджет с учетом</w:t>
            </w:r>
          </w:p>
          <w:p w:rsidR="00230E09" w:rsidRPr="00230E09" w:rsidRDefault="00230E09" w:rsidP="000E0C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 xml:space="preserve">поправок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10.12.2015 года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09" w:rsidRPr="00230E09" w:rsidRDefault="00230E09" w:rsidP="00230E09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Бюджет с учетом</w:t>
            </w:r>
          </w:p>
          <w:p w:rsidR="00230E09" w:rsidRPr="00230E09" w:rsidRDefault="00230E09" w:rsidP="00230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предлагаемых поправок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25.12.2015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Отклонения показателей предлагаемых поправок</w:t>
            </w:r>
          </w:p>
        </w:tc>
      </w:tr>
      <w:tr w:rsidR="00230E09" w:rsidRPr="00692AE0" w:rsidTr="002A77F6">
        <w:trPr>
          <w:trHeight w:val="20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230E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230E0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от уточненного бюджета</w:t>
            </w:r>
          </w:p>
        </w:tc>
      </w:tr>
      <w:tr w:rsidR="00230E09" w:rsidRPr="00692AE0" w:rsidTr="00230E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3884,1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4240,1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4420,1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4593,8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2F22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4631,7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+540,5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-207,1</w:t>
            </w:r>
          </w:p>
        </w:tc>
      </w:tr>
      <w:tr w:rsidR="00230E09" w:rsidRPr="00692AE0" w:rsidTr="00230E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3884,1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4296,9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4476,9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4650,6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2F22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4688,5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+597,3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-207,1</w:t>
            </w:r>
          </w:p>
        </w:tc>
      </w:tr>
      <w:tr w:rsidR="00230E09" w:rsidRPr="00692AE0" w:rsidTr="00230E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-Дефицит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-56,8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-56,8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-56,8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2F22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E09">
              <w:rPr>
                <w:rFonts w:ascii="Times New Roman" w:hAnsi="Times New Roman" w:cs="Times New Roman"/>
                <w:sz w:val="26"/>
                <w:szCs w:val="26"/>
              </w:rPr>
              <w:t>-56,8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9" w:rsidRPr="00230E09" w:rsidRDefault="00230E09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5253E" w:rsidRPr="00C368F6" w:rsidRDefault="00E5253E" w:rsidP="00E525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3E" w:rsidRPr="00C368F6" w:rsidRDefault="00E5253E" w:rsidP="00E525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8F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253E" w:rsidRPr="00C368F6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C368F6">
        <w:rPr>
          <w:sz w:val="28"/>
          <w:szCs w:val="28"/>
        </w:rPr>
        <w:t xml:space="preserve">1. Общий объем доходов  бюджета поселения  в 2015 году с учетом вносимых  поправок  составит   </w:t>
      </w:r>
      <w:r w:rsidR="006C34CA">
        <w:rPr>
          <w:sz w:val="28"/>
          <w:szCs w:val="28"/>
        </w:rPr>
        <w:t>4424,6</w:t>
      </w:r>
      <w:r w:rsidRPr="00C368F6">
        <w:rPr>
          <w:sz w:val="28"/>
          <w:szCs w:val="28"/>
        </w:rPr>
        <w:t xml:space="preserve"> тыс. рублей, что выше бюджетных назначений первоначального бюджета 2015 года на </w:t>
      </w:r>
      <w:r w:rsidR="006C34CA">
        <w:rPr>
          <w:sz w:val="28"/>
          <w:szCs w:val="28"/>
        </w:rPr>
        <w:t>540,5</w:t>
      </w:r>
      <w:r w:rsidRPr="00C368F6">
        <w:rPr>
          <w:sz w:val="28"/>
          <w:szCs w:val="28"/>
        </w:rPr>
        <w:t xml:space="preserve"> тыс. рублей, или  </w:t>
      </w:r>
      <w:r w:rsidR="006C34CA">
        <w:rPr>
          <w:sz w:val="28"/>
          <w:szCs w:val="28"/>
        </w:rPr>
        <w:lastRenderedPageBreak/>
        <w:t>13,9</w:t>
      </w:r>
      <w:r w:rsidRPr="00C368F6">
        <w:rPr>
          <w:sz w:val="28"/>
          <w:szCs w:val="28"/>
        </w:rPr>
        <w:t xml:space="preserve">  %  и</w:t>
      </w:r>
      <w:r w:rsidR="006C34CA">
        <w:rPr>
          <w:sz w:val="28"/>
          <w:szCs w:val="28"/>
        </w:rPr>
        <w:t xml:space="preserve"> ниже</w:t>
      </w:r>
      <w:r w:rsidRPr="00C368F6">
        <w:rPr>
          <w:sz w:val="28"/>
          <w:szCs w:val="28"/>
        </w:rPr>
        <w:t xml:space="preserve"> уточненного бюджета на </w:t>
      </w:r>
      <w:r w:rsidR="006C34CA">
        <w:rPr>
          <w:sz w:val="28"/>
          <w:szCs w:val="28"/>
        </w:rPr>
        <w:t>207,1</w:t>
      </w:r>
      <w:r w:rsidRPr="00C368F6">
        <w:rPr>
          <w:sz w:val="28"/>
          <w:szCs w:val="28"/>
        </w:rPr>
        <w:t xml:space="preserve"> тыс. рублей, или на </w:t>
      </w:r>
      <w:r w:rsidR="006C34CA">
        <w:rPr>
          <w:sz w:val="28"/>
          <w:szCs w:val="28"/>
        </w:rPr>
        <w:t>4,5</w:t>
      </w:r>
      <w:r w:rsidR="00D20C7F">
        <w:rPr>
          <w:sz w:val="28"/>
          <w:szCs w:val="28"/>
        </w:rPr>
        <w:t xml:space="preserve"> </w:t>
      </w:r>
      <w:r w:rsidRPr="00C368F6">
        <w:rPr>
          <w:sz w:val="28"/>
          <w:szCs w:val="28"/>
        </w:rPr>
        <w:t xml:space="preserve"> процента.  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D20C7F">
        <w:rPr>
          <w:sz w:val="28"/>
          <w:szCs w:val="28"/>
        </w:rPr>
        <w:t xml:space="preserve">2. Общий объем </w:t>
      </w:r>
      <w:r w:rsidRPr="00D20C7F">
        <w:rPr>
          <w:bCs/>
          <w:sz w:val="28"/>
          <w:szCs w:val="28"/>
        </w:rPr>
        <w:t>расходов  бюджета поселения</w:t>
      </w:r>
      <w:r w:rsidRPr="00D20C7F">
        <w:rPr>
          <w:sz w:val="28"/>
          <w:szCs w:val="28"/>
        </w:rPr>
        <w:t xml:space="preserve"> на 2015</w:t>
      </w:r>
      <w:r w:rsidRPr="00692AE0">
        <w:rPr>
          <w:sz w:val="28"/>
          <w:szCs w:val="28"/>
        </w:rPr>
        <w:t xml:space="preserve"> год с учетом поправок предусмотрен в сумме </w:t>
      </w:r>
      <w:r w:rsidR="006C34CA">
        <w:rPr>
          <w:sz w:val="28"/>
          <w:szCs w:val="28"/>
        </w:rPr>
        <w:t>4481,4</w:t>
      </w:r>
      <w:r>
        <w:rPr>
          <w:sz w:val="28"/>
          <w:szCs w:val="28"/>
        </w:rPr>
        <w:t xml:space="preserve"> </w:t>
      </w:r>
      <w:r w:rsidRPr="00692AE0">
        <w:rPr>
          <w:sz w:val="28"/>
          <w:szCs w:val="28"/>
        </w:rPr>
        <w:t xml:space="preserve"> тыс. рублей, что выше  бюджетных назначений первоначального бюджета 2015 года на </w:t>
      </w:r>
      <w:r w:rsidR="006C34CA">
        <w:rPr>
          <w:sz w:val="28"/>
          <w:szCs w:val="28"/>
        </w:rPr>
        <w:t>597,3</w:t>
      </w:r>
      <w:r w:rsidRPr="00692AE0">
        <w:rPr>
          <w:sz w:val="28"/>
          <w:szCs w:val="28"/>
        </w:rPr>
        <w:t xml:space="preserve"> тыс. рублей, или </w:t>
      </w:r>
      <w:r w:rsidR="006C34CA">
        <w:rPr>
          <w:sz w:val="28"/>
          <w:szCs w:val="28"/>
        </w:rPr>
        <w:t>15,4</w:t>
      </w:r>
      <w:r w:rsidRPr="00692AE0">
        <w:rPr>
          <w:sz w:val="28"/>
          <w:szCs w:val="28"/>
        </w:rPr>
        <w:t xml:space="preserve"> </w:t>
      </w:r>
      <w:r>
        <w:rPr>
          <w:sz w:val="28"/>
          <w:szCs w:val="28"/>
        </w:rPr>
        <w:t>% и</w:t>
      </w:r>
      <w:r w:rsidR="006C34CA">
        <w:rPr>
          <w:sz w:val="28"/>
          <w:szCs w:val="28"/>
        </w:rPr>
        <w:t xml:space="preserve"> ниже</w:t>
      </w:r>
      <w:r>
        <w:rPr>
          <w:sz w:val="28"/>
          <w:szCs w:val="28"/>
        </w:rPr>
        <w:t xml:space="preserve"> уточненного бюджета на </w:t>
      </w:r>
      <w:r w:rsidR="006C34CA">
        <w:rPr>
          <w:sz w:val="28"/>
          <w:szCs w:val="28"/>
        </w:rPr>
        <w:t>207,1</w:t>
      </w:r>
      <w:r>
        <w:rPr>
          <w:sz w:val="28"/>
          <w:szCs w:val="28"/>
        </w:rPr>
        <w:t xml:space="preserve"> тыс. рублей, или на </w:t>
      </w:r>
      <w:r w:rsidR="006C34CA">
        <w:rPr>
          <w:sz w:val="28"/>
          <w:szCs w:val="28"/>
        </w:rPr>
        <w:t>4,4</w:t>
      </w:r>
      <w:r>
        <w:rPr>
          <w:sz w:val="28"/>
          <w:szCs w:val="28"/>
        </w:rPr>
        <w:t xml:space="preserve"> процента</w:t>
      </w:r>
      <w:r w:rsidRPr="00692AE0">
        <w:rPr>
          <w:sz w:val="28"/>
          <w:szCs w:val="28"/>
        </w:rPr>
        <w:t xml:space="preserve">. </w:t>
      </w:r>
    </w:p>
    <w:p w:rsidR="00E5253E" w:rsidRPr="00A95C22" w:rsidRDefault="00E5253E" w:rsidP="00733478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 w:rsidRPr="00692AE0"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56,8 тыс. рублей или </w:t>
      </w:r>
      <w:r w:rsidR="00D20C7F">
        <w:rPr>
          <w:rFonts w:ascii="Times New Roman" w:hAnsi="Times New Roman" w:cs="Times New Roman"/>
          <w:sz w:val="28"/>
          <w:szCs w:val="28"/>
        </w:rPr>
        <w:t>5</w:t>
      </w:r>
      <w:r w:rsidR="006C34CA">
        <w:rPr>
          <w:rFonts w:ascii="Times New Roman" w:hAnsi="Times New Roman" w:cs="Times New Roman"/>
          <w:sz w:val="28"/>
          <w:szCs w:val="28"/>
        </w:rPr>
        <w:t>,7</w:t>
      </w:r>
      <w:r w:rsidRPr="00692AE0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 с учетом  остатка средств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>на 01.01.2015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E5253E" w:rsidRPr="00C04D2A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2A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C04D2A" w:rsidRPr="00C04D2A" w:rsidRDefault="00C04D2A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78" w:rsidRDefault="00C04D2A" w:rsidP="007334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 xml:space="preserve">Доходы  бюджета поселения с учетом предлагаемых поправок на 2015 год предусматриваются в объеме </w:t>
      </w:r>
      <w:r>
        <w:rPr>
          <w:rFonts w:ascii="Times New Roman" w:hAnsi="Times New Roman" w:cs="Times New Roman"/>
          <w:sz w:val="28"/>
          <w:szCs w:val="28"/>
        </w:rPr>
        <w:t>4424,6</w:t>
      </w:r>
      <w:r w:rsidRPr="00C04D2A">
        <w:rPr>
          <w:rFonts w:ascii="Times New Roman" w:hAnsi="Times New Roman" w:cs="Times New Roman"/>
          <w:sz w:val="28"/>
          <w:szCs w:val="28"/>
        </w:rPr>
        <w:t xml:space="preserve"> тыс. рублей. Анализ динамики доходов бюджета поселения  по проекту решения показывает, что в целом доходы  снижаются  по сравнению с утвержденными бюджетными назначениями 2015 года на </w:t>
      </w:r>
      <w:r>
        <w:rPr>
          <w:rFonts w:ascii="Times New Roman" w:hAnsi="Times New Roman" w:cs="Times New Roman"/>
          <w:sz w:val="28"/>
          <w:szCs w:val="28"/>
        </w:rPr>
        <w:t>207,1</w:t>
      </w:r>
      <w:r w:rsidRPr="00C04D2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C04D2A">
        <w:rPr>
          <w:rFonts w:ascii="Times New Roman" w:hAnsi="Times New Roman" w:cs="Times New Roman"/>
          <w:sz w:val="28"/>
          <w:szCs w:val="28"/>
        </w:rPr>
        <w:t xml:space="preserve">  % за счет снижения объема налоговых и неналоговых доходов бюджета поселения и объема безвозмездных поступлений  в части  иных межбюджетных трансфертов из бюджета района на осуществление полном</w:t>
      </w:r>
      <w:r w:rsidR="00733478">
        <w:rPr>
          <w:rFonts w:ascii="Times New Roman" w:hAnsi="Times New Roman" w:cs="Times New Roman"/>
          <w:sz w:val="28"/>
          <w:szCs w:val="28"/>
        </w:rPr>
        <w:t xml:space="preserve">очий в сфере жилищных отношений и субвенций на осуществление полномочий по организации первичного воинского учета на территориях, где отсутствуют военные комиссариаты. </w:t>
      </w:r>
    </w:p>
    <w:p w:rsidR="00C04D2A" w:rsidRPr="00C04D2A" w:rsidRDefault="00C04D2A" w:rsidP="007334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2A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бюджета поселения</w:t>
      </w:r>
    </w:p>
    <w:p w:rsidR="00C04D2A" w:rsidRDefault="00C04D2A" w:rsidP="00943CEB">
      <w:pPr>
        <w:autoSpaceDE w:val="0"/>
        <w:autoSpaceDN w:val="0"/>
        <w:adjustRightInd w:val="0"/>
        <w:spacing w:line="1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>Проект решения  вносит изменения в структуру налоговых и  неналоговых доходов бюджета поселения.</w:t>
      </w:r>
    </w:p>
    <w:p w:rsidR="00C04D2A" w:rsidRPr="003C651F" w:rsidRDefault="00C04D2A" w:rsidP="00733478">
      <w:pPr>
        <w:autoSpaceDE w:val="0"/>
        <w:autoSpaceDN w:val="0"/>
        <w:adjustRightInd w:val="0"/>
        <w:spacing w:line="1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>Изменение  налоговых и неналоговых поступлений  в бюджет поселения на 2015 год в разрезе видов  (подвидов) доходов за 2015 год хар</w:t>
      </w:r>
      <w:r w:rsidR="00733478">
        <w:rPr>
          <w:rFonts w:ascii="Times New Roman" w:hAnsi="Times New Roman" w:cs="Times New Roman"/>
          <w:sz w:val="28"/>
          <w:szCs w:val="28"/>
        </w:rPr>
        <w:t>актеризуется следующими данными</w:t>
      </w:r>
      <w:r w:rsidRPr="003C6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Таблица№2</w:t>
      </w:r>
    </w:p>
    <w:p w:rsidR="00C04D2A" w:rsidRPr="003C651F" w:rsidRDefault="00C04D2A" w:rsidP="00943CEB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C651F">
        <w:rPr>
          <w:rFonts w:ascii="Times New Roman" w:hAnsi="Times New Roman" w:cs="Times New Roman"/>
          <w:sz w:val="28"/>
          <w:szCs w:val="28"/>
        </w:rPr>
        <w:t xml:space="preserve">   </w:t>
      </w:r>
      <w:r w:rsidRPr="003C651F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1622"/>
        <w:gridCol w:w="1900"/>
        <w:gridCol w:w="1956"/>
      </w:tblGrid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 xml:space="preserve"> Уточненный бюджет 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>.2015 года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>Бюджет с учетом  предлагаемых поправок декабря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Отклонения показателей предлагаемых поправок  от утвержденных </w:t>
            </w:r>
            <w:r w:rsidRPr="00C04D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показателей </w:t>
            </w:r>
          </w:p>
        </w:tc>
      </w:tr>
      <w:tr w:rsidR="00C04D2A" w:rsidRPr="00C04D2A" w:rsidTr="00C04D2A">
        <w:trPr>
          <w:trHeight w:val="453"/>
        </w:trPr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 на доходы физ. лиц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238,0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238,0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143,9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-33,9</w:t>
            </w:r>
          </w:p>
        </w:tc>
      </w:tr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250,5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+10,5</w:t>
            </w:r>
          </w:p>
        </w:tc>
      </w:tr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бюджетных и автономных  учреждений)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292,0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292,0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900" w:type="dxa"/>
            <w:shd w:val="clear" w:color="auto" w:fill="auto"/>
          </w:tcPr>
          <w:p w:rsid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-100,0</w:t>
            </w:r>
          </w:p>
        </w:tc>
      </w:tr>
      <w:tr w:rsidR="00C04D2A" w:rsidRPr="00C04D2A" w:rsidTr="00C04D2A">
        <w:tc>
          <w:tcPr>
            <w:tcW w:w="4081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D2A">
              <w:rPr>
                <w:rFonts w:ascii="Times New Roman" w:hAnsi="Times New Roman" w:cs="Times New Roman"/>
                <w:b/>
                <w:sz w:val="26"/>
                <w:szCs w:val="26"/>
              </w:rPr>
              <w:t>Итого налоговые и неналоговые доходы</w:t>
            </w:r>
          </w:p>
        </w:tc>
        <w:tc>
          <w:tcPr>
            <w:tcW w:w="1622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1114,9</w:t>
            </w:r>
          </w:p>
        </w:tc>
        <w:tc>
          <w:tcPr>
            <w:tcW w:w="1900" w:type="dxa"/>
            <w:shd w:val="clear" w:color="auto" w:fill="auto"/>
          </w:tcPr>
          <w:p w:rsidR="00C04D2A" w:rsidRPr="00C04D2A" w:rsidRDefault="00C04D2A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991,5</w:t>
            </w:r>
          </w:p>
        </w:tc>
        <w:tc>
          <w:tcPr>
            <w:tcW w:w="1956" w:type="dxa"/>
            <w:shd w:val="clear" w:color="auto" w:fill="auto"/>
          </w:tcPr>
          <w:p w:rsidR="00C04D2A" w:rsidRPr="00C04D2A" w:rsidRDefault="00943CEB" w:rsidP="00943CEB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-123,4</w:t>
            </w:r>
          </w:p>
        </w:tc>
      </w:tr>
    </w:tbl>
    <w:p w:rsidR="00943CEB" w:rsidRDefault="00C04D2A" w:rsidP="00943CE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внести изменения в структуру  налоговых и неналоговых доходов, исходя из фактически сложившегося исполнения за 11 месяцев текущего года.</w:t>
      </w:r>
    </w:p>
    <w:p w:rsidR="00C04D2A" w:rsidRPr="00C04D2A" w:rsidRDefault="00C04D2A" w:rsidP="00943CE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>Предложено к уменьшению:</w:t>
      </w:r>
    </w:p>
    <w:p w:rsidR="00C04D2A" w:rsidRPr="00C04D2A" w:rsidRDefault="00943CEB" w:rsidP="00943CEB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4D2A" w:rsidRPr="00C04D2A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на </w:t>
      </w:r>
      <w:r>
        <w:rPr>
          <w:rFonts w:ascii="Times New Roman" w:hAnsi="Times New Roman" w:cs="Times New Roman"/>
          <w:sz w:val="28"/>
          <w:szCs w:val="28"/>
        </w:rPr>
        <w:t>33,9</w:t>
      </w:r>
      <w:r w:rsidR="00C04D2A" w:rsidRPr="00C04D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43CEB" w:rsidRDefault="00C04D2A" w:rsidP="00943CE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 xml:space="preserve">- </w:t>
      </w:r>
      <w:r w:rsidR="00943CEB">
        <w:rPr>
          <w:rFonts w:ascii="Times New Roman" w:hAnsi="Times New Roman" w:cs="Times New Roman"/>
          <w:sz w:val="28"/>
          <w:szCs w:val="28"/>
        </w:rPr>
        <w:t>доходы от реализации иного имущества на 100,0 тыс. рублей</w:t>
      </w:r>
      <w:r w:rsidR="00733478">
        <w:rPr>
          <w:rFonts w:ascii="Times New Roman" w:hAnsi="Times New Roman" w:cs="Times New Roman"/>
          <w:sz w:val="28"/>
          <w:szCs w:val="28"/>
        </w:rPr>
        <w:t xml:space="preserve"> (</w:t>
      </w:r>
      <w:r w:rsidR="00943CEB">
        <w:rPr>
          <w:rFonts w:ascii="Times New Roman" w:hAnsi="Times New Roman" w:cs="Times New Roman"/>
          <w:sz w:val="28"/>
          <w:szCs w:val="28"/>
        </w:rPr>
        <w:t>аукцион по продаже имущества не состоялся из-за отсутствия заявок).</w:t>
      </w:r>
    </w:p>
    <w:p w:rsidR="00C04D2A" w:rsidRPr="00C04D2A" w:rsidRDefault="00943CEB" w:rsidP="00943CE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 xml:space="preserve"> </w:t>
      </w:r>
      <w:r w:rsidR="00C04D2A" w:rsidRPr="00C04D2A">
        <w:rPr>
          <w:rFonts w:ascii="Times New Roman" w:hAnsi="Times New Roman" w:cs="Times New Roman"/>
          <w:sz w:val="28"/>
          <w:szCs w:val="28"/>
        </w:rPr>
        <w:t>Предложено к увеличению:</w:t>
      </w:r>
    </w:p>
    <w:p w:rsidR="00C04D2A" w:rsidRPr="00C04D2A" w:rsidRDefault="00C04D2A" w:rsidP="00943CE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 xml:space="preserve">- </w:t>
      </w:r>
      <w:r w:rsidR="00943CEB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Pr="00C04D2A">
        <w:rPr>
          <w:rFonts w:ascii="Times New Roman" w:hAnsi="Times New Roman" w:cs="Times New Roman"/>
          <w:sz w:val="28"/>
          <w:szCs w:val="28"/>
        </w:rPr>
        <w:t xml:space="preserve">  - на </w:t>
      </w:r>
      <w:r w:rsidR="00943CEB">
        <w:rPr>
          <w:rFonts w:ascii="Times New Roman" w:hAnsi="Times New Roman" w:cs="Times New Roman"/>
          <w:sz w:val="28"/>
          <w:szCs w:val="28"/>
        </w:rPr>
        <w:t>10,5 тыс. рублей.</w:t>
      </w:r>
    </w:p>
    <w:p w:rsidR="00C04D2A" w:rsidRPr="00C04D2A" w:rsidRDefault="00C04D2A" w:rsidP="00943CE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 xml:space="preserve">Таким образом, исходя из вышеизложенного, объем собственных доходов бюджета  поселения планируется в сумме  </w:t>
      </w:r>
      <w:r w:rsidR="00943CEB">
        <w:rPr>
          <w:rFonts w:ascii="Times New Roman" w:hAnsi="Times New Roman" w:cs="Times New Roman"/>
          <w:sz w:val="28"/>
          <w:szCs w:val="28"/>
        </w:rPr>
        <w:t>991,5</w:t>
      </w:r>
      <w:r w:rsidRPr="00C04D2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43CEB" w:rsidRDefault="00C04D2A" w:rsidP="00943CEB">
      <w:pPr>
        <w:spacing w:line="1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C04D2A" w:rsidRPr="00C04D2A" w:rsidRDefault="00C04D2A" w:rsidP="00943CEB">
      <w:pPr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4D2A">
        <w:rPr>
          <w:rFonts w:ascii="Times New Roman" w:hAnsi="Times New Roman" w:cs="Times New Roman"/>
          <w:sz w:val="28"/>
          <w:szCs w:val="28"/>
        </w:rPr>
        <w:t xml:space="preserve">Проект бюджета о внесении изменений в решение  предполагает уменьшение  объема безвозмездных поступлений в размере </w:t>
      </w:r>
      <w:r w:rsidR="00943CEB">
        <w:rPr>
          <w:rFonts w:ascii="Times New Roman" w:hAnsi="Times New Roman" w:cs="Times New Roman"/>
          <w:sz w:val="28"/>
          <w:szCs w:val="28"/>
        </w:rPr>
        <w:t>83,7</w:t>
      </w:r>
      <w:r w:rsidRPr="00C04D2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04D2A" w:rsidRPr="00C04D2A" w:rsidRDefault="00C04D2A" w:rsidP="00943CEB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lastRenderedPageBreak/>
        <w:t xml:space="preserve">-  в части иных межбюджетных трансфертов из бюджета района бюджетам поселений в сумме </w:t>
      </w:r>
      <w:r w:rsidR="00943CEB">
        <w:rPr>
          <w:rFonts w:ascii="Times New Roman" w:hAnsi="Times New Roman" w:cs="Times New Roman"/>
          <w:sz w:val="28"/>
          <w:szCs w:val="28"/>
        </w:rPr>
        <w:t xml:space="preserve">91,6 </w:t>
      </w:r>
      <w:r w:rsidRPr="00C04D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01A1">
        <w:rPr>
          <w:rFonts w:ascii="Times New Roman" w:hAnsi="Times New Roman" w:cs="Times New Roman"/>
          <w:sz w:val="28"/>
          <w:szCs w:val="28"/>
        </w:rPr>
        <w:t xml:space="preserve"> в соответствии с уменьшением  объема межбюджетных трансфертов по соглашению на выполнение части полномочий по решению вопросов  местного значения</w:t>
      </w:r>
      <w:r w:rsidRPr="00C04D2A">
        <w:rPr>
          <w:rFonts w:ascii="Times New Roman" w:hAnsi="Times New Roman" w:cs="Times New Roman"/>
          <w:sz w:val="28"/>
          <w:szCs w:val="28"/>
        </w:rPr>
        <w:t>;</w:t>
      </w:r>
    </w:p>
    <w:p w:rsidR="00C04D2A" w:rsidRPr="00C04D2A" w:rsidRDefault="00C04D2A" w:rsidP="00943CEB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>- в части субвенции  на осуществление первичного воинского учета на территориях, где отсутствуют военные комиссариаты,  планируется увеличение ассигнований в  сумме 7,9  тыс. рублей</w:t>
      </w:r>
      <w:r w:rsidR="006401A1">
        <w:rPr>
          <w:rFonts w:ascii="Times New Roman" w:hAnsi="Times New Roman" w:cs="Times New Roman"/>
          <w:sz w:val="28"/>
          <w:szCs w:val="28"/>
        </w:rPr>
        <w:t xml:space="preserve"> в связи с увеличением субвенции на вышеуказанные цели из областного бюджета</w:t>
      </w:r>
      <w:r w:rsidRPr="00C04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D2A" w:rsidRPr="00C04D2A" w:rsidRDefault="00C04D2A" w:rsidP="00943CEB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2A">
        <w:rPr>
          <w:rFonts w:ascii="Times New Roman" w:hAnsi="Times New Roman" w:cs="Times New Roman"/>
          <w:sz w:val="28"/>
          <w:szCs w:val="28"/>
        </w:rPr>
        <w:t xml:space="preserve">Таким образом, объем безвозмездных поступлений  проектом решения планируется уменьшить до </w:t>
      </w:r>
      <w:r w:rsidR="00943CEB">
        <w:rPr>
          <w:rFonts w:ascii="Times New Roman" w:hAnsi="Times New Roman" w:cs="Times New Roman"/>
          <w:sz w:val="28"/>
          <w:szCs w:val="28"/>
        </w:rPr>
        <w:t xml:space="preserve">3433,1 </w:t>
      </w:r>
      <w:r w:rsidRPr="00C04D2A">
        <w:rPr>
          <w:rFonts w:ascii="Times New Roman" w:hAnsi="Times New Roman" w:cs="Times New Roman"/>
          <w:sz w:val="28"/>
          <w:szCs w:val="28"/>
        </w:rPr>
        <w:t xml:space="preserve">тыс. руб., что ниже утвержденных назначений на </w:t>
      </w:r>
      <w:r w:rsidR="00943CEB">
        <w:rPr>
          <w:rFonts w:ascii="Times New Roman" w:hAnsi="Times New Roman" w:cs="Times New Roman"/>
          <w:sz w:val="28"/>
          <w:szCs w:val="28"/>
        </w:rPr>
        <w:t>83,7</w:t>
      </w:r>
      <w:r w:rsidRPr="00C04D2A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943CEB">
        <w:rPr>
          <w:rFonts w:ascii="Times New Roman" w:hAnsi="Times New Roman" w:cs="Times New Roman"/>
          <w:sz w:val="28"/>
          <w:szCs w:val="28"/>
        </w:rPr>
        <w:t>2,4</w:t>
      </w:r>
      <w:r w:rsidRPr="00C04D2A">
        <w:rPr>
          <w:rFonts w:ascii="Times New Roman" w:hAnsi="Times New Roman" w:cs="Times New Roman"/>
          <w:sz w:val="28"/>
          <w:szCs w:val="28"/>
        </w:rPr>
        <w:t xml:space="preserve"> процента.   </w:t>
      </w:r>
      <w:r w:rsidR="00943CEB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безвозмездные поступления </w:t>
      </w:r>
      <w:r w:rsidR="00A7752B">
        <w:rPr>
          <w:rFonts w:ascii="Times New Roman" w:hAnsi="Times New Roman" w:cs="Times New Roman"/>
          <w:sz w:val="28"/>
          <w:szCs w:val="28"/>
        </w:rPr>
        <w:t>составят 77,6 процента.</w:t>
      </w:r>
    </w:p>
    <w:p w:rsidR="00E5253E" w:rsidRPr="00987B47" w:rsidRDefault="00C04D2A" w:rsidP="00733478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47">
        <w:rPr>
          <w:rFonts w:ascii="Times New Roman" w:hAnsi="Times New Roman" w:cs="Times New Roman"/>
          <w:i/>
          <w:sz w:val="28"/>
          <w:szCs w:val="28"/>
        </w:rPr>
        <w:t xml:space="preserve"> В тексте проекта решения в Приложении</w:t>
      </w:r>
      <w:r w:rsidR="00987B47">
        <w:rPr>
          <w:rFonts w:ascii="Times New Roman" w:hAnsi="Times New Roman" w:cs="Times New Roman"/>
          <w:i/>
          <w:sz w:val="28"/>
          <w:szCs w:val="28"/>
        </w:rPr>
        <w:t xml:space="preserve"> 1 по разделу «Безвозмездные поступления»</w:t>
      </w:r>
      <w:r w:rsidRPr="00987B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B47">
        <w:rPr>
          <w:rFonts w:ascii="Times New Roman" w:hAnsi="Times New Roman" w:cs="Times New Roman"/>
          <w:i/>
          <w:sz w:val="28"/>
          <w:szCs w:val="28"/>
        </w:rPr>
        <w:t>пропущена строка следующего содержания</w:t>
      </w:r>
      <w:r w:rsidRPr="00987B4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87B47">
        <w:rPr>
          <w:rFonts w:ascii="Times New Roman" w:hAnsi="Times New Roman" w:cs="Times New Roman"/>
          <w:i/>
          <w:sz w:val="28"/>
          <w:szCs w:val="28"/>
        </w:rPr>
        <w:t xml:space="preserve">000 2 02 03000 00 0000 151 Субвенции бюджетам субъектов Российской Федерации и муниципальных образований </w:t>
      </w:r>
      <w:r w:rsidR="003C651F">
        <w:rPr>
          <w:rFonts w:ascii="Times New Roman" w:hAnsi="Times New Roman" w:cs="Times New Roman"/>
          <w:i/>
          <w:sz w:val="28"/>
          <w:szCs w:val="28"/>
        </w:rPr>
        <w:t xml:space="preserve"> цифру «70» заменить цифрой  «</w:t>
      </w:r>
      <w:r w:rsidR="00987B47">
        <w:rPr>
          <w:rFonts w:ascii="Times New Roman" w:hAnsi="Times New Roman" w:cs="Times New Roman"/>
          <w:i/>
          <w:sz w:val="28"/>
          <w:szCs w:val="28"/>
        </w:rPr>
        <w:t>77,9</w:t>
      </w:r>
      <w:r w:rsidRPr="00987B47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E5253E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 w:rsidR="00A7752B">
        <w:rPr>
          <w:rFonts w:ascii="Times New Roman" w:hAnsi="Times New Roman" w:cs="Times New Roman"/>
          <w:sz w:val="28"/>
          <w:szCs w:val="28"/>
        </w:rPr>
        <w:t>4481,4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</w:t>
      </w:r>
      <w:r w:rsidR="00A7752B">
        <w:rPr>
          <w:rFonts w:ascii="Times New Roman" w:hAnsi="Times New Roman" w:cs="Times New Roman"/>
          <w:sz w:val="28"/>
          <w:szCs w:val="28"/>
        </w:rPr>
        <w:t>уменьшаются</w:t>
      </w:r>
      <w:r w:rsidRPr="00692AE0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 назначениями 2015  года на </w:t>
      </w:r>
      <w:r w:rsidR="00A7752B">
        <w:rPr>
          <w:rFonts w:ascii="Times New Roman" w:hAnsi="Times New Roman" w:cs="Times New Roman"/>
          <w:sz w:val="28"/>
          <w:szCs w:val="28"/>
        </w:rPr>
        <w:t>207,1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7752B">
        <w:rPr>
          <w:rFonts w:ascii="Times New Roman" w:hAnsi="Times New Roman" w:cs="Times New Roman"/>
          <w:sz w:val="28"/>
          <w:szCs w:val="28"/>
        </w:rPr>
        <w:t xml:space="preserve">4,4 </w:t>
      </w:r>
      <w:r w:rsidRPr="00692AE0">
        <w:rPr>
          <w:rFonts w:ascii="Times New Roman" w:hAnsi="Times New Roman" w:cs="Times New Roman"/>
          <w:sz w:val="28"/>
          <w:szCs w:val="28"/>
        </w:rPr>
        <w:t>процента.</w:t>
      </w: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94786D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 разделу</w:t>
      </w:r>
      <w:r w:rsidRPr="00692AE0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A7752B">
        <w:rPr>
          <w:rFonts w:ascii="Times New Roman" w:hAnsi="Times New Roman" w:cs="Times New Roman"/>
          <w:sz w:val="28"/>
          <w:szCs w:val="28"/>
        </w:rPr>
        <w:t>7,9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752B">
        <w:rPr>
          <w:rFonts w:ascii="Times New Roman" w:hAnsi="Times New Roman" w:cs="Times New Roman"/>
          <w:sz w:val="28"/>
          <w:szCs w:val="28"/>
        </w:rPr>
        <w:t xml:space="preserve">, по пяти разделам бюджетной классификации уменьшить расходы по сравнению с утвержденными бюджетными назначениями на 215,0 тыс. рублей.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7752B">
        <w:rPr>
          <w:rFonts w:ascii="Times New Roman" w:hAnsi="Times New Roman" w:cs="Times New Roman"/>
          <w:sz w:val="28"/>
          <w:szCs w:val="28"/>
        </w:rPr>
        <w:t>трем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2015 год характеризуется следующими данными:</w:t>
      </w:r>
    </w:p>
    <w:p w:rsidR="00E5253E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78E1" w:rsidRDefault="008F78E1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92"/>
        <w:gridCol w:w="993"/>
        <w:gridCol w:w="992"/>
        <w:gridCol w:w="992"/>
        <w:gridCol w:w="851"/>
        <w:gridCol w:w="850"/>
        <w:gridCol w:w="709"/>
      </w:tblGrid>
      <w:tr w:rsidR="00A7752B" w:rsidRPr="00692AE0" w:rsidTr="00A7752B">
        <w:trPr>
          <w:trHeight w:val="10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 xml:space="preserve">Первоначально утвержденный бюджет </w:t>
            </w: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2015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Уточненный   бюджет на </w:t>
            </w:r>
          </w:p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752B" w:rsidRPr="00A7752B" w:rsidRDefault="00A7752B" w:rsidP="000113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 xml:space="preserve">Уточненный   бюджет на </w:t>
            </w:r>
          </w:p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735FE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Уточненный   бюджет на </w:t>
            </w:r>
          </w:p>
          <w:p w:rsidR="00A7752B" w:rsidRPr="00A7752B" w:rsidRDefault="00A7752B" w:rsidP="00735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777B2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 с учетом </w:t>
            </w:r>
          </w:p>
          <w:p w:rsidR="00A7752B" w:rsidRPr="00A7752B" w:rsidRDefault="00A7752B" w:rsidP="00777B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Поправок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A7752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с учетом предлагаемых</w:t>
            </w:r>
          </w:p>
          <w:p w:rsidR="00A7752B" w:rsidRPr="00A7752B" w:rsidRDefault="00A7752B" w:rsidP="00A7752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поправок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Отклонения показателей предлагаемых поправок</w:t>
            </w:r>
          </w:p>
        </w:tc>
      </w:tr>
      <w:tr w:rsidR="00A7752B" w:rsidRPr="00692AE0" w:rsidTr="00A7752B">
        <w:trPr>
          <w:trHeight w:val="15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2B" w:rsidRPr="00A7752B" w:rsidRDefault="00A7752B" w:rsidP="00011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2B" w:rsidRPr="00A7752B" w:rsidRDefault="00A7752B" w:rsidP="00011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2B" w:rsidRPr="00A7752B" w:rsidRDefault="00A7752B" w:rsidP="00011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A7752B" w:rsidRDefault="00A7752B" w:rsidP="00011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A7752B" w:rsidRDefault="00A7752B" w:rsidP="00011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A7752B" w:rsidRDefault="00A7752B" w:rsidP="00011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2B" w:rsidRPr="00A7752B" w:rsidRDefault="00A7752B" w:rsidP="00011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 xml:space="preserve">от первоначального бюджета </w:t>
            </w:r>
          </w:p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от утвержденного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1721,3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1825,1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2005,1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2248,0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+506,9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735FE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-19,8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+7,9</w:t>
            </w:r>
          </w:p>
        </w:tc>
      </w:tr>
      <w:tr w:rsidR="00A7752B" w:rsidRPr="00692AE0" w:rsidTr="00A7752B">
        <w:trPr>
          <w:trHeight w:val="13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-11,7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EC681C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-52,3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549,2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549,2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549,2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617,9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EC681C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-86,9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EC681C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828,6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828,6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EC681C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EC681C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-44,3</w:t>
            </w:r>
          </w:p>
        </w:tc>
      </w:tr>
      <w:tr w:rsidR="00A7752B" w:rsidRPr="00692AE0" w:rsidTr="00A7752B">
        <w:trPr>
          <w:trHeight w:val="2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Cs/>
                <w:sz w:val="26"/>
                <w:szCs w:val="26"/>
              </w:rPr>
              <w:t>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+316,</w:t>
            </w:r>
          </w:p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EC681C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752B" w:rsidRPr="00692AE0" w:rsidTr="00A775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F719AE">
            <w:pPr>
              <w:spacing w:after="0" w:line="240" w:lineRule="auto"/>
              <w:ind w:left="-108" w:right="34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7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735FE9">
            <w:pPr>
              <w:spacing w:after="0" w:line="240" w:lineRule="auto"/>
              <w:ind w:left="-108" w:right="34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A7752B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+597,3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2B" w:rsidRPr="00A7752B" w:rsidRDefault="00EC681C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-207,1</w:t>
            </w:r>
          </w:p>
        </w:tc>
      </w:tr>
    </w:tbl>
    <w:p w:rsidR="00E5253E" w:rsidRPr="00750EE2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sz w:val="28"/>
          <w:szCs w:val="28"/>
        </w:rPr>
        <w:t xml:space="preserve">      В проекте решения предлагается 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Pr="00F82468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по разделу 0100  «Общегосударственные вопросы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по подразделу 0102 «Функционирование высшего должностного лица субъекта РФ и муниципального образования»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увеличение расходов на оплату труда Главы поселения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7,0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связи с фактически сложившимся расходами;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-  по подразделу 0104 «Функционирование Правительства Российской Федерации, высших исполнительных  органов  государственной власти  субъектов Российской Федерации, местных администраций» 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>планируется 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меньшение расходов 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21,5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согласно расчета: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труда  - </w:t>
      </w:r>
      <w:r>
        <w:rPr>
          <w:rFonts w:ascii="Times New Roman" w:hAnsi="Times New Roman" w:cs="Times New Roman"/>
          <w:color w:val="000000"/>
          <w:sz w:val="28"/>
          <w:szCs w:val="28"/>
        </w:rPr>
        <w:t>85,1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уменьшение расходов на закупки товаров, работ и услуг на 98,3 тыс. рублей, уменьшение суммы налогов на 8,3 тыс. рублей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подразделу 011</w:t>
      </w:r>
      <w:r w:rsidR="005D2AEA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5D2AEA">
        <w:rPr>
          <w:rFonts w:ascii="Times New Roman" w:hAnsi="Times New Roman" w:cs="Times New Roman"/>
          <w:b/>
          <w:i/>
          <w:color w:val="000000"/>
          <w:sz w:val="28"/>
          <w:szCs w:val="28"/>
        </w:rPr>
        <w:t>Другие общегосударственные вопросы</w:t>
      </w: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 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снизить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расходы 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на сумму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5,3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связи 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с исключением сумм на оценку имущества на 5,0 тыс. рублей и уменьшением суммы на членский взнос в Ассоциацию по факту оплаты на 0,3 тыс. рублей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разделу 0200 «Национальная оборона», подразделу  0203</w:t>
      </w:r>
      <w:r w:rsidR="005D2AE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«Мобилизационная и вневойсковая подготовка» 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>планируется увеличение ассигнований на 7,9 тыс. рублей в связи с увеличением субвенции из областного бюджета на осуществление первичного воинского учета на территориях, где отсутствуют военные комиссариаты;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разделу 0300 «Национальная безопасность и правоохранительная деятельность»,    подразделу 0310 «Обеспечение пожарной безопасности»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уменьшение лимитов бюджетных обязательств на 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11,7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связи с невыполнением плана по сбору собственных доходов;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 по разделу 0400 «Национальная экономика», подразделу 0409 «Дорожное хозяйство (дорожные фонды)» 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расходы уменьшаются на 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52,3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связи с 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корректировкой расходов по фактическому исполнению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sz w:val="28"/>
          <w:szCs w:val="28"/>
        </w:rPr>
      </w:pPr>
      <w:r w:rsidRPr="00F824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2468">
        <w:rPr>
          <w:rFonts w:ascii="Times New Roman" w:hAnsi="Times New Roman" w:cs="Times New Roman"/>
          <w:b/>
          <w:i/>
          <w:sz w:val="28"/>
          <w:szCs w:val="28"/>
        </w:rPr>
        <w:t xml:space="preserve">по разделу 0500«Жилищно-коммунальное хозяйство» </w:t>
      </w:r>
      <w:r w:rsidRPr="00F82468">
        <w:rPr>
          <w:rFonts w:ascii="Times New Roman" w:hAnsi="Times New Roman" w:cs="Times New Roman"/>
          <w:sz w:val="28"/>
          <w:szCs w:val="28"/>
        </w:rPr>
        <w:t xml:space="preserve">планируется уменьшение лимитов бюджетных обязательств на </w:t>
      </w:r>
      <w:r w:rsidR="005D2AEA">
        <w:rPr>
          <w:rFonts w:ascii="Times New Roman" w:hAnsi="Times New Roman" w:cs="Times New Roman"/>
          <w:sz w:val="28"/>
          <w:szCs w:val="28"/>
        </w:rPr>
        <w:t>86,9</w:t>
      </w:r>
      <w:r w:rsidRPr="00F8246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sz w:val="28"/>
          <w:szCs w:val="28"/>
        </w:rPr>
      </w:pPr>
      <w:r w:rsidRPr="00F82468">
        <w:rPr>
          <w:rFonts w:ascii="Times New Roman" w:hAnsi="Times New Roman" w:cs="Times New Roman"/>
          <w:b/>
          <w:i/>
          <w:sz w:val="28"/>
          <w:szCs w:val="28"/>
        </w:rPr>
        <w:t xml:space="preserve"> - по  подразделу </w:t>
      </w:r>
      <w:r w:rsidR="005D2AEA">
        <w:rPr>
          <w:rFonts w:ascii="Times New Roman" w:hAnsi="Times New Roman" w:cs="Times New Roman"/>
          <w:b/>
          <w:i/>
          <w:sz w:val="28"/>
          <w:szCs w:val="28"/>
        </w:rPr>
        <w:t xml:space="preserve"> 0502</w:t>
      </w:r>
      <w:r w:rsidR="00F31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24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D2AEA">
        <w:rPr>
          <w:rFonts w:ascii="Times New Roman" w:hAnsi="Times New Roman" w:cs="Times New Roman"/>
          <w:b/>
          <w:i/>
          <w:sz w:val="28"/>
          <w:szCs w:val="28"/>
        </w:rPr>
        <w:t>Коммунальное</w:t>
      </w:r>
      <w:r w:rsidRPr="00F82468">
        <w:rPr>
          <w:rFonts w:ascii="Times New Roman" w:hAnsi="Times New Roman" w:cs="Times New Roman"/>
          <w:b/>
          <w:i/>
          <w:sz w:val="28"/>
          <w:szCs w:val="28"/>
        </w:rPr>
        <w:t xml:space="preserve"> хозяйство» </w:t>
      </w:r>
      <w:r w:rsidRPr="00F82468">
        <w:rPr>
          <w:rFonts w:ascii="Times New Roman" w:hAnsi="Times New Roman" w:cs="Times New Roman"/>
          <w:sz w:val="28"/>
          <w:szCs w:val="28"/>
        </w:rPr>
        <w:t xml:space="preserve">уменьшение составит </w:t>
      </w:r>
      <w:r w:rsidR="005D2AEA">
        <w:rPr>
          <w:rFonts w:ascii="Times New Roman" w:hAnsi="Times New Roman" w:cs="Times New Roman"/>
          <w:sz w:val="28"/>
          <w:szCs w:val="28"/>
        </w:rPr>
        <w:t>26,2</w:t>
      </w:r>
      <w:r w:rsidRPr="00F824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8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2468">
        <w:rPr>
          <w:rFonts w:ascii="Times New Roman" w:hAnsi="Times New Roman" w:cs="Times New Roman"/>
          <w:sz w:val="28"/>
          <w:szCs w:val="28"/>
        </w:rPr>
        <w:t>в связи с</w:t>
      </w:r>
      <w:r w:rsidR="005D2AEA">
        <w:rPr>
          <w:rFonts w:ascii="Times New Roman" w:hAnsi="Times New Roman" w:cs="Times New Roman"/>
          <w:sz w:val="28"/>
          <w:szCs w:val="28"/>
        </w:rPr>
        <w:t xml:space="preserve">  невыполнением плана по сбору собственных доходов </w:t>
      </w:r>
      <w:r w:rsidRPr="00F82468">
        <w:rPr>
          <w:rFonts w:ascii="Times New Roman" w:hAnsi="Times New Roman" w:cs="Times New Roman"/>
          <w:sz w:val="28"/>
          <w:szCs w:val="28"/>
        </w:rPr>
        <w:t>;</w:t>
      </w:r>
    </w:p>
    <w:p w:rsidR="00F82468" w:rsidRPr="00F82468" w:rsidRDefault="00F82468" w:rsidP="00F824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68">
        <w:rPr>
          <w:rFonts w:ascii="Times New Roman" w:hAnsi="Times New Roman" w:cs="Times New Roman"/>
          <w:sz w:val="28"/>
          <w:szCs w:val="28"/>
        </w:rPr>
        <w:t xml:space="preserve">-  </w:t>
      </w:r>
      <w:r w:rsidRPr="00F8246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F82468">
        <w:rPr>
          <w:rFonts w:ascii="Times New Roman" w:hAnsi="Times New Roman" w:cs="Times New Roman"/>
          <w:sz w:val="28"/>
          <w:szCs w:val="28"/>
        </w:rPr>
        <w:t xml:space="preserve">   </w:t>
      </w:r>
      <w:r w:rsidRPr="00F82468">
        <w:rPr>
          <w:rFonts w:ascii="Times New Roman" w:hAnsi="Times New Roman" w:cs="Times New Roman"/>
          <w:b/>
          <w:i/>
          <w:sz w:val="28"/>
          <w:szCs w:val="28"/>
        </w:rPr>
        <w:t>подразделу 0503 «Благоустройство»</w:t>
      </w:r>
      <w:r w:rsidRPr="00F82468">
        <w:rPr>
          <w:rFonts w:ascii="Times New Roman" w:hAnsi="Times New Roman" w:cs="Times New Roman"/>
          <w:sz w:val="28"/>
          <w:szCs w:val="28"/>
        </w:rPr>
        <w:t xml:space="preserve"> планируется уменьшить расходы на </w:t>
      </w:r>
      <w:r w:rsidR="005D2AEA">
        <w:rPr>
          <w:rFonts w:ascii="Times New Roman" w:hAnsi="Times New Roman" w:cs="Times New Roman"/>
          <w:sz w:val="28"/>
          <w:szCs w:val="28"/>
        </w:rPr>
        <w:t>60,7</w:t>
      </w:r>
      <w:r w:rsidRPr="00F824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невыполнением плана по сбору собственных доходов</w:t>
      </w:r>
      <w:r w:rsidR="005D2AEA">
        <w:rPr>
          <w:rFonts w:ascii="Times New Roman" w:hAnsi="Times New Roman" w:cs="Times New Roman"/>
          <w:color w:val="000000"/>
          <w:sz w:val="28"/>
          <w:szCs w:val="28"/>
        </w:rPr>
        <w:t>, в том числе  на уличное освещение на 38,7 тыс. рублей, на прочие мероприятия по благоустройству на 22,0 тыс. рублей</w:t>
      </w:r>
      <w:r w:rsidRPr="00F824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1609" w:rsidRDefault="00F82468" w:rsidP="00F316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468">
        <w:rPr>
          <w:rFonts w:ascii="Times New Roman" w:hAnsi="Times New Roman" w:cs="Times New Roman"/>
          <w:sz w:val="28"/>
          <w:szCs w:val="28"/>
        </w:rPr>
        <w:lastRenderedPageBreak/>
        <w:t xml:space="preserve">     -  </w:t>
      </w:r>
      <w:r w:rsidRPr="00F82468">
        <w:rPr>
          <w:rFonts w:ascii="Times New Roman" w:hAnsi="Times New Roman" w:cs="Times New Roman"/>
          <w:b/>
          <w:i/>
          <w:sz w:val="28"/>
          <w:szCs w:val="28"/>
        </w:rPr>
        <w:t xml:space="preserve">по разделу 1000 «Социальная политика», подразделу 1003 «Социальное обеспечение населения» </w:t>
      </w:r>
      <w:r w:rsidRPr="00F82468">
        <w:rPr>
          <w:rFonts w:ascii="Times New Roman" w:hAnsi="Times New Roman" w:cs="Times New Roman"/>
          <w:sz w:val="28"/>
          <w:szCs w:val="28"/>
        </w:rPr>
        <w:t xml:space="preserve">планируется уменьшение лимитов бюджетных обязательств на </w:t>
      </w:r>
      <w:r w:rsidR="000E6A17">
        <w:rPr>
          <w:rFonts w:ascii="Times New Roman" w:hAnsi="Times New Roman" w:cs="Times New Roman"/>
          <w:sz w:val="28"/>
          <w:szCs w:val="28"/>
        </w:rPr>
        <w:t>44,3</w:t>
      </w:r>
      <w:r w:rsidRPr="00F82468">
        <w:rPr>
          <w:rFonts w:ascii="Times New Roman" w:hAnsi="Times New Roman" w:cs="Times New Roman"/>
          <w:sz w:val="28"/>
          <w:szCs w:val="28"/>
        </w:rPr>
        <w:t xml:space="preserve"> тыс. рублей в связи с невыполнением плана по сбору собственных доходов и фа</w:t>
      </w:r>
      <w:r w:rsidR="00987B47">
        <w:rPr>
          <w:rFonts w:ascii="Times New Roman" w:hAnsi="Times New Roman" w:cs="Times New Roman"/>
          <w:sz w:val="28"/>
          <w:szCs w:val="28"/>
        </w:rPr>
        <w:t xml:space="preserve">ктически сложившимися расходами.   </w:t>
      </w:r>
      <w:r w:rsidR="003C651F">
        <w:rPr>
          <w:rFonts w:ascii="Times New Roman" w:hAnsi="Times New Roman" w:cs="Times New Roman"/>
          <w:i/>
          <w:sz w:val="28"/>
          <w:szCs w:val="28"/>
        </w:rPr>
        <w:t>В тексте проекта решения в Приложении 4 пропущены строки следующего содержания:</w:t>
      </w:r>
    </w:p>
    <w:p w:rsidR="00987B47" w:rsidRDefault="003C651F" w:rsidP="00F316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в строке «Социальная политика 10 00» цифры «187,6» заменить цифрами «143,3»;</w:t>
      </w:r>
    </w:p>
    <w:p w:rsidR="00F82468" w:rsidRPr="00F82468" w:rsidRDefault="003C651F" w:rsidP="003C651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строке «Социальное обеспечение населения 1003» цифры «138,1» заменить цифрами «93,8».</w:t>
      </w:r>
      <w:r w:rsidR="00F82468" w:rsidRPr="00F8246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651F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253E" w:rsidRPr="00692AE0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2015 году доходы бюджета поселения  составят </w:t>
      </w:r>
      <w:r w:rsidR="000E6A17">
        <w:rPr>
          <w:rFonts w:ascii="Times New Roman" w:hAnsi="Times New Roman" w:cs="Times New Roman"/>
          <w:sz w:val="28"/>
          <w:szCs w:val="28"/>
        </w:rPr>
        <w:t>4424,6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0E6A17">
        <w:rPr>
          <w:rFonts w:ascii="Times New Roman" w:hAnsi="Times New Roman" w:cs="Times New Roman"/>
          <w:sz w:val="28"/>
          <w:szCs w:val="28"/>
        </w:rPr>
        <w:t>4481,4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253E" w:rsidRPr="00692AE0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</w:t>
      </w:r>
      <w:r w:rsidR="000E6A17">
        <w:rPr>
          <w:rFonts w:ascii="Times New Roman" w:hAnsi="Times New Roman" w:cs="Times New Roman"/>
          <w:sz w:val="28"/>
          <w:szCs w:val="28"/>
        </w:rPr>
        <w:t xml:space="preserve">уменьшится на 123,4 тыс. рублей </w:t>
      </w:r>
      <w:r w:rsidR="00286265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0E6A17">
        <w:rPr>
          <w:rFonts w:ascii="Times New Roman" w:hAnsi="Times New Roman" w:cs="Times New Roman"/>
          <w:sz w:val="28"/>
          <w:szCs w:val="28"/>
        </w:rPr>
        <w:t>–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 w:rsidR="000E6A17">
        <w:rPr>
          <w:rFonts w:ascii="Times New Roman" w:hAnsi="Times New Roman" w:cs="Times New Roman"/>
          <w:sz w:val="28"/>
          <w:szCs w:val="28"/>
        </w:rPr>
        <w:t>991,5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8626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E5253E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3. Объем безвозмездных поступлений  бюджета поселения </w:t>
      </w:r>
      <w:r w:rsidR="000E6A17">
        <w:rPr>
          <w:rFonts w:ascii="Times New Roman" w:hAnsi="Times New Roman" w:cs="Times New Roman"/>
          <w:sz w:val="28"/>
          <w:szCs w:val="28"/>
        </w:rPr>
        <w:t xml:space="preserve">уменьшится </w:t>
      </w:r>
      <w:r w:rsidR="00286265">
        <w:rPr>
          <w:rFonts w:ascii="Times New Roman" w:hAnsi="Times New Roman" w:cs="Times New Roman"/>
          <w:sz w:val="28"/>
          <w:szCs w:val="28"/>
        </w:rPr>
        <w:t xml:space="preserve">на </w:t>
      </w:r>
      <w:r w:rsidR="000E6A17">
        <w:rPr>
          <w:rFonts w:ascii="Times New Roman" w:hAnsi="Times New Roman" w:cs="Times New Roman"/>
          <w:sz w:val="28"/>
          <w:szCs w:val="28"/>
        </w:rPr>
        <w:t>83,7</w:t>
      </w:r>
      <w:r w:rsidR="00286265">
        <w:rPr>
          <w:rFonts w:ascii="Times New Roman" w:hAnsi="Times New Roman" w:cs="Times New Roman"/>
          <w:sz w:val="28"/>
          <w:szCs w:val="28"/>
        </w:rPr>
        <w:t xml:space="preserve"> тыс. рублей и составит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A17">
        <w:rPr>
          <w:rFonts w:ascii="Times New Roman" w:hAnsi="Times New Roman" w:cs="Times New Roman"/>
          <w:sz w:val="28"/>
          <w:szCs w:val="28"/>
        </w:rPr>
        <w:t>3433,1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253E" w:rsidRDefault="00E5253E" w:rsidP="00E5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4. Расходы бюджета поселения в 2015 году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у</w:t>
      </w:r>
      <w:r w:rsidR="000E6A17">
        <w:rPr>
          <w:rFonts w:ascii="Times New Roman" w:hAnsi="Times New Roman" w:cs="Times New Roman"/>
          <w:sz w:val="28"/>
          <w:szCs w:val="28"/>
        </w:rPr>
        <w:t xml:space="preserve">меньшаются </w:t>
      </w:r>
      <w:r w:rsidRPr="00692AE0">
        <w:rPr>
          <w:rFonts w:ascii="Times New Roman" w:hAnsi="Times New Roman" w:cs="Times New Roman"/>
          <w:sz w:val="28"/>
          <w:szCs w:val="28"/>
        </w:rPr>
        <w:t xml:space="preserve">на </w:t>
      </w:r>
      <w:r w:rsidR="000E6A17">
        <w:rPr>
          <w:rFonts w:ascii="Times New Roman" w:hAnsi="Times New Roman" w:cs="Times New Roman"/>
          <w:sz w:val="28"/>
          <w:szCs w:val="28"/>
        </w:rPr>
        <w:t>207,1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E6A17">
        <w:rPr>
          <w:rFonts w:ascii="Times New Roman" w:hAnsi="Times New Roman" w:cs="Times New Roman"/>
          <w:sz w:val="28"/>
          <w:szCs w:val="28"/>
        </w:rPr>
        <w:t>4,4</w:t>
      </w:r>
      <w:r w:rsidRPr="00692AE0">
        <w:rPr>
          <w:rFonts w:ascii="Times New Roman" w:hAnsi="Times New Roman" w:cs="Times New Roman"/>
          <w:sz w:val="28"/>
          <w:szCs w:val="28"/>
        </w:rPr>
        <w:t xml:space="preserve">  % к утвержденным назначениям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0E6A17">
        <w:rPr>
          <w:rFonts w:ascii="Times New Roman" w:hAnsi="Times New Roman" w:cs="Times New Roman"/>
          <w:bCs/>
          <w:sz w:val="28"/>
          <w:szCs w:val="28"/>
        </w:rPr>
        <w:t>4688,5 тыс. рублей и составят 4481,4 тыс. рублей.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692AE0">
        <w:rPr>
          <w:rFonts w:ascii="Times New Roman" w:hAnsi="Times New Roman" w:cs="Times New Roman"/>
          <w:sz w:val="28"/>
          <w:szCs w:val="28"/>
        </w:rPr>
        <w:t>величение бюджетных ассигнований предусмотрено  по разделу «</w:t>
      </w:r>
      <w:r w:rsidR="000E6A17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692AE0">
        <w:rPr>
          <w:rFonts w:ascii="Times New Roman" w:hAnsi="Times New Roman" w:cs="Times New Roman"/>
          <w:sz w:val="28"/>
          <w:szCs w:val="28"/>
        </w:rPr>
        <w:t>»</w:t>
      </w:r>
      <w:r w:rsidR="000E6A17">
        <w:rPr>
          <w:rFonts w:ascii="Times New Roman" w:hAnsi="Times New Roman" w:cs="Times New Roman"/>
          <w:sz w:val="28"/>
          <w:szCs w:val="28"/>
        </w:rPr>
        <w:t xml:space="preserve"> на 7,9 тыс. рублей</w:t>
      </w:r>
      <w:r w:rsidR="00286265">
        <w:rPr>
          <w:rFonts w:ascii="Times New Roman" w:hAnsi="Times New Roman" w:cs="Times New Roman"/>
          <w:sz w:val="28"/>
          <w:szCs w:val="28"/>
        </w:rPr>
        <w:t xml:space="preserve">, </w:t>
      </w:r>
      <w:r w:rsidR="000E6A17">
        <w:rPr>
          <w:rFonts w:ascii="Times New Roman" w:hAnsi="Times New Roman" w:cs="Times New Roman"/>
          <w:sz w:val="28"/>
          <w:szCs w:val="28"/>
        </w:rPr>
        <w:t>уменьшение бюджетных ассигнований производится по разделам «Общегосударственные вопросы» на 19,8 тыс. рублей, «Национальная экономика» на 52,3 тыс. рублей, «Жилищно-коммунальное хозяйство» на 86,9 тыс. рублей, «Социальная политика» на 44,3 тыс. рублей.</w:t>
      </w:r>
    </w:p>
    <w:p w:rsidR="00CE1322" w:rsidRPr="00692AE0" w:rsidRDefault="00E5253E" w:rsidP="00E5253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4. Дефицит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остается без изменений в сумме 56,8 тыс. рублей,</w:t>
      </w:r>
      <w:r w:rsidRPr="00692AE0">
        <w:rPr>
          <w:rFonts w:ascii="Times New Roman" w:hAnsi="Times New Roman" w:cs="Times New Roman"/>
          <w:sz w:val="28"/>
          <w:szCs w:val="28"/>
        </w:rPr>
        <w:t xml:space="preserve"> или </w:t>
      </w:r>
      <w:r w:rsidR="00286265">
        <w:rPr>
          <w:rFonts w:ascii="Times New Roman" w:hAnsi="Times New Roman" w:cs="Times New Roman"/>
          <w:sz w:val="28"/>
          <w:szCs w:val="28"/>
        </w:rPr>
        <w:t>5</w:t>
      </w:r>
      <w:r w:rsidR="000E6A17">
        <w:rPr>
          <w:rFonts w:ascii="Times New Roman" w:hAnsi="Times New Roman" w:cs="Times New Roman"/>
          <w:sz w:val="28"/>
          <w:szCs w:val="28"/>
        </w:rPr>
        <w:t>,7</w:t>
      </w:r>
      <w:r w:rsidRPr="00692AE0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на 01.01.2015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E5253E" w:rsidRDefault="00E5253E" w:rsidP="00E5253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442FE" w:rsidRPr="00692AE0" w:rsidRDefault="00A442FE" w:rsidP="00E5253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3E" w:rsidRPr="00534B83" w:rsidRDefault="00E5253E" w:rsidP="00E5253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2AE0">
        <w:rPr>
          <w:rFonts w:ascii="Times New Roman" w:hAnsi="Times New Roman" w:cs="Times New Roman"/>
          <w:sz w:val="28"/>
          <w:szCs w:val="28"/>
        </w:rPr>
        <w:t xml:space="preserve">. Ревизионная комиссия района предлагает принять проект решения  «О внесении изменений и дополнений в решение от 19.12.2014 г. №280» </w:t>
      </w:r>
      <w:r w:rsidRPr="00534B83">
        <w:rPr>
          <w:rFonts w:ascii="Times New Roman" w:hAnsi="Times New Roman" w:cs="Times New Roman"/>
          <w:sz w:val="28"/>
          <w:szCs w:val="28"/>
        </w:rPr>
        <w:t>с учетом устранения замечаний</w:t>
      </w:r>
      <w:r w:rsidR="00A442FE">
        <w:rPr>
          <w:rFonts w:ascii="Times New Roman" w:hAnsi="Times New Roman" w:cs="Times New Roman"/>
          <w:sz w:val="28"/>
          <w:szCs w:val="28"/>
        </w:rPr>
        <w:t xml:space="preserve">, </w:t>
      </w:r>
      <w:r w:rsidRPr="00534B83">
        <w:rPr>
          <w:rFonts w:ascii="Times New Roman" w:hAnsi="Times New Roman" w:cs="Times New Roman"/>
          <w:sz w:val="28"/>
          <w:szCs w:val="28"/>
        </w:rPr>
        <w:t xml:space="preserve"> отмеченных в тексте заключения.</w:t>
      </w:r>
    </w:p>
    <w:p w:rsidR="00E5253E" w:rsidRPr="00EB54A8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EB54A8" w:rsidRDefault="00E5253E" w:rsidP="00E52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51F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EB54A8">
        <w:rPr>
          <w:rFonts w:ascii="Times New Roman" w:hAnsi="Times New Roman" w:cs="Times New Roman"/>
          <w:sz w:val="28"/>
          <w:szCs w:val="28"/>
        </w:rPr>
        <w:tab/>
      </w:r>
    </w:p>
    <w:p w:rsidR="00E5253E" w:rsidRPr="00EB54A8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EB54A8">
        <w:rPr>
          <w:rFonts w:ascii="Times New Roman" w:hAnsi="Times New Roman" w:cs="Times New Roman"/>
          <w:sz w:val="28"/>
          <w:szCs w:val="28"/>
        </w:rPr>
        <w:tab/>
      </w:r>
    </w:p>
    <w:p w:rsidR="00E5253E" w:rsidRPr="00850728" w:rsidRDefault="00E5253E" w:rsidP="00735F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A568CB" w:rsidRDefault="00A568CB"/>
    <w:sectPr w:rsidR="00A568CB" w:rsidSect="00011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E6" w:rsidRDefault="005F2CE6" w:rsidP="0043599D">
      <w:pPr>
        <w:spacing w:after="0" w:line="240" w:lineRule="auto"/>
      </w:pPr>
      <w:r>
        <w:separator/>
      </w:r>
    </w:p>
  </w:endnote>
  <w:endnote w:type="continuationSeparator" w:id="0">
    <w:p w:rsidR="005F2CE6" w:rsidRDefault="005F2CE6" w:rsidP="0043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E6" w:rsidRDefault="005F2CE6" w:rsidP="0043599D">
      <w:pPr>
        <w:spacing w:after="0" w:line="240" w:lineRule="auto"/>
      </w:pPr>
      <w:r>
        <w:separator/>
      </w:r>
    </w:p>
  </w:footnote>
  <w:footnote w:type="continuationSeparator" w:id="0">
    <w:p w:rsidR="005F2CE6" w:rsidRDefault="005F2CE6" w:rsidP="0043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6784"/>
    </w:sdtPr>
    <w:sdtEndPr/>
    <w:sdtContent>
      <w:p w:rsidR="000113FC" w:rsidRDefault="00A36D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3FC" w:rsidRDefault="000113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3E"/>
    <w:rsid w:val="000113FC"/>
    <w:rsid w:val="000B3814"/>
    <w:rsid w:val="000E0CFE"/>
    <w:rsid w:val="000E6A17"/>
    <w:rsid w:val="00163288"/>
    <w:rsid w:val="00230E09"/>
    <w:rsid w:val="00286265"/>
    <w:rsid w:val="002D1C91"/>
    <w:rsid w:val="003C651F"/>
    <w:rsid w:val="0043599D"/>
    <w:rsid w:val="005A0213"/>
    <w:rsid w:val="005B7F2B"/>
    <w:rsid w:val="005C45AC"/>
    <w:rsid w:val="005D2AEA"/>
    <w:rsid w:val="005F2CE6"/>
    <w:rsid w:val="006401A1"/>
    <w:rsid w:val="006C34CA"/>
    <w:rsid w:val="00733478"/>
    <w:rsid w:val="00735FE9"/>
    <w:rsid w:val="00777B2D"/>
    <w:rsid w:val="00796FB8"/>
    <w:rsid w:val="007D0BC8"/>
    <w:rsid w:val="008528AC"/>
    <w:rsid w:val="00881FF9"/>
    <w:rsid w:val="008F4246"/>
    <w:rsid w:val="008F78E1"/>
    <w:rsid w:val="00943CEB"/>
    <w:rsid w:val="0094786D"/>
    <w:rsid w:val="00987B47"/>
    <w:rsid w:val="00A36DAD"/>
    <w:rsid w:val="00A44247"/>
    <w:rsid w:val="00A442FE"/>
    <w:rsid w:val="00A568CB"/>
    <w:rsid w:val="00A7752B"/>
    <w:rsid w:val="00A81842"/>
    <w:rsid w:val="00A85783"/>
    <w:rsid w:val="00B96D74"/>
    <w:rsid w:val="00C04D2A"/>
    <w:rsid w:val="00C1218A"/>
    <w:rsid w:val="00C322DA"/>
    <w:rsid w:val="00C368F6"/>
    <w:rsid w:val="00CA7C4B"/>
    <w:rsid w:val="00CE1322"/>
    <w:rsid w:val="00D20C7F"/>
    <w:rsid w:val="00D51A40"/>
    <w:rsid w:val="00DB647C"/>
    <w:rsid w:val="00DD4881"/>
    <w:rsid w:val="00E5253E"/>
    <w:rsid w:val="00EC681C"/>
    <w:rsid w:val="00F31609"/>
    <w:rsid w:val="00F82468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53E"/>
    <w:pPr>
      <w:keepNext/>
      <w:widowControl w:val="0"/>
      <w:spacing w:after="0" w:line="240" w:lineRule="auto"/>
      <w:ind w:left="709"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E525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3E"/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5253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5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E525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53E"/>
  </w:style>
  <w:style w:type="paragraph" w:styleId="a5">
    <w:name w:val="footer"/>
    <w:basedOn w:val="a"/>
    <w:link w:val="a6"/>
    <w:uiPriority w:val="99"/>
    <w:semiHidden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53E"/>
  </w:style>
  <w:style w:type="paragraph" w:customStyle="1" w:styleId="ConsPlusNonformat">
    <w:name w:val="ConsPlusNonformat Знак"/>
    <w:rsid w:val="00E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E5253E"/>
    <w:pPr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E5253E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E5253E"/>
    <w:pPr>
      <w:spacing w:after="0" w:line="240" w:lineRule="auto"/>
      <w:ind w:left="720" w:hanging="709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53E"/>
    <w:pPr>
      <w:keepNext/>
      <w:widowControl w:val="0"/>
      <w:spacing w:after="0" w:line="240" w:lineRule="auto"/>
      <w:ind w:left="709"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E525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3E"/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5253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5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E525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53E"/>
  </w:style>
  <w:style w:type="paragraph" w:styleId="a5">
    <w:name w:val="footer"/>
    <w:basedOn w:val="a"/>
    <w:link w:val="a6"/>
    <w:uiPriority w:val="99"/>
    <w:semiHidden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53E"/>
  </w:style>
  <w:style w:type="paragraph" w:customStyle="1" w:styleId="ConsPlusNonformat">
    <w:name w:val="ConsPlusNonformat Знак"/>
    <w:rsid w:val="00E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E5253E"/>
    <w:pPr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E5253E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E5253E"/>
    <w:pPr>
      <w:spacing w:after="0" w:line="240" w:lineRule="auto"/>
      <w:ind w:left="720" w:hanging="709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2015-12-25T11:22:00Z</cp:lastPrinted>
  <dcterms:created xsi:type="dcterms:W3CDTF">2023-06-28T10:54:00Z</dcterms:created>
  <dcterms:modified xsi:type="dcterms:W3CDTF">2023-06-28T10:54:00Z</dcterms:modified>
</cp:coreProperties>
</file>