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9D" w:rsidRDefault="004871B9">
      <w:pPr>
        <w:pStyle w:val="60"/>
        <w:framePr w:w="9970" w:h="14491" w:hRule="exact" w:wrap="none" w:vAnchor="page" w:hAnchor="page" w:x="1110" w:y="1173"/>
        <w:shd w:val="clear" w:color="auto" w:fill="auto"/>
        <w:ind w:left="20" w:firstLine="0"/>
      </w:pPr>
      <w:r>
        <w:t>Пояснительная записка</w:t>
      </w:r>
    </w:p>
    <w:p w:rsidR="000B599D" w:rsidRDefault="004871B9">
      <w:pPr>
        <w:pStyle w:val="60"/>
        <w:framePr w:w="9970" w:h="14491" w:hRule="exact" w:wrap="none" w:vAnchor="page" w:hAnchor="page" w:x="1110" w:y="1173"/>
        <w:shd w:val="clear" w:color="auto" w:fill="auto"/>
        <w:ind w:left="2200"/>
        <w:jc w:val="left"/>
      </w:pPr>
      <w:r>
        <w:t>о достигнутых значениях показателей для оценки эффективности</w:t>
      </w:r>
    </w:p>
    <w:p w:rsidR="000B599D" w:rsidRDefault="004871B9">
      <w:pPr>
        <w:pStyle w:val="60"/>
        <w:framePr w:w="9970" w:h="14491" w:hRule="exact" w:wrap="none" w:vAnchor="page" w:hAnchor="page" w:x="1110" w:y="1173"/>
        <w:shd w:val="clear" w:color="auto" w:fill="auto"/>
        <w:spacing w:after="273"/>
        <w:ind w:left="2200" w:right="840"/>
        <w:jc w:val="left"/>
      </w:pPr>
      <w:r>
        <w:t>деятельности органов местного самоуправления за 2022 год и их планируемых значениях на 3-летний период в Междуреченском муниципальном округе</w:t>
      </w:r>
    </w:p>
    <w:p w:rsidR="000B599D" w:rsidRDefault="004871B9">
      <w:pPr>
        <w:pStyle w:val="60"/>
        <w:framePr w:w="9970" w:h="14491" w:hRule="exact" w:wrap="none" w:vAnchor="page" w:hAnchor="page" w:x="1110" w:y="1173"/>
        <w:shd w:val="clear" w:color="auto" w:fill="auto"/>
        <w:spacing w:line="280" w:lineRule="exact"/>
        <w:ind w:left="360" w:firstLine="0"/>
      </w:pPr>
      <w:r>
        <w:t>I. Экономическое развитие</w:t>
      </w:r>
    </w:p>
    <w:p w:rsidR="000B599D" w:rsidRDefault="004871B9">
      <w:pPr>
        <w:pStyle w:val="30"/>
        <w:framePr w:w="9970" w:h="14491" w:hRule="exact" w:wrap="none" w:vAnchor="page" w:hAnchor="page" w:x="1110" w:y="1173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0" w:line="240" w:lineRule="exact"/>
        <w:jc w:val="both"/>
      </w:pPr>
      <w:r>
        <w:t>Число</w:t>
      </w:r>
      <w:r w:rsidR="00192A48">
        <w:t xml:space="preserve"> субъектов малого и  </w:t>
      </w:r>
      <w:r>
        <w:t>среднего предпринимательства на 10000 человек населения.</w:t>
      </w:r>
    </w:p>
    <w:p w:rsidR="000B599D" w:rsidRDefault="004871B9">
      <w:pPr>
        <w:pStyle w:val="70"/>
        <w:framePr w:w="9970" w:h="14491" w:hRule="exact" w:wrap="none" w:vAnchor="page" w:hAnchor="page" w:x="1110" w:y="1173"/>
        <w:shd w:val="clear" w:color="auto" w:fill="auto"/>
        <w:spacing w:before="0"/>
      </w:pPr>
      <w:r>
        <w:t>На 10 января 2023 года согласно зарегистрировано в Едином реестре субъектов МСП на территории Междуреченского муниципального округа 92 субъекта малого бизнеса, в том числе 29 малы</w:t>
      </w:r>
      <w:proofErr w:type="gramStart"/>
      <w:r>
        <w:t>х(</w:t>
      </w:r>
      <w:proofErr w:type="gramEnd"/>
      <w:r>
        <w:t xml:space="preserve">микро) предприятий и 63 ИП. В расчет за 2022 год включена также численность </w:t>
      </w:r>
      <w:proofErr w:type="spellStart"/>
      <w:r>
        <w:t>самозанятых</w:t>
      </w:r>
      <w:proofErr w:type="spellEnd"/>
      <w:r>
        <w:t xml:space="preserve"> граждан в количестве 115 человек. Рост показателя по сравнению с 2021 годом на 42 ед. Рост за счет увеличения количества </w:t>
      </w:r>
      <w:proofErr w:type="spellStart"/>
      <w:r>
        <w:t>самозанятых</w:t>
      </w:r>
      <w:proofErr w:type="spellEnd"/>
      <w:r>
        <w:t>.</w:t>
      </w:r>
    </w:p>
    <w:p w:rsidR="000B599D" w:rsidRDefault="004871B9">
      <w:pPr>
        <w:pStyle w:val="70"/>
        <w:framePr w:w="9970" w:h="14491" w:hRule="exact" w:wrap="none" w:vAnchor="page" w:hAnchor="page" w:x="1110" w:y="1173"/>
        <w:shd w:val="clear" w:color="auto" w:fill="auto"/>
        <w:spacing w:before="0" w:after="240" w:line="278" w:lineRule="exact"/>
      </w:pPr>
      <w:r>
        <w:t xml:space="preserve">Число субъектов малого и </w:t>
      </w:r>
      <w:r>
        <w:t xml:space="preserve">среднего предпринимательства на 10000 человек населения по итогам 2022 года составило 418,18 единиц, что на 95,91 ед. выше показателя 2021 года. Рост показателя за счет увеличения количества </w:t>
      </w:r>
      <w:proofErr w:type="spellStart"/>
      <w:r>
        <w:t>самозанятых</w:t>
      </w:r>
      <w:proofErr w:type="spellEnd"/>
      <w:r>
        <w:t xml:space="preserve"> по сравнению с 2021 годом.</w:t>
      </w:r>
    </w:p>
    <w:p w:rsidR="000B599D" w:rsidRDefault="004871B9">
      <w:pPr>
        <w:pStyle w:val="30"/>
        <w:framePr w:w="9970" w:h="14491" w:hRule="exact" w:wrap="none" w:vAnchor="page" w:hAnchor="page" w:x="1110" w:y="1173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 w:line="278" w:lineRule="exact"/>
        <w:jc w:val="both"/>
      </w:pPr>
      <w:r>
        <w:t>Доля среднесписочной числе</w:t>
      </w:r>
      <w:r>
        <w:t>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</w:r>
    </w:p>
    <w:p w:rsidR="000B599D" w:rsidRDefault="004871B9">
      <w:pPr>
        <w:pStyle w:val="70"/>
        <w:framePr w:w="9970" w:h="14491" w:hRule="exact" w:wrap="none" w:vAnchor="page" w:hAnchor="page" w:x="1110" w:y="1173"/>
        <w:shd w:val="clear" w:color="auto" w:fill="auto"/>
        <w:spacing w:before="0" w:after="267"/>
      </w:pPr>
      <w:proofErr w:type="gramStart"/>
      <w:r>
        <w:t>В среднесписочную численность включена численность работающих в организациях, ИП,</w:t>
      </w:r>
      <w:r>
        <w:t xml:space="preserve"> наемные работники у ИП и </w:t>
      </w:r>
      <w:proofErr w:type="spellStart"/>
      <w:r>
        <w:t>самозанятые</w:t>
      </w:r>
      <w:proofErr w:type="spellEnd"/>
      <w:r>
        <w:t xml:space="preserve"> граждане.</w:t>
      </w:r>
      <w:proofErr w:type="gramEnd"/>
      <w:r>
        <w:t xml:space="preserve"> Показатель 2022 года составил 34,06 %, что выше показателя 2021 года на 2,54 </w:t>
      </w:r>
      <w:proofErr w:type="spellStart"/>
      <w:r>
        <w:t>п.п</w:t>
      </w:r>
      <w:proofErr w:type="spellEnd"/>
      <w:r>
        <w:t xml:space="preserve">. Рост показателя за счет увеличения количества </w:t>
      </w:r>
      <w:proofErr w:type="spellStart"/>
      <w:r>
        <w:t>самозанятых</w:t>
      </w:r>
      <w:proofErr w:type="spellEnd"/>
      <w:r>
        <w:t>.</w:t>
      </w:r>
    </w:p>
    <w:p w:rsidR="000B599D" w:rsidRDefault="004871B9">
      <w:pPr>
        <w:pStyle w:val="30"/>
        <w:framePr w:w="9970" w:h="14491" w:hRule="exact" w:wrap="none" w:vAnchor="page" w:hAnchor="page" w:x="1110" w:y="1173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0" w:line="240" w:lineRule="exact"/>
        <w:jc w:val="both"/>
      </w:pPr>
      <w:r>
        <w:t>Объем инвестиций в основной капитал в расчете на одного жителя.</w:t>
      </w:r>
    </w:p>
    <w:p w:rsidR="000B599D" w:rsidRDefault="004871B9">
      <w:pPr>
        <w:pStyle w:val="70"/>
        <w:framePr w:w="9970" w:h="14491" w:hRule="exact" w:wrap="none" w:vAnchor="page" w:hAnchor="page" w:x="1110" w:y="1173"/>
        <w:shd w:val="clear" w:color="auto" w:fill="auto"/>
        <w:spacing w:before="0" w:after="236"/>
      </w:pPr>
      <w:r>
        <w:t>Объ</w:t>
      </w:r>
      <w:r>
        <w:t>ем инвестиций в основной капитал в расчете на одного жителя района по крупным и средним предприятиям в 2022 году составил 47272,80 руб. Снижение показателя в 2022 году связано со снижением объемов проведенных работ на магистральных газопроводах предприятия</w:t>
      </w:r>
      <w:r>
        <w:t>ми Газпром. В объем инвестиций на плановый период вошли объемы по предприятиям</w:t>
      </w:r>
      <w:proofErr w:type="gramStart"/>
      <w:r>
        <w:t xml:space="preserve"> ,</w:t>
      </w:r>
      <w:proofErr w:type="gramEnd"/>
      <w:r>
        <w:t xml:space="preserve"> реализующим инвестиционные проекты на территории округа: ООО "</w:t>
      </w:r>
      <w:proofErr w:type="spellStart"/>
      <w:r>
        <w:t>Холбит</w:t>
      </w:r>
      <w:proofErr w:type="spellEnd"/>
      <w:r>
        <w:t xml:space="preserve">", </w:t>
      </w:r>
      <w:proofErr w:type="spellStart"/>
      <w:r>
        <w:t>Племзавод</w:t>
      </w:r>
      <w:proofErr w:type="spellEnd"/>
      <w:r>
        <w:t xml:space="preserve">-колхоз имени 50-летия СССР, Племенной завод </w:t>
      </w:r>
      <w:proofErr w:type="gramStart"/>
      <w:r>
        <w:t>-к</w:t>
      </w:r>
      <w:proofErr w:type="gramEnd"/>
      <w:r>
        <w:t>олхоз "Аврора".</w:t>
      </w:r>
    </w:p>
    <w:p w:rsidR="000B599D" w:rsidRDefault="004871B9">
      <w:pPr>
        <w:pStyle w:val="30"/>
        <w:framePr w:w="9970" w:h="14491" w:hRule="exact" w:wrap="none" w:vAnchor="page" w:hAnchor="page" w:x="1110" w:y="1173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0" w:line="278" w:lineRule="exact"/>
      </w:pPr>
      <w:r>
        <w:t>Доля площади земельных участков,</w:t>
      </w:r>
      <w:r>
        <w:t xml:space="preserve"> являющихся объектами налогообложения земельным налогом, в общей площади территории.</w:t>
      </w:r>
    </w:p>
    <w:p w:rsidR="000B599D" w:rsidRDefault="004871B9">
      <w:pPr>
        <w:pStyle w:val="70"/>
        <w:framePr w:w="9970" w:h="14491" w:hRule="exact" w:wrap="none" w:vAnchor="page" w:hAnchor="page" w:x="1110" w:y="1173"/>
        <w:shd w:val="clear" w:color="auto" w:fill="auto"/>
        <w:spacing w:before="0"/>
      </w:pPr>
      <w:r>
        <w:t xml:space="preserve">Доля площади земельных участков, являющихся объектами налогообложения земельным налогом, в общей площади территории муниципального района в 2022 году составила 8,83 %. </w:t>
      </w:r>
      <w:r>
        <w:t>Площадь района составляет 362410 га, в том числе земли лесного фонда 217156 га или 60% площади района.</w:t>
      </w:r>
    </w:p>
    <w:p w:rsidR="000B599D" w:rsidRDefault="004871B9">
      <w:pPr>
        <w:pStyle w:val="70"/>
        <w:framePr w:w="9970" w:h="14491" w:hRule="exact" w:wrap="none" w:vAnchor="page" w:hAnchor="page" w:x="1110" w:y="1173"/>
        <w:shd w:val="clear" w:color="auto" w:fill="auto"/>
        <w:spacing w:before="0"/>
      </w:pPr>
      <w:r>
        <w:t>Показатель вырос в сравнении с 2021 годом на 0,07% или 253 га. Рост непосредственно площади являющейся, объектами налогообложения земельным налогом в сра</w:t>
      </w:r>
      <w:r>
        <w:t xml:space="preserve">внении с прошлыми периодами значительно ниже </w:t>
      </w:r>
      <w:r>
        <w:rPr>
          <w:rStyle w:val="71"/>
        </w:rPr>
        <w:t xml:space="preserve">- </w:t>
      </w:r>
      <w:r>
        <w:t>в основном из-за того что в 2022 году не регистрировались сельскими поселениями невостребованные земельные доли (основная масса долей были зарегистрированы в 2020-2021гг.).</w:t>
      </w:r>
    </w:p>
    <w:p w:rsidR="000B599D" w:rsidRDefault="004871B9">
      <w:pPr>
        <w:pStyle w:val="70"/>
        <w:framePr w:w="9970" w:h="14491" w:hRule="exact" w:wrap="none" w:vAnchor="page" w:hAnchor="page" w:x="1110" w:y="1173"/>
        <w:shd w:val="clear" w:color="auto" w:fill="auto"/>
        <w:spacing w:before="0"/>
      </w:pPr>
      <w:r>
        <w:t>В процентном отношении сам показател</w:t>
      </w:r>
      <w:r>
        <w:t xml:space="preserve">ь, и рост очень </w:t>
      </w:r>
      <w:proofErr w:type="gramStart"/>
      <w:r>
        <w:t>низкие</w:t>
      </w:r>
      <w:proofErr w:type="gramEnd"/>
      <w:r>
        <w:t xml:space="preserve">. Основной причиной этого, является то, что более 82,5 % территории района это леса, реки, болота (т.е. земли находящиеся в собственности РФ), соответственно остается чуть более 17 % площади, теоретически возможной для предоставления </w:t>
      </w:r>
      <w:r>
        <w:t xml:space="preserve">физическим и юридическим лицам. Кроме того, надо понимать, что в эту площадь включены земли общего пользования и земли запаса (составляют не 4%), которые не будут являться объектами налогообложения. </w:t>
      </w:r>
      <w:proofErr w:type="gramStart"/>
      <w:r>
        <w:t>Исходя из чего можно сделать</w:t>
      </w:r>
      <w:proofErr w:type="gramEnd"/>
      <w:r>
        <w:t xml:space="preserve"> вывод, что площадь земель яв</w:t>
      </w:r>
      <w:r>
        <w:t>ляющихся объектами налогообложения не</w:t>
      </w:r>
    </w:p>
    <w:p w:rsidR="000B599D" w:rsidRDefault="000B599D">
      <w:pPr>
        <w:rPr>
          <w:sz w:val="2"/>
          <w:szCs w:val="2"/>
        </w:rPr>
        <w:sectPr w:rsidR="000B59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B599D" w:rsidRDefault="004871B9">
      <w:pPr>
        <w:pStyle w:val="a5"/>
        <w:framePr w:wrap="none" w:vAnchor="page" w:hAnchor="page" w:x="6102" w:y="780"/>
        <w:shd w:val="clear" w:color="auto" w:fill="auto"/>
        <w:spacing w:line="240" w:lineRule="exact"/>
      </w:pPr>
      <w:r>
        <w:lastRenderedPageBreak/>
        <w:t>2</w:t>
      </w:r>
    </w:p>
    <w:p w:rsidR="000B599D" w:rsidRDefault="004871B9">
      <w:pPr>
        <w:pStyle w:val="220"/>
        <w:framePr w:w="9955" w:h="3389" w:hRule="exact" w:wrap="none" w:vAnchor="page" w:hAnchor="page" w:x="1215" w:y="1175"/>
        <w:shd w:val="clear" w:color="auto" w:fill="auto"/>
      </w:pPr>
      <w:bookmarkStart w:id="0" w:name="bookmark0"/>
      <w:r>
        <w:rPr>
          <w:rStyle w:val="221"/>
        </w:rPr>
        <w:t xml:space="preserve">превысит 13 %. </w:t>
      </w:r>
      <w:r>
        <w:t xml:space="preserve">5.Доля прибыльных сельскохозяйственных </w:t>
      </w:r>
      <w:proofErr w:type="gramStart"/>
      <w:r>
        <w:t>организаций</w:t>
      </w:r>
      <w:proofErr w:type="gramEnd"/>
      <w:r>
        <w:t xml:space="preserve"> в общем их числе.</w:t>
      </w:r>
      <w:bookmarkEnd w:id="0"/>
    </w:p>
    <w:p w:rsidR="000B599D" w:rsidRDefault="004871B9">
      <w:pPr>
        <w:pStyle w:val="70"/>
        <w:framePr w:w="9955" w:h="3389" w:hRule="exact" w:wrap="none" w:vAnchor="page" w:hAnchor="page" w:x="1215" w:y="1175"/>
        <w:shd w:val="clear" w:color="auto" w:fill="auto"/>
        <w:spacing w:before="0"/>
        <w:ind w:firstLine="720"/>
      </w:pPr>
      <w:r>
        <w:t>В 2022 году на территории района осуществляют деятельность одно сельскохозяйственное предприятие - ООО «</w:t>
      </w:r>
      <w:proofErr w:type="spellStart"/>
      <w:r>
        <w:t>Монза</w:t>
      </w:r>
      <w:proofErr w:type="spellEnd"/>
      <w:r>
        <w:t>»</w:t>
      </w:r>
      <w:r>
        <w:t xml:space="preserve">. Предприятие сработало с прибылью. Прибыль за 2022 год </w:t>
      </w:r>
      <w:proofErr w:type="gramStart"/>
      <w:r>
        <w:t>у ООО</w:t>
      </w:r>
      <w:proofErr w:type="gramEnd"/>
      <w:r>
        <w:t xml:space="preserve"> «</w:t>
      </w:r>
      <w:proofErr w:type="spellStart"/>
      <w:r>
        <w:t>Монза</w:t>
      </w:r>
      <w:proofErr w:type="spellEnd"/>
      <w:r>
        <w:t>» составила 35 175 тыс. руб.</w:t>
      </w:r>
    </w:p>
    <w:p w:rsidR="000B599D" w:rsidRDefault="004871B9">
      <w:pPr>
        <w:pStyle w:val="220"/>
        <w:framePr w:w="9955" w:h="3389" w:hRule="exact" w:wrap="none" w:vAnchor="page" w:hAnchor="page" w:x="1215" w:y="1175"/>
        <w:numPr>
          <w:ilvl w:val="0"/>
          <w:numId w:val="2"/>
        </w:numPr>
        <w:shd w:val="clear" w:color="auto" w:fill="auto"/>
        <w:tabs>
          <w:tab w:val="left" w:pos="298"/>
        </w:tabs>
      </w:pPr>
      <w:bookmarkStart w:id="1" w:name="bookmark1"/>
      <w:r>
        <w:t>Доля протяженности автомобильных дорог общего пользования местного значения, не отвечающих нормативным требованиям.</w:t>
      </w:r>
      <w:bookmarkEnd w:id="1"/>
    </w:p>
    <w:p w:rsidR="000B599D" w:rsidRDefault="004871B9">
      <w:pPr>
        <w:pStyle w:val="70"/>
        <w:framePr w:w="9955" w:h="3389" w:hRule="exact" w:wrap="none" w:vAnchor="page" w:hAnchor="page" w:x="1215" w:y="1175"/>
        <w:shd w:val="clear" w:color="auto" w:fill="auto"/>
        <w:spacing w:before="0"/>
        <w:ind w:firstLine="1440"/>
      </w:pPr>
      <w:proofErr w:type="gramStart"/>
      <w:r>
        <w:t>Показатель доли протяженности автомобильных</w:t>
      </w:r>
      <w:r>
        <w:t xml:space="preserve">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в 2022 году остался на уровне 2021 года </w:t>
      </w:r>
      <w:r>
        <w:rPr>
          <w:rStyle w:val="72"/>
        </w:rPr>
        <w:t xml:space="preserve">- </w:t>
      </w:r>
      <w:r>
        <w:t>95,80 %. Это обусловлено тем, что в 2022 году админ</w:t>
      </w:r>
      <w:r>
        <w:t>истрацией района не выполнялись работы по ремонту и содержанию автомобильных дорог местного значения.</w:t>
      </w:r>
      <w:proofErr w:type="gramEnd"/>
    </w:p>
    <w:p w:rsidR="000B599D" w:rsidRDefault="004871B9">
      <w:pPr>
        <w:pStyle w:val="30"/>
        <w:framePr w:w="9955" w:h="3643" w:hRule="exact" w:wrap="none" w:vAnchor="page" w:hAnchor="page" w:x="1215" w:y="5068"/>
        <w:numPr>
          <w:ilvl w:val="0"/>
          <w:numId w:val="2"/>
        </w:numPr>
        <w:shd w:val="clear" w:color="auto" w:fill="auto"/>
        <w:tabs>
          <w:tab w:val="left" w:pos="303"/>
        </w:tabs>
        <w:spacing w:before="0" w:after="0" w:line="274" w:lineRule="exact"/>
        <w:ind w:right="140"/>
        <w:jc w:val="both"/>
      </w:pPr>
      <w:r>
        <w:t>Доля населения, проживающего в населенных пунктах, не имеющих регулярного автобусного и (или) железнодорожного сообщения с административны</w:t>
      </w:r>
      <w:bookmarkStart w:id="2" w:name="_GoBack"/>
      <w:bookmarkEnd w:id="2"/>
      <w:r>
        <w:t xml:space="preserve">м центром </w:t>
      </w:r>
      <w:r>
        <w:t>городского округа (муниципального района), в общей численности населения городского округа (муниципального района).</w:t>
      </w:r>
    </w:p>
    <w:p w:rsidR="000B599D" w:rsidRDefault="004871B9">
      <w:pPr>
        <w:pStyle w:val="70"/>
        <w:framePr w:w="9955" w:h="3643" w:hRule="exact" w:wrap="none" w:vAnchor="page" w:hAnchor="page" w:x="1215" w:y="5068"/>
        <w:shd w:val="clear" w:color="auto" w:fill="auto"/>
        <w:spacing w:before="0"/>
        <w:ind w:right="140" w:firstLine="720"/>
      </w:pPr>
      <w:r>
        <w:t>В долю населения, проживающего в населенных пунктах, не имеющих регулярного автобусного и (или) железнодорожного сообщения с административны</w:t>
      </w:r>
      <w:r>
        <w:t xml:space="preserve">м центром городского округа (муниципального района), в общей численности населения городского округа (муниципального района) включено население, проживающее в населенных пунктах, расположенных на расстоянии более 3 км, от автомобильных дорог с автобусными </w:t>
      </w:r>
      <w:r>
        <w:t>маршрутами.</w:t>
      </w:r>
    </w:p>
    <w:p w:rsidR="000B599D" w:rsidRDefault="004871B9">
      <w:pPr>
        <w:pStyle w:val="70"/>
        <w:framePr w:w="9955" w:h="3643" w:hRule="exact" w:wrap="none" w:vAnchor="page" w:hAnchor="page" w:x="1215" w:y="5068"/>
        <w:shd w:val="clear" w:color="auto" w:fill="auto"/>
        <w:spacing w:before="0"/>
        <w:ind w:right="140" w:firstLine="720"/>
      </w:pPr>
      <w:r>
        <w:t>Показатель остался на уровне прошлого года - 3,28%. По состоянию на 01.01.2023 года численность населения проживающих в населенных пунктах, расположенных на расстоянии более 3 км от автомобильных дорог 168 чел.</w:t>
      </w:r>
    </w:p>
    <w:p w:rsidR="000B599D" w:rsidRDefault="004871B9">
      <w:pPr>
        <w:pStyle w:val="220"/>
        <w:framePr w:w="9955" w:h="6422" w:hRule="exact" w:wrap="none" w:vAnchor="page" w:hAnchor="page" w:x="1215" w:y="9216"/>
        <w:numPr>
          <w:ilvl w:val="0"/>
          <w:numId w:val="2"/>
        </w:numPr>
        <w:shd w:val="clear" w:color="auto" w:fill="auto"/>
        <w:tabs>
          <w:tab w:val="left" w:pos="298"/>
        </w:tabs>
      </w:pPr>
      <w:bookmarkStart w:id="3" w:name="bookmark2"/>
      <w:r>
        <w:t>Среднемесячная номинальная начисл</w:t>
      </w:r>
      <w:r>
        <w:t>енная заработная плата работников:</w:t>
      </w:r>
      <w:bookmarkEnd w:id="3"/>
    </w:p>
    <w:p w:rsidR="000B599D" w:rsidRDefault="004871B9">
      <w:pPr>
        <w:pStyle w:val="70"/>
        <w:framePr w:w="9955" w:h="6422" w:hRule="exact" w:wrap="none" w:vAnchor="page" w:hAnchor="page" w:x="1215" w:y="9216"/>
        <w:numPr>
          <w:ilvl w:val="1"/>
          <w:numId w:val="2"/>
        </w:numPr>
        <w:shd w:val="clear" w:color="auto" w:fill="auto"/>
        <w:tabs>
          <w:tab w:val="left" w:pos="476"/>
        </w:tabs>
        <w:spacing w:before="0"/>
        <w:ind w:firstLine="0"/>
      </w:pPr>
      <w:r>
        <w:rPr>
          <w:rStyle w:val="73"/>
        </w:rPr>
        <w:t xml:space="preserve">Крупных и средних предприятий и некоммерческих организаций </w:t>
      </w:r>
      <w:r>
        <w:t xml:space="preserve">сложилась в размере 38848,0 руб., что составляет 113,5 </w:t>
      </w:r>
      <w:r>
        <w:rPr>
          <w:rStyle w:val="7Georgia115pt"/>
          <w:b w:val="0"/>
          <w:bCs w:val="0"/>
        </w:rPr>
        <w:t>%</w:t>
      </w:r>
      <w:r>
        <w:t xml:space="preserve"> к уровню 2021 года.</w:t>
      </w:r>
    </w:p>
    <w:p w:rsidR="000B599D" w:rsidRDefault="004871B9">
      <w:pPr>
        <w:pStyle w:val="30"/>
        <w:framePr w:w="9955" w:h="6422" w:hRule="exact" w:wrap="none" w:vAnchor="page" w:hAnchor="page" w:x="1215" w:y="9216"/>
        <w:shd w:val="clear" w:color="auto" w:fill="auto"/>
        <w:spacing w:before="0" w:after="0" w:line="274" w:lineRule="exact"/>
        <w:ind w:firstLine="720"/>
        <w:jc w:val="both"/>
      </w:pPr>
      <w:r>
        <w:t xml:space="preserve">В целях реализации Указа Президента Российской Федерации от 7 мая 2012 года № 597 «О </w:t>
      </w:r>
      <w:r>
        <w:t>мероприятиях по реализации государственной социальной политики» заработная плата:</w:t>
      </w:r>
    </w:p>
    <w:p w:rsidR="000B599D" w:rsidRDefault="004871B9">
      <w:pPr>
        <w:pStyle w:val="220"/>
        <w:framePr w:w="9955" w:h="6422" w:hRule="exact" w:wrap="none" w:vAnchor="page" w:hAnchor="page" w:x="1215" w:y="9216"/>
        <w:numPr>
          <w:ilvl w:val="1"/>
          <w:numId w:val="2"/>
        </w:numPr>
        <w:shd w:val="clear" w:color="auto" w:fill="auto"/>
        <w:tabs>
          <w:tab w:val="left" w:pos="481"/>
        </w:tabs>
      </w:pPr>
      <w:bookmarkStart w:id="4" w:name="bookmark3"/>
      <w:r>
        <w:t>работников дошкольных учреждений в 2022 году составила 31874 руб., что выше показателя 2021 года на 20,5%.</w:t>
      </w:r>
      <w:bookmarkEnd w:id="4"/>
    </w:p>
    <w:p w:rsidR="000B599D" w:rsidRDefault="004871B9">
      <w:pPr>
        <w:pStyle w:val="30"/>
        <w:framePr w:w="9955" w:h="6422" w:hRule="exact" w:wrap="none" w:vAnchor="page" w:hAnchor="page" w:x="1215" w:y="9216"/>
        <w:numPr>
          <w:ilvl w:val="1"/>
          <w:numId w:val="2"/>
        </w:numPr>
        <w:shd w:val="clear" w:color="auto" w:fill="auto"/>
        <w:tabs>
          <w:tab w:val="left" w:pos="646"/>
        </w:tabs>
        <w:spacing w:before="0" w:after="0" w:line="274" w:lineRule="exact"/>
        <w:jc w:val="both"/>
      </w:pPr>
      <w:r>
        <w:t xml:space="preserve">«Среднемесячная номинальная начисленная заработная плата работников муниципальных общеобразовательных учреждений» </w:t>
      </w:r>
      <w:r>
        <w:rPr>
          <w:rStyle w:val="31"/>
        </w:rPr>
        <w:t>составила 38740 руб., что в</w:t>
      </w:r>
      <w:r>
        <w:rPr>
          <w:rStyle w:val="32"/>
        </w:rPr>
        <w:t>ыш</w:t>
      </w:r>
      <w:r>
        <w:rPr>
          <w:rStyle w:val="31"/>
        </w:rPr>
        <w:t>е по сравнению с 2021 годом на 13,3%.</w:t>
      </w:r>
    </w:p>
    <w:p w:rsidR="000B599D" w:rsidRDefault="004871B9">
      <w:pPr>
        <w:pStyle w:val="30"/>
        <w:framePr w:w="9955" w:h="6422" w:hRule="exact" w:wrap="none" w:vAnchor="page" w:hAnchor="page" w:x="1215" w:y="9216"/>
        <w:numPr>
          <w:ilvl w:val="1"/>
          <w:numId w:val="2"/>
        </w:numPr>
        <w:shd w:val="clear" w:color="auto" w:fill="auto"/>
        <w:tabs>
          <w:tab w:val="left" w:pos="646"/>
        </w:tabs>
        <w:spacing w:before="0" w:after="0" w:line="274" w:lineRule="exact"/>
        <w:jc w:val="both"/>
      </w:pPr>
      <w:r>
        <w:t xml:space="preserve">«Среднемесячная номинальная начисленная заработная плата учителей муниципальных общеобразовательных учреждений </w:t>
      </w:r>
      <w:r>
        <w:rPr>
          <w:rStyle w:val="31"/>
        </w:rPr>
        <w:t>составила 51045,20 руб., что по сравнению с 2021 годом в</w:t>
      </w:r>
      <w:r>
        <w:rPr>
          <w:rStyle w:val="32"/>
        </w:rPr>
        <w:t>ыш</w:t>
      </w:r>
      <w:r>
        <w:rPr>
          <w:rStyle w:val="31"/>
        </w:rPr>
        <w:t>е на 22 %.</w:t>
      </w:r>
    </w:p>
    <w:p w:rsidR="000B599D" w:rsidRDefault="004871B9">
      <w:pPr>
        <w:pStyle w:val="70"/>
        <w:framePr w:w="9955" w:h="6422" w:hRule="exact" w:wrap="none" w:vAnchor="page" w:hAnchor="page" w:x="1215" w:y="9216"/>
        <w:numPr>
          <w:ilvl w:val="1"/>
          <w:numId w:val="2"/>
        </w:numPr>
        <w:shd w:val="clear" w:color="auto" w:fill="auto"/>
        <w:tabs>
          <w:tab w:val="left" w:pos="481"/>
        </w:tabs>
        <w:spacing w:before="0"/>
        <w:ind w:firstLine="0"/>
      </w:pPr>
      <w:proofErr w:type="gramStart"/>
      <w:r>
        <w:rPr>
          <w:rStyle w:val="73"/>
        </w:rPr>
        <w:t>Муниципальных</w:t>
      </w:r>
      <w:proofErr w:type="gramEnd"/>
      <w:r>
        <w:rPr>
          <w:rStyle w:val="73"/>
        </w:rPr>
        <w:t xml:space="preserve"> </w:t>
      </w:r>
      <w:proofErr w:type="spellStart"/>
      <w:r>
        <w:rPr>
          <w:rStyle w:val="73"/>
        </w:rPr>
        <w:t>учреяедений</w:t>
      </w:r>
      <w:proofErr w:type="spellEnd"/>
      <w:r>
        <w:rPr>
          <w:rStyle w:val="73"/>
        </w:rPr>
        <w:t xml:space="preserve"> культуры и искусства </w:t>
      </w:r>
      <w:r>
        <w:t>составила за 2022 год 47859 р</w:t>
      </w:r>
      <w:r>
        <w:t>уб., что составило 119 % к уровню 2021 года.</w:t>
      </w:r>
    </w:p>
    <w:p w:rsidR="000B599D" w:rsidRDefault="004871B9">
      <w:pPr>
        <w:pStyle w:val="70"/>
        <w:framePr w:w="9955" w:h="6422" w:hRule="exact" w:wrap="none" w:vAnchor="page" w:hAnchor="page" w:x="1215" w:y="9216"/>
        <w:numPr>
          <w:ilvl w:val="1"/>
          <w:numId w:val="2"/>
        </w:numPr>
        <w:shd w:val="clear" w:color="auto" w:fill="auto"/>
        <w:tabs>
          <w:tab w:val="left" w:pos="471"/>
        </w:tabs>
        <w:spacing w:before="0" w:after="240"/>
        <w:ind w:firstLine="0"/>
      </w:pPr>
      <w:r>
        <w:rPr>
          <w:rStyle w:val="73"/>
        </w:rPr>
        <w:t xml:space="preserve">Муниципальных учреждений физической культуры и спорта </w:t>
      </w:r>
      <w:r>
        <w:t>составила 29803 руб., рост к уровню 2021 года составил 125,6%.</w:t>
      </w:r>
    </w:p>
    <w:p w:rsidR="000B599D" w:rsidRDefault="004871B9">
      <w:pPr>
        <w:pStyle w:val="220"/>
        <w:framePr w:w="9955" w:h="6422" w:hRule="exact" w:wrap="none" w:vAnchor="page" w:hAnchor="page" w:x="1215" w:y="9216"/>
        <w:shd w:val="clear" w:color="auto" w:fill="auto"/>
        <w:ind w:firstLine="720"/>
      </w:pPr>
      <w:bookmarkStart w:id="5" w:name="bookmark4"/>
      <w:r>
        <w:t>II. Дошкольное образование</w:t>
      </w:r>
      <w:bookmarkEnd w:id="5"/>
    </w:p>
    <w:p w:rsidR="000B599D" w:rsidRDefault="004871B9">
      <w:pPr>
        <w:pStyle w:val="30"/>
        <w:framePr w:w="9955" w:h="6422" w:hRule="exact" w:wrap="none" w:vAnchor="page" w:hAnchor="page" w:x="1215" w:y="9216"/>
        <w:shd w:val="clear" w:color="auto" w:fill="auto"/>
        <w:spacing w:before="0" w:after="0" w:line="274" w:lineRule="exact"/>
        <w:ind w:firstLine="720"/>
        <w:jc w:val="both"/>
      </w:pPr>
      <w:r>
        <w:t xml:space="preserve">Показатель № 9 «Доля детей в возрасте 1-6 лет, получающих </w:t>
      </w:r>
      <w:proofErr w:type="gramStart"/>
      <w:r>
        <w:t>дошкольную</w:t>
      </w:r>
      <w:proofErr w:type="gramEnd"/>
    </w:p>
    <w:p w:rsidR="000B599D" w:rsidRDefault="004871B9">
      <w:pPr>
        <w:pStyle w:val="70"/>
        <w:framePr w:w="9955" w:h="6422" w:hRule="exact" w:wrap="none" w:vAnchor="page" w:hAnchor="page" w:x="1215" w:y="9216"/>
        <w:shd w:val="clear" w:color="auto" w:fill="auto"/>
        <w:spacing w:before="0"/>
        <w:ind w:firstLine="0"/>
      </w:pPr>
      <w:r>
        <w:t>образовательную услугу и (или) услугу по их содержанию в муниципальных образовательных учреждениях в общей численности детей в возрасте 1-6 лет» (процентов).</w:t>
      </w:r>
    </w:p>
    <w:p w:rsidR="000B599D" w:rsidRDefault="000B599D">
      <w:pPr>
        <w:rPr>
          <w:sz w:val="2"/>
          <w:szCs w:val="2"/>
        </w:rPr>
        <w:sectPr w:rsidR="000B59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B599D" w:rsidRDefault="004871B9">
      <w:pPr>
        <w:pStyle w:val="a5"/>
        <w:framePr w:wrap="none" w:vAnchor="page" w:hAnchor="page" w:x="6189" w:y="760"/>
        <w:shd w:val="clear" w:color="auto" w:fill="auto"/>
        <w:spacing w:line="240" w:lineRule="exact"/>
      </w:pPr>
      <w:r>
        <w:t>3</w:t>
      </w:r>
    </w:p>
    <w:p w:rsidR="000B599D" w:rsidRDefault="004871B9">
      <w:pPr>
        <w:pStyle w:val="70"/>
        <w:framePr w:w="9994" w:h="14743" w:hRule="exact" w:wrap="none" w:vAnchor="page" w:hAnchor="page" w:x="1298" w:y="1155"/>
        <w:shd w:val="clear" w:color="auto" w:fill="auto"/>
        <w:spacing w:before="0"/>
        <w:ind w:firstLine="740"/>
      </w:pPr>
      <w:r>
        <w:t>Охват детей дошкольным образованием в 2022 году составил 54,3 %</w:t>
      </w:r>
      <w:r>
        <w:t>, что на 7,6 % выше 2021 года. Повышение охвата детей связано с увеличением доли детей от 1,5 до 3 лет, посещающих дошкольные организации.</w:t>
      </w:r>
    </w:p>
    <w:p w:rsidR="000B599D" w:rsidRDefault="004871B9">
      <w:pPr>
        <w:pStyle w:val="30"/>
        <w:framePr w:w="9994" w:h="14743" w:hRule="exact" w:wrap="none" w:vAnchor="page" w:hAnchor="page" w:x="1298" w:y="1155"/>
        <w:shd w:val="clear" w:color="auto" w:fill="auto"/>
        <w:spacing w:before="0" w:after="0" w:line="274" w:lineRule="exact"/>
        <w:ind w:firstLine="740"/>
        <w:jc w:val="both"/>
      </w:pPr>
      <w:r>
        <w:t>Показатель № 10 «Доля детей в возрасте 1-6 лет, стоящих на учете для определения в муниципальные дошкольные образоват</w:t>
      </w:r>
      <w:r>
        <w:t>ельные учреждения, в общей численности детей в возрасте 1-6 лет» (процентов).</w:t>
      </w:r>
    </w:p>
    <w:p w:rsidR="000B599D" w:rsidRDefault="004871B9">
      <w:pPr>
        <w:pStyle w:val="70"/>
        <w:framePr w:w="9994" w:h="14743" w:hRule="exact" w:wrap="none" w:vAnchor="page" w:hAnchor="page" w:x="1298" w:y="1155"/>
        <w:shd w:val="clear" w:color="auto" w:fill="auto"/>
        <w:spacing w:before="0"/>
        <w:ind w:firstLine="740"/>
      </w:pPr>
      <w:r>
        <w:t>В 2022году 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 сни</w:t>
      </w:r>
      <w:r>
        <w:t xml:space="preserve">зилась и составила 2,63 %, так как уменьшилось количество заявлений от родителей детей в возрасте от 1 до 1.5 лет. </w:t>
      </w:r>
      <w:r>
        <w:rPr>
          <w:rStyle w:val="73"/>
        </w:rPr>
        <w:t>Показатель № 11 «Доля муниципальных дошкольных образовательных учреждений, здания которых находятся в аварийном состоянии или требуют капитал</w:t>
      </w:r>
      <w:r>
        <w:rPr>
          <w:rStyle w:val="73"/>
        </w:rPr>
        <w:t>ьного ремонта в общем числе муниципальных дошкольных образовательных учреждений» (процентов).</w:t>
      </w:r>
    </w:p>
    <w:p w:rsidR="000B599D" w:rsidRDefault="004871B9">
      <w:pPr>
        <w:pStyle w:val="70"/>
        <w:framePr w:w="9994" w:h="14743" w:hRule="exact" w:wrap="none" w:vAnchor="page" w:hAnchor="page" w:x="1298" w:y="1155"/>
        <w:shd w:val="clear" w:color="auto" w:fill="auto"/>
        <w:spacing w:before="0" w:after="240"/>
        <w:ind w:firstLine="740"/>
      </w:pPr>
      <w:r>
        <w:t>В 2022 году в районе отсутствовали дошкольные учреждения, требующие капитального ремонта или находящиеся в аварийном состоянии.</w:t>
      </w:r>
    </w:p>
    <w:p w:rsidR="000B599D" w:rsidRDefault="004871B9">
      <w:pPr>
        <w:pStyle w:val="220"/>
        <w:framePr w:w="9994" w:h="14743" w:hRule="exact" w:wrap="none" w:vAnchor="page" w:hAnchor="page" w:x="1298" w:y="1155"/>
        <w:shd w:val="clear" w:color="auto" w:fill="auto"/>
        <w:ind w:firstLine="740"/>
      </w:pPr>
      <w:bookmarkStart w:id="6" w:name="bookmark5"/>
      <w:proofErr w:type="spellStart"/>
      <w:r>
        <w:t>Ш.Общее</w:t>
      </w:r>
      <w:proofErr w:type="spellEnd"/>
      <w:r>
        <w:t xml:space="preserve"> и дополнительное </w:t>
      </w:r>
      <w:r>
        <w:t>образование</w:t>
      </w:r>
      <w:bookmarkEnd w:id="6"/>
    </w:p>
    <w:p w:rsidR="000B599D" w:rsidRDefault="004871B9">
      <w:pPr>
        <w:pStyle w:val="30"/>
        <w:framePr w:w="9994" w:h="14743" w:hRule="exact" w:wrap="none" w:vAnchor="page" w:hAnchor="page" w:x="1298" w:y="1155"/>
        <w:shd w:val="clear" w:color="auto" w:fill="auto"/>
        <w:spacing w:before="0" w:after="0" w:line="274" w:lineRule="exact"/>
        <w:ind w:firstLine="740"/>
        <w:jc w:val="both"/>
      </w:pPr>
      <w:r>
        <w:t xml:space="preserve">Показатель №13 «Доля выпускников муниципальных общеобразовательных </w:t>
      </w:r>
      <w:proofErr w:type="spellStart"/>
      <w:r>
        <w:t>учремедений</w:t>
      </w:r>
      <w:proofErr w:type="spellEnd"/>
      <w:r>
        <w:t>, не получивших аттестат о среднем (полном) образовании, в общей численности выпускников муниципальных общеобразовательных учреждений» (процентов).</w:t>
      </w:r>
    </w:p>
    <w:p w:rsidR="000B599D" w:rsidRDefault="004871B9">
      <w:pPr>
        <w:pStyle w:val="70"/>
        <w:framePr w:w="9994" w:h="14743" w:hRule="exact" w:wrap="none" w:vAnchor="page" w:hAnchor="page" w:x="1298" w:y="1155"/>
        <w:shd w:val="clear" w:color="auto" w:fill="auto"/>
        <w:spacing w:before="0"/>
        <w:ind w:firstLine="740"/>
      </w:pPr>
      <w:r>
        <w:t>В 2022 году все об</w:t>
      </w:r>
      <w:r>
        <w:t>учающиеся успешно сдали ЕГЭ.</w:t>
      </w:r>
    </w:p>
    <w:p w:rsidR="000B599D" w:rsidRDefault="004871B9">
      <w:pPr>
        <w:pStyle w:val="30"/>
        <w:framePr w:w="9994" w:h="14743" w:hRule="exact" w:wrap="none" w:vAnchor="page" w:hAnchor="page" w:x="1298" w:y="1155"/>
        <w:shd w:val="clear" w:color="auto" w:fill="auto"/>
        <w:spacing w:before="0" w:after="0" w:line="274" w:lineRule="exact"/>
        <w:ind w:firstLine="740"/>
        <w:jc w:val="both"/>
      </w:pPr>
      <w:r>
        <w:t>Показатель №14 «Доля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учреждений» (процентов).</w:t>
      </w:r>
    </w:p>
    <w:p w:rsidR="000B599D" w:rsidRDefault="004871B9">
      <w:pPr>
        <w:pStyle w:val="70"/>
        <w:framePr w:w="9994" w:h="14743" w:hRule="exact" w:wrap="none" w:vAnchor="page" w:hAnchor="page" w:x="1298" w:y="1155"/>
        <w:shd w:val="clear" w:color="auto" w:fill="auto"/>
        <w:spacing w:before="0"/>
        <w:ind w:firstLine="740"/>
      </w:pPr>
      <w:r>
        <w:t xml:space="preserve">Общеобразовательные организации </w:t>
      </w:r>
      <w:r>
        <w:t xml:space="preserve">на 81 % соответствуют современным требованиям обучения. Все средние школы имеют актовый зал, все школы - физкультурный зал и библиотеку, столовую, а также доступ к сети Интернет, собственный сайт в сети Интернет. Каждая школа оборудована видеонаблюдением, </w:t>
      </w:r>
      <w:r>
        <w:t>пожарной сигнализацией. В одной средней школе и двух основных созданы условия для беспрепятственного доступа детей-инвалидов. Все школы имеют все виды благоустройства.</w:t>
      </w:r>
    </w:p>
    <w:p w:rsidR="000B599D" w:rsidRDefault="004871B9">
      <w:pPr>
        <w:pStyle w:val="30"/>
        <w:framePr w:w="9994" w:h="14743" w:hRule="exact" w:wrap="none" w:vAnchor="page" w:hAnchor="page" w:x="1298" w:y="1155"/>
        <w:shd w:val="clear" w:color="auto" w:fill="auto"/>
        <w:spacing w:before="0" w:after="0" w:line="274" w:lineRule="exact"/>
        <w:ind w:firstLine="740"/>
        <w:jc w:val="both"/>
      </w:pPr>
      <w:r>
        <w:t xml:space="preserve">Показатель №15 «Доля муниципальных общеобразовательных </w:t>
      </w:r>
      <w:proofErr w:type="spellStart"/>
      <w:r>
        <w:t>учреяедений</w:t>
      </w:r>
      <w:proofErr w:type="spellEnd"/>
      <w:r>
        <w:t xml:space="preserve">, </w:t>
      </w:r>
      <w:proofErr w:type="gramStart"/>
      <w:r>
        <w:t>здания</w:t>
      </w:r>
      <w:proofErr w:type="gramEnd"/>
      <w:r>
        <w:t xml:space="preserve"> которых наход</w:t>
      </w:r>
      <w:r>
        <w:t>ятся в аварийном состоянии или требуют капитального ремонта, в общем количестве муниципальных общеобразовательных учреждений» (процентов).</w:t>
      </w:r>
    </w:p>
    <w:p w:rsidR="000B599D" w:rsidRDefault="004871B9">
      <w:pPr>
        <w:pStyle w:val="70"/>
        <w:framePr w:w="9994" w:h="14743" w:hRule="exact" w:wrap="none" w:vAnchor="page" w:hAnchor="page" w:x="1298" w:y="1155"/>
        <w:shd w:val="clear" w:color="auto" w:fill="auto"/>
        <w:spacing w:before="0"/>
        <w:ind w:firstLine="740"/>
      </w:pPr>
      <w:r>
        <w:t>В 2021 году требует проведения капитального ремонта 1 школа.</w:t>
      </w:r>
    </w:p>
    <w:p w:rsidR="000B599D" w:rsidRDefault="004871B9">
      <w:pPr>
        <w:pStyle w:val="30"/>
        <w:framePr w:w="9994" w:h="14743" w:hRule="exact" w:wrap="none" w:vAnchor="page" w:hAnchor="page" w:x="1298" w:y="1155"/>
        <w:shd w:val="clear" w:color="auto" w:fill="auto"/>
        <w:spacing w:before="0" w:after="0" w:line="274" w:lineRule="exact"/>
        <w:ind w:firstLine="740"/>
        <w:jc w:val="both"/>
      </w:pPr>
      <w:r>
        <w:t>Показатель №17 «Доля обучающихся в муниципальных общеобр</w:t>
      </w:r>
      <w:r>
        <w:t xml:space="preserve">азовательных учреждениях, занимающихся во вторую (третью) смену, в общей </w:t>
      </w:r>
      <w:proofErr w:type="gramStart"/>
      <w:r>
        <w:t>численности</w:t>
      </w:r>
      <w:proofErr w:type="gramEnd"/>
      <w:r>
        <w:t xml:space="preserve"> обучающихся в муниципальных общеобразовательных учреждениях» (процентов).</w:t>
      </w:r>
    </w:p>
    <w:p w:rsidR="000B599D" w:rsidRDefault="004871B9">
      <w:pPr>
        <w:pStyle w:val="70"/>
        <w:framePr w:w="9994" w:h="14743" w:hRule="exact" w:wrap="none" w:vAnchor="page" w:hAnchor="page" w:x="1298" w:y="1155"/>
        <w:shd w:val="clear" w:color="auto" w:fill="auto"/>
        <w:spacing w:before="0"/>
        <w:ind w:firstLine="1460"/>
      </w:pPr>
      <w:r>
        <w:t>Вместимость общеобразовательных учреждений района позволяет организацию учебно-воспитательного пр</w:t>
      </w:r>
      <w:r>
        <w:t xml:space="preserve">оцесса в соответствии с </w:t>
      </w:r>
      <w:proofErr w:type="spellStart"/>
      <w:r>
        <w:t>СанПин</w:t>
      </w:r>
      <w:proofErr w:type="spellEnd"/>
      <w:r>
        <w:t xml:space="preserve"> в одну смену во всех школах района.</w:t>
      </w:r>
    </w:p>
    <w:p w:rsidR="000B599D" w:rsidRDefault="004871B9">
      <w:pPr>
        <w:pStyle w:val="30"/>
        <w:framePr w:w="9994" w:h="14743" w:hRule="exact" w:wrap="none" w:vAnchor="page" w:hAnchor="page" w:x="1298" w:y="1155"/>
        <w:shd w:val="clear" w:color="auto" w:fill="auto"/>
        <w:spacing w:before="0" w:after="0" w:line="274" w:lineRule="exact"/>
        <w:ind w:firstLine="740"/>
        <w:jc w:val="both"/>
      </w:pPr>
      <w:r>
        <w:t>Показатель №18 «Расходы бюджета муниципального образования на общее образование в расчете на 1 обучающегося в муниципальных общеобразовательных учреждениях» (процентов).</w:t>
      </w:r>
    </w:p>
    <w:p w:rsidR="000B599D" w:rsidRDefault="004871B9">
      <w:pPr>
        <w:pStyle w:val="70"/>
        <w:framePr w:w="9994" w:h="14743" w:hRule="exact" w:wrap="none" w:vAnchor="page" w:hAnchor="page" w:x="1298" w:y="1155"/>
        <w:shd w:val="clear" w:color="auto" w:fill="auto"/>
        <w:spacing w:before="0"/>
        <w:ind w:firstLine="740"/>
      </w:pPr>
      <w:r>
        <w:t>Показатель «Расходы</w:t>
      </w:r>
      <w:r>
        <w:t xml:space="preserve"> бюджета Междуреченского муниципального района на общее образование в расчете на 1 обучающегося в муниципальных общеобразовательных учреждениях» в 2022 году увеличился на 14% по сравнению с показателем в 2021 года. </w:t>
      </w:r>
      <w:proofErr w:type="gramStart"/>
      <w:r>
        <w:t>Рост расходов связан с увеличением количе</w:t>
      </w:r>
      <w:r>
        <w:t xml:space="preserve">ства субсидий и субвенции из бюджетов других уровней: таких как субсидия на обеспечение образовательных организаций материально- технической базой для внедрения цифровой образовательной среды; на проведение мероприятий по антитеррористической защищенности </w:t>
      </w:r>
      <w:r>
        <w:t>образовательных организаций; на оснащение государственных и муниципальных общеобразовательных организаций государственными символами Российской Федерации; на обеспечение деятельности советников</w:t>
      </w:r>
      <w:proofErr w:type="gramEnd"/>
    </w:p>
    <w:p w:rsidR="000B599D" w:rsidRDefault="000B599D">
      <w:pPr>
        <w:rPr>
          <w:sz w:val="2"/>
          <w:szCs w:val="2"/>
        </w:rPr>
        <w:sectPr w:rsidR="000B59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B599D" w:rsidRDefault="004871B9">
      <w:pPr>
        <w:pStyle w:val="a5"/>
        <w:framePr w:wrap="none" w:vAnchor="page" w:hAnchor="page" w:x="6251" w:y="771"/>
        <w:shd w:val="clear" w:color="auto" w:fill="auto"/>
        <w:spacing w:line="240" w:lineRule="exact"/>
      </w:pPr>
      <w:r>
        <w:t>4</w:t>
      </w:r>
    </w:p>
    <w:p w:rsidR="000B599D" w:rsidRDefault="004871B9">
      <w:pPr>
        <w:pStyle w:val="70"/>
        <w:framePr w:w="9974" w:h="14756" w:hRule="exact" w:wrap="none" w:vAnchor="page" w:hAnchor="page" w:x="1360" w:y="1168"/>
        <w:shd w:val="clear" w:color="auto" w:fill="auto"/>
        <w:spacing w:before="0" w:after="244" w:line="278" w:lineRule="exact"/>
        <w:ind w:firstLine="0"/>
      </w:pPr>
      <w:r>
        <w:t xml:space="preserve">директора по воспитанию и </w:t>
      </w:r>
      <w:r>
        <w:t>взаимодействию с детскими общественными объединениями в общеобразовательных организациях. Также рост расходов объясняется увеличением объема субвенций на обеспечение дошкольного образования в муниципальных образовательных организациях, начального общего, о</w:t>
      </w:r>
      <w:r>
        <w:t>сновного общего, среднего общего образования в муниципальных общеобразовательных организациях района (в том числе на заработную плату педагогических работников, дополнительного персонала и на учебные расходы).</w:t>
      </w:r>
    </w:p>
    <w:p w:rsidR="000B599D" w:rsidRDefault="004871B9">
      <w:pPr>
        <w:pStyle w:val="30"/>
        <w:framePr w:w="9974" w:h="14756" w:hRule="exact" w:wrap="none" w:vAnchor="page" w:hAnchor="page" w:x="1360" w:y="1168"/>
        <w:shd w:val="clear" w:color="auto" w:fill="auto"/>
        <w:spacing w:before="0" w:after="0" w:line="274" w:lineRule="exact"/>
        <w:ind w:firstLine="740"/>
        <w:jc w:val="both"/>
      </w:pPr>
      <w:r>
        <w:t xml:space="preserve">Показатель № 19 «Доля детей в возрасте </w:t>
      </w:r>
      <w:r>
        <w:rPr>
          <w:rStyle w:val="33pt"/>
          <w:b/>
          <w:bCs/>
        </w:rPr>
        <w:t>5-18</w:t>
      </w:r>
      <w:r>
        <w:t xml:space="preserve"> ле</w:t>
      </w:r>
      <w:r>
        <w:t>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 (процентов).</w:t>
      </w:r>
    </w:p>
    <w:p w:rsidR="000B599D" w:rsidRDefault="004871B9">
      <w:pPr>
        <w:pStyle w:val="70"/>
        <w:framePr w:w="9974" w:h="14756" w:hRule="exact" w:wrap="none" w:vAnchor="page" w:hAnchor="page" w:x="1360" w:y="1168"/>
        <w:shd w:val="clear" w:color="auto" w:fill="auto"/>
        <w:spacing w:before="0" w:after="244" w:line="278" w:lineRule="exact"/>
        <w:ind w:firstLine="740"/>
      </w:pPr>
      <w:r>
        <w:t>Доля детей в возрасте 5-18 лет, получающих услуги по дополнит</w:t>
      </w:r>
      <w:r>
        <w:t xml:space="preserve">ельному образованию за 2021 год составила 65,61 </w:t>
      </w:r>
      <w:r>
        <w:rPr>
          <w:rStyle w:val="7Georgia115pt"/>
          <w:b w:val="0"/>
          <w:bCs w:val="0"/>
        </w:rPr>
        <w:t>%</w:t>
      </w:r>
      <w:r>
        <w:t xml:space="preserve"> и выросла по сравнению с 2021 годом, так как снизилось количество детей в возрасте от 16 до 18 лет, проживающих на территории района.</w:t>
      </w:r>
    </w:p>
    <w:p w:rsidR="000B599D" w:rsidRDefault="004871B9">
      <w:pPr>
        <w:pStyle w:val="220"/>
        <w:framePr w:w="9974" w:h="14756" w:hRule="exact" w:wrap="none" w:vAnchor="page" w:hAnchor="page" w:x="1360" w:y="1168"/>
        <w:numPr>
          <w:ilvl w:val="0"/>
          <w:numId w:val="3"/>
        </w:numPr>
        <w:shd w:val="clear" w:color="auto" w:fill="auto"/>
        <w:tabs>
          <w:tab w:val="left" w:pos="1192"/>
        </w:tabs>
        <w:ind w:firstLine="740"/>
      </w:pPr>
      <w:bookmarkStart w:id="7" w:name="bookmark6"/>
      <w:r>
        <w:t>Культура (20-22)</w:t>
      </w:r>
      <w:bookmarkEnd w:id="7"/>
    </w:p>
    <w:p w:rsidR="000B599D" w:rsidRDefault="004871B9">
      <w:pPr>
        <w:pStyle w:val="220"/>
        <w:framePr w:w="9974" w:h="14756" w:hRule="exact" w:wrap="none" w:vAnchor="page" w:hAnchor="page" w:x="1360" w:y="1168"/>
        <w:numPr>
          <w:ilvl w:val="0"/>
          <w:numId w:val="4"/>
        </w:numPr>
        <w:shd w:val="clear" w:color="auto" w:fill="auto"/>
        <w:tabs>
          <w:tab w:val="left" w:pos="423"/>
        </w:tabs>
      </w:pPr>
      <w:bookmarkStart w:id="8" w:name="bookmark7"/>
      <w:r>
        <w:t>Уровень фактической обеспеченности учреждениями культур</w:t>
      </w:r>
      <w:r>
        <w:t>ы от нормативной потребности</w:t>
      </w:r>
      <w:bookmarkEnd w:id="8"/>
    </w:p>
    <w:p w:rsidR="000B599D" w:rsidRDefault="004871B9">
      <w:pPr>
        <w:pStyle w:val="70"/>
        <w:framePr w:w="9974" w:h="14756" w:hRule="exact" w:wrap="none" w:vAnchor="page" w:hAnchor="page" w:x="1360" w:y="1168"/>
        <w:shd w:val="clear" w:color="auto" w:fill="auto"/>
        <w:spacing w:before="0"/>
        <w:ind w:firstLine="740"/>
      </w:pPr>
      <w:r>
        <w:t>Сфера культуры района в 2022 году представлена четырьмя учреждениями: МБУК «</w:t>
      </w:r>
      <w:proofErr w:type="spellStart"/>
      <w:r>
        <w:t>Межпоселенческая</w:t>
      </w:r>
      <w:proofErr w:type="spellEnd"/>
      <w:r>
        <w:t xml:space="preserve"> централизованная библиотечная система Междуреченского района», МБУК «Междуреченский районный художественно-краеведческий музей», БУК М</w:t>
      </w:r>
      <w:r>
        <w:t xml:space="preserve">МР «Центр культурного развития» и учреждением дополнительного образования - МБУ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Шуйская</w:t>
      </w:r>
      <w:proofErr w:type="gramEnd"/>
      <w:r>
        <w:t xml:space="preserve"> детская школа искусств». Уровень фактической обеспеченности клубами и учреждениями клубного типа рассчитан с учетом удаленности населенных пунктов от клубов и соста</w:t>
      </w:r>
      <w:r>
        <w:t>вил 100%, количество посадочных ме</w:t>
      </w:r>
      <w:proofErr w:type="gramStart"/>
      <w:r>
        <w:t>ст в ДК</w:t>
      </w:r>
      <w:proofErr w:type="gramEnd"/>
      <w:r>
        <w:t>, которые были отремонтированы, приведено в соответствие с требованиями для посещений маломобильных групп населения. Уровень фактической обеспеченности библиотеками равен 100 %.</w:t>
      </w:r>
    </w:p>
    <w:p w:rsidR="000B599D" w:rsidRDefault="004871B9">
      <w:pPr>
        <w:pStyle w:val="30"/>
        <w:framePr w:w="9974" w:h="14756" w:hRule="exact" w:wrap="none" w:vAnchor="page" w:hAnchor="page" w:x="1360" w:y="1168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274" w:lineRule="exact"/>
        <w:jc w:val="both"/>
      </w:pPr>
      <w:r>
        <w:t xml:space="preserve">Доля муниципальных учреждений </w:t>
      </w:r>
      <w:r>
        <w:t>культуры, здания которых находятся в аварийном состоянии или требуют капитального ремонта, в общем количестве муниципальных учреждений культуры.</w:t>
      </w:r>
    </w:p>
    <w:p w:rsidR="000B599D" w:rsidRDefault="004871B9">
      <w:pPr>
        <w:pStyle w:val="70"/>
        <w:framePr w:w="9974" w:h="14756" w:hRule="exact" w:wrap="none" w:vAnchor="page" w:hAnchor="page" w:x="1360" w:y="1168"/>
        <w:shd w:val="clear" w:color="auto" w:fill="auto"/>
        <w:spacing w:before="0"/>
        <w:ind w:firstLine="740"/>
      </w:pPr>
      <w:r>
        <w:t xml:space="preserve">Доля муниципальных учреждений культуры, здания которых находятся в аварийном состоянии или </w:t>
      </w:r>
      <w:proofErr w:type="gramStart"/>
      <w:r>
        <w:t>требуют капитального</w:t>
      </w:r>
      <w:r>
        <w:t xml:space="preserve"> ремонта в общем количестве учреждений культуры составила</w:t>
      </w:r>
      <w:proofErr w:type="gramEnd"/>
      <w:r>
        <w:t xml:space="preserve"> 5%. Требуется капитальный ремонт </w:t>
      </w:r>
      <w:proofErr w:type="spellStart"/>
      <w:r>
        <w:t>Хожаевского</w:t>
      </w:r>
      <w:proofErr w:type="spellEnd"/>
      <w:r>
        <w:t xml:space="preserve"> филиала районного культурного центра.</w:t>
      </w:r>
    </w:p>
    <w:p w:rsidR="000B599D" w:rsidRDefault="004871B9">
      <w:pPr>
        <w:pStyle w:val="30"/>
        <w:framePr w:w="9974" w:h="14756" w:hRule="exact" w:wrap="none" w:vAnchor="page" w:hAnchor="page" w:x="1360" w:y="1168"/>
        <w:numPr>
          <w:ilvl w:val="0"/>
          <w:numId w:val="4"/>
        </w:numPr>
        <w:shd w:val="clear" w:color="auto" w:fill="auto"/>
        <w:tabs>
          <w:tab w:val="left" w:pos="423"/>
        </w:tabs>
        <w:spacing w:before="0" w:after="0" w:line="274" w:lineRule="exact"/>
        <w:jc w:val="both"/>
      </w:pPr>
      <w:r>
        <w:t>Доля объектов культурного наследия, находящихся в муниципальной собственности и требующих консервации или реставрац</w:t>
      </w:r>
      <w:r>
        <w:t>ии, в общем количестве объектов культурного наследия, находящихся в муниципальной собственности - 0%</w:t>
      </w:r>
    </w:p>
    <w:p w:rsidR="000B599D" w:rsidRDefault="004871B9">
      <w:pPr>
        <w:pStyle w:val="30"/>
        <w:framePr w:w="9974" w:h="14756" w:hRule="exact" w:wrap="none" w:vAnchor="page" w:hAnchor="page" w:x="1360" w:y="1168"/>
        <w:numPr>
          <w:ilvl w:val="0"/>
          <w:numId w:val="3"/>
        </w:numPr>
        <w:shd w:val="clear" w:color="auto" w:fill="auto"/>
        <w:tabs>
          <w:tab w:val="left" w:pos="1192"/>
        </w:tabs>
        <w:spacing w:before="0" w:after="0" w:line="274" w:lineRule="exact"/>
        <w:ind w:firstLine="740"/>
        <w:jc w:val="both"/>
      </w:pPr>
      <w:r>
        <w:t>Физическая культура (23,23.1)</w:t>
      </w:r>
    </w:p>
    <w:p w:rsidR="000B599D" w:rsidRDefault="004871B9">
      <w:pPr>
        <w:pStyle w:val="220"/>
        <w:framePr w:w="9974" w:h="14756" w:hRule="exact" w:wrap="none" w:vAnchor="page" w:hAnchor="page" w:x="1360" w:y="1168"/>
        <w:numPr>
          <w:ilvl w:val="0"/>
          <w:numId w:val="4"/>
        </w:numPr>
        <w:shd w:val="clear" w:color="auto" w:fill="auto"/>
        <w:tabs>
          <w:tab w:val="left" w:pos="423"/>
        </w:tabs>
      </w:pPr>
      <w:bookmarkStart w:id="9" w:name="bookmark8"/>
      <w:r>
        <w:t xml:space="preserve">Доля населения систематически занимающегося физической культурой и спортом, в общей численности </w:t>
      </w:r>
      <w:proofErr w:type="gramStart"/>
      <w:r>
        <w:t>обучающихся</w:t>
      </w:r>
      <w:bookmarkEnd w:id="9"/>
      <w:proofErr w:type="gramEnd"/>
    </w:p>
    <w:p w:rsidR="000B599D" w:rsidRDefault="004871B9">
      <w:pPr>
        <w:pStyle w:val="220"/>
        <w:framePr w:w="9974" w:h="14756" w:hRule="exact" w:wrap="none" w:vAnchor="page" w:hAnchor="page" w:x="1360" w:y="1168"/>
        <w:shd w:val="clear" w:color="auto" w:fill="auto"/>
      </w:pPr>
      <w:bookmarkStart w:id="10" w:name="bookmark9"/>
      <w:r>
        <w:t>23.1</w:t>
      </w:r>
      <w:proofErr w:type="gramStart"/>
      <w:r>
        <w:t xml:space="preserve"> Д</w:t>
      </w:r>
      <w:proofErr w:type="gramEnd"/>
      <w:r>
        <w:t xml:space="preserve">ля </w:t>
      </w:r>
      <w:r>
        <w:t>обучающихся, систематически занимающихся физической культурой, в общей численности обучающихся</w:t>
      </w:r>
      <w:bookmarkEnd w:id="10"/>
    </w:p>
    <w:p w:rsidR="000B599D" w:rsidRDefault="004871B9">
      <w:pPr>
        <w:pStyle w:val="70"/>
        <w:framePr w:w="9974" w:h="14756" w:hRule="exact" w:wrap="none" w:vAnchor="page" w:hAnchor="page" w:x="1360" w:y="1168"/>
        <w:shd w:val="clear" w:color="auto" w:fill="auto"/>
        <w:tabs>
          <w:tab w:val="left" w:pos="4805"/>
          <w:tab w:val="left" w:pos="5381"/>
        </w:tabs>
        <w:spacing w:before="0"/>
        <w:ind w:firstLine="740"/>
      </w:pPr>
      <w:r>
        <w:t>На территории района функционируют три физкультурно-оздоровительных комплекса. Обеспеченность спортивными залами -</w:t>
      </w:r>
      <w:r>
        <w:tab/>
        <w:t>100</w:t>
      </w:r>
      <w:r>
        <w:tab/>
        <w:t>%. Уровень населения систематически</w:t>
      </w:r>
    </w:p>
    <w:p w:rsidR="000B599D" w:rsidRDefault="004871B9">
      <w:pPr>
        <w:pStyle w:val="70"/>
        <w:framePr w:w="9974" w:h="14756" w:hRule="exact" w:wrap="none" w:vAnchor="page" w:hAnchor="page" w:x="1360" w:y="1168"/>
        <w:shd w:val="clear" w:color="auto" w:fill="auto"/>
        <w:spacing w:before="0" w:after="236"/>
        <w:ind w:firstLine="0"/>
      </w:pPr>
      <w:r>
        <w:t xml:space="preserve">занимающегося физической культурой и спортом составил 48,5 %, что выше показателя 2021 года на 8,3 %. Доля </w:t>
      </w:r>
      <w:proofErr w:type="gramStart"/>
      <w:r>
        <w:t>обучающихся</w:t>
      </w:r>
      <w:proofErr w:type="gramEnd"/>
      <w:r>
        <w:t>, систематически занимающихся физической культурой и спортом, в общей численности обучающихся составила 99%, на уровне 2021 года.</w:t>
      </w:r>
    </w:p>
    <w:p w:rsidR="000B599D" w:rsidRDefault="004871B9">
      <w:pPr>
        <w:pStyle w:val="220"/>
        <w:framePr w:w="9974" w:h="14756" w:hRule="exact" w:wrap="none" w:vAnchor="page" w:hAnchor="page" w:x="1360" w:y="1168"/>
        <w:numPr>
          <w:ilvl w:val="0"/>
          <w:numId w:val="3"/>
        </w:numPr>
        <w:shd w:val="clear" w:color="auto" w:fill="auto"/>
        <w:tabs>
          <w:tab w:val="left" w:pos="1592"/>
        </w:tabs>
        <w:spacing w:line="278" w:lineRule="exact"/>
        <w:ind w:left="1140"/>
      </w:pPr>
      <w:bookmarkStart w:id="11" w:name="bookmark10"/>
      <w:r>
        <w:t>Жилищное</w:t>
      </w:r>
      <w:r>
        <w:t xml:space="preserve"> строительство и обеспечение граждан жильем (24-26)</w:t>
      </w:r>
      <w:bookmarkEnd w:id="11"/>
    </w:p>
    <w:p w:rsidR="000B599D" w:rsidRDefault="004871B9">
      <w:pPr>
        <w:pStyle w:val="220"/>
        <w:framePr w:w="9974" w:h="14756" w:hRule="exact" w:wrap="none" w:vAnchor="page" w:hAnchor="page" w:x="1360" w:y="1168"/>
        <w:shd w:val="clear" w:color="auto" w:fill="auto"/>
        <w:spacing w:line="278" w:lineRule="exact"/>
      </w:pPr>
      <w:bookmarkStart w:id="12" w:name="bookmark11"/>
      <w:r>
        <w:t>24.0бщая площадь жилых помещений, приходящаяся в среднем на одного жителя</w:t>
      </w:r>
      <w:bookmarkEnd w:id="12"/>
    </w:p>
    <w:p w:rsidR="000B599D" w:rsidRDefault="004871B9">
      <w:pPr>
        <w:pStyle w:val="70"/>
        <w:framePr w:w="9974" w:h="14756" w:hRule="exact" w:wrap="none" w:vAnchor="page" w:hAnchor="page" w:x="1360" w:y="1168"/>
        <w:shd w:val="clear" w:color="auto" w:fill="auto"/>
        <w:spacing w:before="0" w:line="278" w:lineRule="exact"/>
        <w:ind w:firstLine="0"/>
      </w:pPr>
      <w:r>
        <w:t xml:space="preserve">составила за 2022 год 40,1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, на человека. Показатель вырос в сравнении с 2021 годом по следующим причинам:</w:t>
      </w:r>
    </w:p>
    <w:p w:rsidR="000B599D" w:rsidRDefault="004871B9">
      <w:pPr>
        <w:pStyle w:val="70"/>
        <w:framePr w:w="9974" w:h="14756" w:hRule="exact" w:wrap="none" w:vAnchor="page" w:hAnchor="page" w:x="1360" w:y="1168"/>
        <w:shd w:val="clear" w:color="auto" w:fill="auto"/>
        <w:spacing w:before="0" w:line="278" w:lineRule="exact"/>
        <w:ind w:firstLine="0"/>
      </w:pPr>
      <w:r>
        <w:t>1) снижения численн</w:t>
      </w:r>
      <w:r>
        <w:t>ости населения;</w:t>
      </w:r>
    </w:p>
    <w:p w:rsidR="000B599D" w:rsidRDefault="000B599D">
      <w:pPr>
        <w:rPr>
          <w:sz w:val="2"/>
          <w:szCs w:val="2"/>
        </w:rPr>
        <w:sectPr w:rsidR="000B59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B599D" w:rsidRDefault="004871B9">
      <w:pPr>
        <w:pStyle w:val="a5"/>
        <w:framePr w:wrap="none" w:vAnchor="page" w:hAnchor="page" w:x="6258" w:y="881"/>
        <w:shd w:val="clear" w:color="auto" w:fill="auto"/>
        <w:spacing w:line="240" w:lineRule="exact"/>
      </w:pPr>
      <w:r>
        <w:t>5</w:t>
      </w:r>
    </w:p>
    <w:p w:rsidR="000B599D" w:rsidRDefault="004871B9">
      <w:pPr>
        <w:pStyle w:val="70"/>
        <w:framePr w:w="9970" w:h="6678" w:hRule="exact" w:wrap="none" w:vAnchor="page" w:hAnchor="page" w:x="1376" w:y="1309"/>
        <w:shd w:val="clear" w:color="auto" w:fill="auto"/>
        <w:spacing w:before="0" w:line="240" w:lineRule="exact"/>
        <w:ind w:firstLine="0"/>
      </w:pPr>
      <w:r>
        <w:t>2) Ввод в эксплуатацию индивидуальных жилых домов физическими лицами.</w:t>
      </w:r>
    </w:p>
    <w:p w:rsidR="000B599D" w:rsidRDefault="004871B9">
      <w:pPr>
        <w:pStyle w:val="70"/>
        <w:framePr w:w="9970" w:h="6678" w:hRule="exact" w:wrap="none" w:vAnchor="page" w:hAnchor="page" w:x="1376" w:y="1309"/>
        <w:shd w:val="clear" w:color="auto" w:fill="auto"/>
        <w:spacing w:before="0" w:after="240" w:line="278" w:lineRule="exact"/>
        <w:ind w:firstLine="140"/>
      </w:pPr>
      <w:r>
        <w:rPr>
          <w:rStyle w:val="73"/>
        </w:rPr>
        <w:t xml:space="preserve">В том числе введенная за 2022 год </w:t>
      </w:r>
      <w:r>
        <w:t>составила 0,18кв</w:t>
      </w:r>
      <w:proofErr w:type="gramStart"/>
      <w:r>
        <w:t>.м</w:t>
      </w:r>
      <w:proofErr w:type="gramEnd"/>
      <w:r>
        <w:t xml:space="preserve">/ч, что ниже показателя за 2021 год на 0,02п.п. = (1216кв.м. жилья / 5,22 </w:t>
      </w:r>
      <w:proofErr w:type="spellStart"/>
      <w:r>
        <w:t>тыс.чел</w:t>
      </w:r>
      <w:proofErr w:type="spellEnd"/>
      <w:r>
        <w:t xml:space="preserve">.). В 2022 </w:t>
      </w:r>
      <w:r>
        <w:t>году введено в эксплуатацию 10 индивидуальных жилых домов общей площадью 880 м</w:t>
      </w:r>
      <w:proofErr w:type="gramStart"/>
      <w:r>
        <w:t>2</w:t>
      </w:r>
      <w:proofErr w:type="gramEnd"/>
      <w:r>
        <w:t>, что на 14,81 % ниже показателя 2021 года (1033 м2).</w:t>
      </w:r>
    </w:p>
    <w:p w:rsidR="000B599D" w:rsidRDefault="004871B9">
      <w:pPr>
        <w:pStyle w:val="220"/>
        <w:framePr w:w="9970" w:h="6678" w:hRule="exact" w:wrap="none" w:vAnchor="page" w:hAnchor="page" w:x="1376" w:y="1309"/>
        <w:numPr>
          <w:ilvl w:val="0"/>
          <w:numId w:val="5"/>
        </w:numPr>
        <w:shd w:val="clear" w:color="auto" w:fill="auto"/>
        <w:tabs>
          <w:tab w:val="left" w:pos="423"/>
        </w:tabs>
        <w:spacing w:line="278" w:lineRule="exact"/>
      </w:pPr>
      <w:bookmarkStart w:id="13" w:name="bookmark12"/>
      <w:r>
        <w:t>Площадь земельных участков, предоставленных для строительства в расчете на 10 тыс. человек населения</w:t>
      </w:r>
      <w:bookmarkEnd w:id="13"/>
    </w:p>
    <w:p w:rsidR="000B599D" w:rsidRDefault="004871B9">
      <w:pPr>
        <w:pStyle w:val="70"/>
        <w:framePr w:w="9970" w:h="6678" w:hRule="exact" w:wrap="none" w:vAnchor="page" w:hAnchor="page" w:x="1376" w:y="1309"/>
        <w:shd w:val="clear" w:color="auto" w:fill="auto"/>
        <w:spacing w:before="0"/>
        <w:ind w:firstLine="0"/>
      </w:pPr>
      <w:r>
        <w:t>В сравнении с 2021 год</w:t>
      </w:r>
      <w:r>
        <w:t>о</w:t>
      </w:r>
      <w:proofErr w:type="gramStart"/>
      <w:r>
        <w:t>м-</w:t>
      </w:r>
      <w:proofErr w:type="gramEnd"/>
      <w:r>
        <w:t xml:space="preserve"> показатель «Площадь земельных участков, предоставленных для строительства в расчете на 10 тыс. человек населения, - всего» увеличился на 8,41 га, и составил 39,82 (предоставленная площадь составила 19,71 га). Показатель на протяжении последних лет оста</w:t>
      </w:r>
      <w:r>
        <w:t>ется довольно высоким в связи с тем, что на территории района продолжается строительство и реконструкции газопроводов различного давления и связанного с ними оборудования и др. объектов. Кроме того в 2022 году значительно выросла площадь земельных участков</w:t>
      </w:r>
      <w:r>
        <w:t>, предоставленных для жилищного строительства, индивидуального строительства и составила 3,2 га, при 1,4 га в 2021 году. Основной причиной повышения является увеличение спроса на земельные участки для ИЖС как среди местных жителей, так и дачников.</w:t>
      </w:r>
    </w:p>
    <w:p w:rsidR="000B599D" w:rsidRDefault="004871B9">
      <w:pPr>
        <w:pStyle w:val="30"/>
        <w:framePr w:w="9970" w:h="6678" w:hRule="exact" w:wrap="none" w:vAnchor="page" w:hAnchor="page" w:x="1376" w:y="1309"/>
        <w:numPr>
          <w:ilvl w:val="0"/>
          <w:numId w:val="5"/>
        </w:numPr>
        <w:shd w:val="clear" w:color="auto" w:fill="auto"/>
        <w:tabs>
          <w:tab w:val="left" w:pos="423"/>
        </w:tabs>
        <w:spacing w:before="0" w:after="0" w:line="274" w:lineRule="exact"/>
        <w:jc w:val="both"/>
      </w:pPr>
      <w:r>
        <w:t xml:space="preserve">Площадь </w:t>
      </w:r>
      <w:r>
        <w:t xml:space="preserve">земельных участков, предоставленных для строительства, в отношении которых </w:t>
      </w:r>
      <w:proofErr w:type="gramStart"/>
      <w:r>
        <w:t>с даты принятия</w:t>
      </w:r>
      <w:proofErr w:type="gramEnd"/>
      <w:r>
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разрешения на ввод в эксплуатацию:</w:t>
      </w:r>
    </w:p>
    <w:p w:rsidR="000B599D" w:rsidRDefault="004871B9">
      <w:pPr>
        <w:pStyle w:val="70"/>
        <w:framePr w:w="9970" w:h="6678" w:hRule="exact" w:wrap="none" w:vAnchor="page" w:hAnchor="page" w:x="1376" w:y="1309"/>
        <w:shd w:val="clear" w:color="auto" w:fill="auto"/>
        <w:spacing w:before="0"/>
        <w:ind w:firstLine="740"/>
      </w:pPr>
      <w:r>
        <w:t xml:space="preserve">-объектов жилищного строительства - в течение 3 лет в 2022 году 0 </w:t>
      </w:r>
      <w:proofErr w:type="spellStart"/>
      <w:r>
        <w:t>кв.м</w:t>
      </w:r>
      <w:proofErr w:type="spellEnd"/>
      <w:r>
        <w:t>.;</w:t>
      </w:r>
    </w:p>
    <w:p w:rsidR="000B599D" w:rsidRDefault="004871B9">
      <w:pPr>
        <w:pStyle w:val="70"/>
        <w:framePr w:w="9970" w:h="6678" w:hRule="exact" w:wrap="none" w:vAnchor="page" w:hAnchor="page" w:x="1376" w:y="1309"/>
        <w:shd w:val="clear" w:color="auto" w:fill="auto"/>
        <w:spacing w:before="0"/>
        <w:ind w:firstLine="740"/>
      </w:pPr>
      <w:r>
        <w:t xml:space="preserve">-иных объектов капитального строительства - в течение 5 лет в 20202 году 0 </w:t>
      </w:r>
      <w:proofErr w:type="spellStart"/>
      <w:r>
        <w:t>кв.м</w:t>
      </w:r>
      <w:proofErr w:type="spellEnd"/>
      <w:r>
        <w:t>.</w:t>
      </w:r>
    </w:p>
    <w:p w:rsidR="000B599D" w:rsidRDefault="004871B9">
      <w:pPr>
        <w:pStyle w:val="220"/>
        <w:framePr w:w="9970" w:h="7235" w:hRule="exact" w:wrap="none" w:vAnchor="page" w:hAnchor="page" w:x="1376" w:y="8519"/>
        <w:shd w:val="clear" w:color="auto" w:fill="auto"/>
        <w:spacing w:line="240" w:lineRule="exact"/>
        <w:jc w:val="center"/>
      </w:pPr>
      <w:bookmarkStart w:id="14" w:name="bookmark13"/>
      <w:proofErr w:type="spellStart"/>
      <w:r>
        <w:t>УП</w:t>
      </w:r>
      <w:proofErr w:type="gramStart"/>
      <w:r>
        <w:t>.Ж</w:t>
      </w:r>
      <w:proofErr w:type="gramEnd"/>
      <w:r>
        <w:t>илищно</w:t>
      </w:r>
      <w:proofErr w:type="spellEnd"/>
      <w:r>
        <w:t>-коммунальное хозяйство (27-30)</w:t>
      </w:r>
      <w:bookmarkEnd w:id="14"/>
    </w:p>
    <w:p w:rsidR="000B599D" w:rsidRDefault="004871B9">
      <w:pPr>
        <w:pStyle w:val="220"/>
        <w:framePr w:w="9970" w:h="7235" w:hRule="exact" w:wrap="none" w:vAnchor="page" w:hAnchor="page" w:x="1376" w:y="8519"/>
        <w:numPr>
          <w:ilvl w:val="0"/>
          <w:numId w:val="5"/>
        </w:numPr>
        <w:shd w:val="clear" w:color="auto" w:fill="auto"/>
        <w:tabs>
          <w:tab w:val="left" w:pos="423"/>
        </w:tabs>
        <w:spacing w:after="240"/>
      </w:pPr>
      <w:bookmarkStart w:id="15" w:name="bookmark14"/>
      <w:r>
        <w:t xml:space="preserve">Доля многоквартирных домов (МКД), в которых собственники помещений </w:t>
      </w:r>
      <w:proofErr w:type="gramStart"/>
      <w:r>
        <w:t xml:space="preserve">выбрали и реализуют один из способов управления в общем числе МКД </w:t>
      </w:r>
      <w:r>
        <w:rPr>
          <w:rStyle w:val="221"/>
        </w:rPr>
        <w:t>составила</w:t>
      </w:r>
      <w:proofErr w:type="gramEnd"/>
      <w:r>
        <w:rPr>
          <w:rStyle w:val="221"/>
        </w:rPr>
        <w:t xml:space="preserve"> 100 %.</w:t>
      </w:r>
      <w:bookmarkEnd w:id="15"/>
    </w:p>
    <w:p w:rsidR="000B599D" w:rsidRDefault="004871B9">
      <w:pPr>
        <w:pStyle w:val="30"/>
        <w:framePr w:w="9970" w:h="7235" w:hRule="exact" w:wrap="none" w:vAnchor="page" w:hAnchor="page" w:x="1376" w:y="8519"/>
        <w:numPr>
          <w:ilvl w:val="0"/>
          <w:numId w:val="5"/>
        </w:numPr>
        <w:shd w:val="clear" w:color="auto" w:fill="auto"/>
        <w:tabs>
          <w:tab w:val="left" w:pos="423"/>
        </w:tabs>
        <w:spacing w:before="0" w:after="0" w:line="274" w:lineRule="exact"/>
        <w:jc w:val="both"/>
      </w:pPr>
      <w:r>
        <w:t>Доля организаций коммунального комплекса, осуществляющих производство товаров, оказание услуг по водо-, те</w:t>
      </w:r>
      <w:r>
        <w:t>пл</w:t>
      </w:r>
      <w:proofErr w:type="gramStart"/>
      <w:r>
        <w:t>о-</w:t>
      </w:r>
      <w:proofErr w:type="gramEnd"/>
      <w:r>
        <w:t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</w:t>
      </w:r>
      <w:r>
        <w:t xml:space="preserve">ской Федерации и (или) городского округа (муниципального района) в ставном капитале которые составляет не более 25 процентов, в общем числе организаций коммунального комплекса, </w:t>
      </w:r>
      <w:proofErr w:type="gramStart"/>
      <w:r>
        <w:t>осуществляющих</w:t>
      </w:r>
      <w:proofErr w:type="gramEnd"/>
      <w:r>
        <w:t xml:space="preserve"> свою деятельность на территории городского округа (муниципальног</w:t>
      </w:r>
      <w:r>
        <w:t>о района).</w:t>
      </w:r>
    </w:p>
    <w:p w:rsidR="000B599D" w:rsidRDefault="004871B9">
      <w:pPr>
        <w:pStyle w:val="70"/>
        <w:framePr w:w="9970" w:h="7235" w:hRule="exact" w:wrap="none" w:vAnchor="page" w:hAnchor="page" w:x="1376" w:y="8519"/>
        <w:shd w:val="clear" w:color="auto" w:fill="auto"/>
        <w:spacing w:before="0"/>
        <w:ind w:firstLine="740"/>
      </w:pPr>
      <w:r>
        <w:t>На территории Междуреченского муниципального района 8 организаций коммунального комплекса, осуществляющие производство товаров, оказание услуг по водо-, тепл</w:t>
      </w:r>
      <w:proofErr w:type="gramStart"/>
      <w:r>
        <w:t>о-</w:t>
      </w:r>
      <w:proofErr w:type="gramEnd"/>
      <w:r>
        <w:t>, газо-, электроснабжению, водоотведению, очистке сточных вод, утилизации (захоронению</w:t>
      </w:r>
      <w:r>
        <w:t>) твердых бытовых отходов и использующие объекты коммунальной инфраструктуры:</w:t>
      </w:r>
    </w:p>
    <w:p w:rsidR="000B599D" w:rsidRDefault="004871B9">
      <w:pPr>
        <w:pStyle w:val="70"/>
        <w:framePr w:w="9970" w:h="7235" w:hRule="exact" w:wrap="none" w:vAnchor="page" w:hAnchor="page" w:x="1376" w:y="8519"/>
        <w:numPr>
          <w:ilvl w:val="0"/>
          <w:numId w:val="6"/>
        </w:numPr>
        <w:shd w:val="clear" w:color="auto" w:fill="auto"/>
        <w:tabs>
          <w:tab w:val="left" w:pos="1019"/>
        </w:tabs>
        <w:spacing w:before="0"/>
        <w:ind w:firstLine="740"/>
      </w:pPr>
      <w:r>
        <w:t>ООО «Северная Сбытовая Компания»;</w:t>
      </w:r>
    </w:p>
    <w:p w:rsidR="000B599D" w:rsidRDefault="004871B9">
      <w:pPr>
        <w:pStyle w:val="70"/>
        <w:framePr w:w="9970" w:h="7235" w:hRule="exact" w:wrap="none" w:vAnchor="page" w:hAnchor="page" w:x="1376" w:y="8519"/>
        <w:numPr>
          <w:ilvl w:val="0"/>
          <w:numId w:val="6"/>
        </w:numPr>
        <w:shd w:val="clear" w:color="auto" w:fill="auto"/>
        <w:tabs>
          <w:tab w:val="left" w:pos="994"/>
        </w:tabs>
        <w:spacing w:before="0"/>
        <w:ind w:firstLine="740"/>
      </w:pPr>
      <w:proofErr w:type="spellStart"/>
      <w:r>
        <w:t>Грязовецкий</w:t>
      </w:r>
      <w:proofErr w:type="spellEnd"/>
      <w:r>
        <w:t xml:space="preserve"> РЭС ПО «Вологодские электрические сети» ПАО «</w:t>
      </w:r>
      <w:proofErr w:type="spellStart"/>
      <w:r>
        <w:t>Россети</w:t>
      </w:r>
      <w:proofErr w:type="spellEnd"/>
      <w:r>
        <w:t xml:space="preserve"> Север</w:t>
      </w:r>
      <w:proofErr w:type="gramStart"/>
      <w:r>
        <w:t>о-</w:t>
      </w:r>
      <w:proofErr w:type="gramEnd"/>
      <w:r>
        <w:t xml:space="preserve"> Запад»;</w:t>
      </w:r>
    </w:p>
    <w:p w:rsidR="000B599D" w:rsidRDefault="004871B9">
      <w:pPr>
        <w:pStyle w:val="70"/>
        <w:framePr w:w="9970" w:h="7235" w:hRule="exact" w:wrap="none" w:vAnchor="page" w:hAnchor="page" w:x="1376" w:y="8519"/>
        <w:numPr>
          <w:ilvl w:val="0"/>
          <w:numId w:val="6"/>
        </w:numPr>
        <w:shd w:val="clear" w:color="auto" w:fill="auto"/>
        <w:tabs>
          <w:tab w:val="left" w:pos="1038"/>
        </w:tabs>
        <w:spacing w:before="0"/>
        <w:ind w:firstLine="740"/>
      </w:pPr>
      <w:r>
        <w:t>Электросетевой участок «Шуйское» АО «ВОЭК»;</w:t>
      </w:r>
    </w:p>
    <w:p w:rsidR="000B599D" w:rsidRDefault="004871B9">
      <w:pPr>
        <w:pStyle w:val="70"/>
        <w:framePr w:w="9970" w:h="7235" w:hRule="exact" w:wrap="none" w:vAnchor="page" w:hAnchor="page" w:x="1376" w:y="8519"/>
        <w:numPr>
          <w:ilvl w:val="0"/>
          <w:numId w:val="6"/>
        </w:numPr>
        <w:shd w:val="clear" w:color="auto" w:fill="auto"/>
        <w:tabs>
          <w:tab w:val="left" w:pos="1229"/>
        </w:tabs>
        <w:spacing w:before="0"/>
        <w:ind w:firstLine="740"/>
      </w:pPr>
      <w:r>
        <w:t xml:space="preserve">Междуреченский </w:t>
      </w:r>
      <w:r>
        <w:t xml:space="preserve">ремонтно-эксплуатационный участок АО «Газпром газораспределение Вологда» </w:t>
      </w:r>
      <w:proofErr w:type="spellStart"/>
      <w:r>
        <w:t>Грязовецкая</w:t>
      </w:r>
      <w:proofErr w:type="spellEnd"/>
      <w:r>
        <w:t xml:space="preserve"> РЭС;</w:t>
      </w:r>
    </w:p>
    <w:p w:rsidR="000B599D" w:rsidRDefault="004871B9">
      <w:pPr>
        <w:pStyle w:val="70"/>
        <w:framePr w:w="9970" w:h="7235" w:hRule="exact" w:wrap="none" w:vAnchor="page" w:hAnchor="page" w:x="1376" w:y="8519"/>
        <w:numPr>
          <w:ilvl w:val="0"/>
          <w:numId w:val="6"/>
        </w:numPr>
        <w:shd w:val="clear" w:color="auto" w:fill="auto"/>
        <w:tabs>
          <w:tab w:val="left" w:pos="1038"/>
        </w:tabs>
        <w:spacing w:before="0"/>
        <w:ind w:firstLine="740"/>
      </w:pPr>
      <w:r>
        <w:t>ООО «Приток»;</w:t>
      </w:r>
    </w:p>
    <w:p w:rsidR="000B599D" w:rsidRDefault="004871B9">
      <w:pPr>
        <w:pStyle w:val="70"/>
        <w:framePr w:w="9970" w:h="7235" w:hRule="exact" w:wrap="none" w:vAnchor="page" w:hAnchor="page" w:x="1376" w:y="8519"/>
        <w:numPr>
          <w:ilvl w:val="0"/>
          <w:numId w:val="6"/>
        </w:numPr>
        <w:shd w:val="clear" w:color="auto" w:fill="auto"/>
        <w:tabs>
          <w:tab w:val="left" w:pos="1034"/>
        </w:tabs>
        <w:spacing w:before="0"/>
        <w:ind w:firstLine="740"/>
      </w:pPr>
      <w:r>
        <w:t>МУП «</w:t>
      </w:r>
      <w:proofErr w:type="spellStart"/>
      <w:r>
        <w:t>Жилищник</w:t>
      </w:r>
      <w:proofErr w:type="spellEnd"/>
      <w:r>
        <w:t xml:space="preserve"> 2»;</w:t>
      </w:r>
    </w:p>
    <w:p w:rsidR="000B599D" w:rsidRDefault="004871B9">
      <w:pPr>
        <w:pStyle w:val="70"/>
        <w:framePr w:w="9970" w:h="7235" w:hRule="exact" w:wrap="none" w:vAnchor="page" w:hAnchor="page" w:x="1376" w:y="8519"/>
        <w:numPr>
          <w:ilvl w:val="0"/>
          <w:numId w:val="6"/>
        </w:numPr>
        <w:shd w:val="clear" w:color="auto" w:fill="auto"/>
        <w:tabs>
          <w:tab w:val="left" w:pos="1034"/>
        </w:tabs>
        <w:spacing w:before="0"/>
        <w:ind w:firstLine="740"/>
      </w:pPr>
      <w:r>
        <w:t>УК «Вохтога»;</w:t>
      </w:r>
    </w:p>
    <w:p w:rsidR="000B599D" w:rsidRDefault="004871B9">
      <w:pPr>
        <w:pStyle w:val="70"/>
        <w:framePr w:w="9970" w:h="7235" w:hRule="exact" w:wrap="none" w:vAnchor="page" w:hAnchor="page" w:x="1376" w:y="8519"/>
        <w:numPr>
          <w:ilvl w:val="0"/>
          <w:numId w:val="6"/>
        </w:numPr>
        <w:shd w:val="clear" w:color="auto" w:fill="auto"/>
        <w:tabs>
          <w:tab w:val="left" w:pos="1034"/>
        </w:tabs>
        <w:spacing w:before="0"/>
        <w:ind w:firstLine="740"/>
      </w:pPr>
      <w:r>
        <w:t>ООО «</w:t>
      </w:r>
      <w:proofErr w:type="spellStart"/>
      <w:r>
        <w:t>Аквалайн</w:t>
      </w:r>
      <w:proofErr w:type="spellEnd"/>
      <w:r>
        <w:t>»</w:t>
      </w:r>
    </w:p>
    <w:p w:rsidR="000B599D" w:rsidRDefault="000B599D">
      <w:pPr>
        <w:rPr>
          <w:sz w:val="2"/>
          <w:szCs w:val="2"/>
        </w:rPr>
        <w:sectPr w:rsidR="000B59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B599D" w:rsidRDefault="004871B9">
      <w:pPr>
        <w:pStyle w:val="a5"/>
        <w:framePr w:wrap="none" w:vAnchor="page" w:hAnchor="page" w:x="6302" w:y="801"/>
        <w:shd w:val="clear" w:color="auto" w:fill="auto"/>
        <w:spacing w:line="240" w:lineRule="exact"/>
      </w:pPr>
      <w:r>
        <w:t>6</w:t>
      </w:r>
    </w:p>
    <w:p w:rsidR="000B599D" w:rsidRDefault="004871B9">
      <w:pPr>
        <w:pStyle w:val="70"/>
        <w:framePr w:w="9970" w:h="14729" w:hRule="exact" w:wrap="none" w:vAnchor="page" w:hAnchor="page" w:x="1397" w:y="1206"/>
        <w:shd w:val="clear" w:color="auto" w:fill="auto"/>
        <w:spacing w:before="0"/>
        <w:ind w:firstLine="740"/>
      </w:pPr>
      <w:r>
        <w:t>Доля организаций коммунального комплекса, осуществляющих производство товаров, ок</w:t>
      </w:r>
      <w:r>
        <w:t>азание услуг по водо-, тепл</w:t>
      </w:r>
      <w:proofErr w:type="gramStart"/>
      <w:r>
        <w:t>о-</w:t>
      </w:r>
      <w:proofErr w:type="gramEnd"/>
      <w:r>
        <w:t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</w:t>
      </w:r>
      <w:r>
        <w:t xml:space="preserve">, участие субъекта Российской Федерации и (или) городского округа (муниципального района) в ставном капитале которые составляет не более 25 процентов, в общем числе организаций коммунального комплекса, </w:t>
      </w:r>
      <w:proofErr w:type="gramStart"/>
      <w:r>
        <w:t>осуществляющих</w:t>
      </w:r>
      <w:proofErr w:type="gramEnd"/>
      <w:r>
        <w:t xml:space="preserve"> свою деятельность на территории городск</w:t>
      </w:r>
      <w:r>
        <w:t>ого округа (муниципального района) составляет 75%.</w:t>
      </w:r>
    </w:p>
    <w:p w:rsidR="000B599D" w:rsidRDefault="004871B9">
      <w:pPr>
        <w:pStyle w:val="70"/>
        <w:framePr w:w="9970" w:h="14729" w:hRule="exact" w:wrap="none" w:vAnchor="page" w:hAnchor="page" w:x="1397" w:y="1206"/>
        <w:shd w:val="clear" w:color="auto" w:fill="auto"/>
        <w:spacing w:before="0" w:after="240"/>
        <w:ind w:firstLine="740"/>
      </w:pPr>
      <w:r>
        <w:t>В 6 из 8 организаций участие района и области в уставном капитале менее 25 %, а в МУП "</w:t>
      </w:r>
      <w:proofErr w:type="spellStart"/>
      <w:r>
        <w:t>Жилищник</w:t>
      </w:r>
      <w:proofErr w:type="spellEnd"/>
      <w:r>
        <w:t xml:space="preserve"> 2" более 25 (район) и Электросетевой участок «Шуйское» АО «ВОЭК» более 25 (область).</w:t>
      </w:r>
    </w:p>
    <w:p w:rsidR="000B599D" w:rsidRDefault="004871B9">
      <w:pPr>
        <w:pStyle w:val="70"/>
        <w:framePr w:w="9970" w:h="14729" w:hRule="exact" w:wrap="none" w:vAnchor="page" w:hAnchor="page" w:x="1397" w:y="1206"/>
        <w:numPr>
          <w:ilvl w:val="0"/>
          <w:numId w:val="7"/>
        </w:numPr>
        <w:shd w:val="clear" w:color="auto" w:fill="auto"/>
        <w:tabs>
          <w:tab w:val="left" w:pos="428"/>
        </w:tabs>
        <w:spacing w:before="0" w:after="240"/>
        <w:ind w:firstLine="0"/>
      </w:pPr>
      <w:r>
        <w:rPr>
          <w:rStyle w:val="73"/>
        </w:rPr>
        <w:t xml:space="preserve">Доля многоквартирных домов, расположенных на земельных участках, в отношении которых </w:t>
      </w:r>
      <w:proofErr w:type="gramStart"/>
      <w:r>
        <w:rPr>
          <w:rStyle w:val="73"/>
        </w:rPr>
        <w:t xml:space="preserve">осуществлен государственный кадастровый </w:t>
      </w:r>
      <w:r>
        <w:t>учет в 2022 году составила</w:t>
      </w:r>
      <w:proofErr w:type="gramEnd"/>
      <w:r>
        <w:t xml:space="preserve"> 41,67 %, что выше показателя 2021 года на 7,92 </w:t>
      </w:r>
      <w:proofErr w:type="spellStart"/>
      <w:r>
        <w:t>п.п</w:t>
      </w:r>
      <w:proofErr w:type="spellEnd"/>
      <w:r>
        <w:t>. Основным проблемами для значительного повышения пока</w:t>
      </w:r>
      <w:r>
        <w:t>зателя - является отсутствие сре</w:t>
      </w:r>
      <w:proofErr w:type="gramStart"/>
      <w:r>
        <w:t>дств в б</w:t>
      </w:r>
      <w:proofErr w:type="gramEnd"/>
      <w:r>
        <w:t>юджете района на проведение кадастровых работ (подготовку проектов межевания территорий) в отношении таких земельных участков. Однако в 2022 году, благодаря внесенным изменениям законодательство, дано понятие «дом бл</w:t>
      </w:r>
      <w:r>
        <w:t>окированной застройки», признаки которого наблюдаются у большинства 2-Зх квартирных одноэтажных домов на территории района (в настоящее время имеют статус - многоквартирный жилой дом). В связи, с чем в 2022 году активно собственники квартир в таких домах с</w:t>
      </w:r>
      <w:r>
        <w:t xml:space="preserve">тали инициировать перевод их в дома блокированной застройки, </w:t>
      </w:r>
      <w:proofErr w:type="gramStart"/>
      <w:r>
        <w:t>следовательно</w:t>
      </w:r>
      <w:proofErr w:type="gramEnd"/>
      <w:r>
        <w:t xml:space="preserve"> общее количество МКД в районе сократилось с 714 до 648.</w:t>
      </w:r>
    </w:p>
    <w:p w:rsidR="000B599D" w:rsidRDefault="004871B9">
      <w:pPr>
        <w:pStyle w:val="220"/>
        <w:framePr w:w="9970" w:h="14729" w:hRule="exact" w:wrap="none" w:vAnchor="page" w:hAnchor="page" w:x="1397" w:y="1206"/>
        <w:numPr>
          <w:ilvl w:val="0"/>
          <w:numId w:val="7"/>
        </w:numPr>
        <w:shd w:val="clear" w:color="auto" w:fill="auto"/>
        <w:tabs>
          <w:tab w:val="left" w:pos="423"/>
        </w:tabs>
      </w:pPr>
      <w:bookmarkStart w:id="16" w:name="bookmark15"/>
      <w:r>
        <w:t xml:space="preserve">Доля населения, улучшившая жилищные условия в отчетном году, </w:t>
      </w:r>
      <w:r>
        <w:rPr>
          <w:rStyle w:val="221"/>
        </w:rPr>
        <w:t>составила 12,8 %.</w:t>
      </w:r>
      <w:bookmarkEnd w:id="16"/>
    </w:p>
    <w:p w:rsidR="000B599D" w:rsidRDefault="004871B9">
      <w:pPr>
        <w:pStyle w:val="70"/>
        <w:framePr w:w="9970" w:h="14729" w:hRule="exact" w:wrap="none" w:vAnchor="page" w:hAnchor="page" w:x="1397" w:y="1206"/>
        <w:shd w:val="clear" w:color="auto" w:fill="auto"/>
        <w:spacing w:before="0"/>
        <w:ind w:firstLine="740"/>
      </w:pPr>
      <w:r>
        <w:t>В 2022 году в очереди на улучшение жилищных ус</w:t>
      </w:r>
      <w:r>
        <w:t>ловий стояли 125 чел., улучшили жилищные условия 16 человек.</w:t>
      </w:r>
    </w:p>
    <w:p w:rsidR="000B599D" w:rsidRDefault="004871B9">
      <w:pPr>
        <w:pStyle w:val="30"/>
        <w:framePr w:w="9970" w:h="14729" w:hRule="exact" w:wrap="none" w:vAnchor="page" w:hAnchor="page" w:x="1397" w:y="1206"/>
        <w:shd w:val="clear" w:color="auto" w:fill="auto"/>
        <w:spacing w:before="0" w:after="0" w:line="274" w:lineRule="exact"/>
        <w:ind w:left="20"/>
        <w:jc w:val="center"/>
      </w:pPr>
      <w:r>
        <w:t>VIII. Организация муниципального управления (31-38)</w:t>
      </w:r>
    </w:p>
    <w:p w:rsidR="000B599D" w:rsidRDefault="004871B9">
      <w:pPr>
        <w:pStyle w:val="30"/>
        <w:framePr w:w="9970" w:h="14729" w:hRule="exact" w:wrap="none" w:vAnchor="page" w:hAnchor="page" w:x="1397" w:y="1206"/>
        <w:numPr>
          <w:ilvl w:val="0"/>
          <w:numId w:val="7"/>
        </w:numPr>
        <w:shd w:val="clear" w:color="auto" w:fill="auto"/>
        <w:tabs>
          <w:tab w:val="left" w:pos="485"/>
        </w:tabs>
        <w:spacing w:before="0" w:after="0" w:line="274" w:lineRule="exact"/>
        <w:jc w:val="both"/>
      </w:pPr>
      <w:r>
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</w:t>
      </w:r>
      <w:r>
        <w:t>общем объеме собственных доходов бюджета муниципального образования (без учета дотаций).</w:t>
      </w:r>
    </w:p>
    <w:p w:rsidR="000B599D" w:rsidRDefault="004871B9">
      <w:pPr>
        <w:pStyle w:val="70"/>
        <w:framePr w:w="9970" w:h="14729" w:hRule="exact" w:wrap="none" w:vAnchor="page" w:hAnchor="page" w:x="1397" w:y="1206"/>
        <w:shd w:val="clear" w:color="auto" w:fill="auto"/>
        <w:spacing w:before="0"/>
        <w:ind w:firstLine="1200"/>
      </w:pPr>
      <w:proofErr w:type="gramStart"/>
      <w:r>
        <w:t xml:space="preserve">За 2022 год в консолидированный бюджет района поступило налоговых и неналоговых доходов 84 782 396,87 рублей или 102,1 % от уточненных плановых показателей (по </w:t>
      </w:r>
      <w:r>
        <w:t>сравнению с 2021 годом поступление доходов увеличилось на 3 283 750,31 руб. в основном за счет увеличения поступлений НДФЛ на 5 949 926,22 руб., акцизов на 1 273 520,79 руб.).</w:t>
      </w:r>
      <w:proofErr w:type="gramEnd"/>
    </w:p>
    <w:p w:rsidR="000B599D" w:rsidRDefault="004871B9">
      <w:pPr>
        <w:pStyle w:val="70"/>
        <w:framePr w:w="9970" w:h="14729" w:hRule="exact" w:wrap="none" w:vAnchor="page" w:hAnchor="page" w:x="1397" w:y="1206"/>
        <w:shd w:val="clear" w:color="auto" w:fill="auto"/>
        <w:spacing w:before="0"/>
        <w:ind w:firstLine="460"/>
      </w:pPr>
      <w:proofErr w:type="gramStart"/>
      <w:r>
        <w:t>Основными доходными источниками консолидированного бюджета района в 2022 году яв</w:t>
      </w:r>
      <w:r>
        <w:t>лялись налог на доходы физических лиц - 64 024 809,37 рублей или 75,5 % от собственных доходов (наиболее крупные плательщики внебюджетной сферы - ООО «</w:t>
      </w:r>
      <w:proofErr w:type="spellStart"/>
      <w:r>
        <w:t>Холбит</w:t>
      </w:r>
      <w:proofErr w:type="spellEnd"/>
      <w:r>
        <w:t>», ООО «</w:t>
      </w:r>
      <w:proofErr w:type="spellStart"/>
      <w:r>
        <w:t>Монза</w:t>
      </w:r>
      <w:proofErr w:type="spellEnd"/>
      <w:r>
        <w:t>», ПАО «</w:t>
      </w:r>
      <w:proofErr w:type="spellStart"/>
      <w:r>
        <w:t>Россети</w:t>
      </w:r>
      <w:proofErr w:type="spellEnd"/>
      <w:r>
        <w:t xml:space="preserve"> Северо-Запад», </w:t>
      </w:r>
      <w:proofErr w:type="spellStart"/>
      <w:r>
        <w:t>Грязовецкое</w:t>
      </w:r>
      <w:proofErr w:type="spellEnd"/>
      <w:r>
        <w:t xml:space="preserve"> ДРСУ ПАО «</w:t>
      </w:r>
      <w:proofErr w:type="spellStart"/>
      <w:r>
        <w:t>Вологдаавтодор</w:t>
      </w:r>
      <w:proofErr w:type="spellEnd"/>
      <w:r>
        <w:t>», АО «Газпром газо</w:t>
      </w:r>
      <w:r>
        <w:t xml:space="preserve">распределение Вологда», ООО «Междуречье Авто», </w:t>
      </w:r>
      <w:proofErr w:type="spellStart"/>
      <w:r>
        <w:t>Грязовецкий</w:t>
      </w:r>
      <w:proofErr w:type="spellEnd"/>
      <w:r>
        <w:t xml:space="preserve"> лесхоз, </w:t>
      </w:r>
      <w:proofErr w:type="spellStart"/>
      <w:r>
        <w:t>Племзавод</w:t>
      </w:r>
      <w:proofErr w:type="spellEnd"/>
      <w:r>
        <w:t xml:space="preserve">-колхоз «Аврора», ООО «Приток», </w:t>
      </w:r>
      <w:proofErr w:type="spellStart"/>
      <w:r>
        <w:t>Племзавод</w:t>
      </w:r>
      <w:proofErr w:type="spellEnd"/>
      <w:r>
        <w:t>-колхоз «Имени 50-летия СССР» и бюджетная сфера</w:t>
      </w:r>
      <w:proofErr w:type="gramEnd"/>
      <w:r>
        <w:t xml:space="preserve">), </w:t>
      </w:r>
      <w:proofErr w:type="gramStart"/>
      <w:r>
        <w:t>акцизы по подакцизным товарам, производимым на территории Российской Федерации - 7 710 70</w:t>
      </w:r>
      <w:r>
        <w:t xml:space="preserve">7,21 рублей или 9,1 % (отчисления из областного бюджета по нормативам), налоги на совокупный доход </w:t>
      </w:r>
      <w:r>
        <w:rPr>
          <w:rStyle w:val="71"/>
        </w:rPr>
        <w:t xml:space="preserve">- </w:t>
      </w:r>
      <w:r>
        <w:t xml:space="preserve">3 891 891,49 рублей или 4,6 </w:t>
      </w:r>
      <w:r>
        <w:rPr>
          <w:rStyle w:val="7Georgia115pt"/>
          <w:b w:val="0"/>
          <w:bCs w:val="0"/>
        </w:rPr>
        <w:t>%</w:t>
      </w:r>
      <w:r>
        <w:t xml:space="preserve"> (основные плательщики налога по упрощенной системе налогообложения ООО «Междуречье Авто», ООО «Приток», предприниматели), налоги на имущество 3 177 039,90 рублей или 3,7 % (основные плательщики по налогу на имущество </w:t>
      </w:r>
      <w:proofErr w:type="spellStart"/>
      <w:r>
        <w:t>физическиелица</w:t>
      </w:r>
      <w:proofErr w:type="spellEnd"/>
      <w:proofErr w:type="gramEnd"/>
      <w:r>
        <w:t xml:space="preserve">, </w:t>
      </w:r>
      <w:proofErr w:type="gramStart"/>
      <w:r>
        <w:t>по земельному налогу с</w:t>
      </w:r>
      <w:r>
        <w:t xml:space="preserve">ельскохозяйственные предприятия и бюджетная сфера), доходы от использования имущества, находящегося в государственной и муниципальной собственности </w:t>
      </w:r>
      <w:r>
        <w:rPr>
          <w:rStyle w:val="71"/>
        </w:rPr>
        <w:t xml:space="preserve">- </w:t>
      </w:r>
      <w:r>
        <w:t xml:space="preserve">2 583 199,83рублей или 3,0 % (основные платежи - арендная плата за использование муниципального имущества </w:t>
      </w:r>
      <w:r>
        <w:t>и земельные участки), доходы от продажи материальных и нематериальных активов 2 319 473,00 рублей или 2,7 % (основные платежи поступили от продажи земельных участков).</w:t>
      </w:r>
      <w:proofErr w:type="gramEnd"/>
    </w:p>
    <w:p w:rsidR="000B599D" w:rsidRDefault="004871B9">
      <w:pPr>
        <w:pStyle w:val="70"/>
        <w:framePr w:w="9970" w:h="14729" w:hRule="exact" w:wrap="none" w:vAnchor="page" w:hAnchor="page" w:x="1397" w:y="1206"/>
        <w:shd w:val="clear" w:color="auto" w:fill="auto"/>
        <w:spacing w:before="0"/>
        <w:ind w:left="560" w:firstLine="0"/>
        <w:jc w:val="left"/>
      </w:pPr>
      <w:r>
        <w:t>Поступило ниже 95 процентов от запланированных назначений доходов:</w:t>
      </w:r>
    </w:p>
    <w:p w:rsidR="000B599D" w:rsidRDefault="000B599D">
      <w:pPr>
        <w:rPr>
          <w:sz w:val="2"/>
          <w:szCs w:val="2"/>
        </w:rPr>
        <w:sectPr w:rsidR="000B59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B599D" w:rsidRDefault="004871B9">
      <w:pPr>
        <w:pStyle w:val="a5"/>
        <w:framePr w:wrap="none" w:vAnchor="page" w:hAnchor="page" w:x="6274" w:y="780"/>
        <w:shd w:val="clear" w:color="auto" w:fill="auto"/>
        <w:spacing w:line="240" w:lineRule="exact"/>
      </w:pPr>
      <w:r>
        <w:t>7</w:t>
      </w:r>
    </w:p>
    <w:p w:rsidR="000B599D" w:rsidRDefault="004871B9">
      <w:pPr>
        <w:pStyle w:val="70"/>
        <w:framePr w:w="9974" w:h="9466" w:hRule="exact" w:wrap="none" w:vAnchor="page" w:hAnchor="page" w:x="1392" w:y="1180"/>
        <w:numPr>
          <w:ilvl w:val="0"/>
          <w:numId w:val="8"/>
        </w:numPr>
        <w:shd w:val="clear" w:color="auto" w:fill="auto"/>
        <w:tabs>
          <w:tab w:val="left" w:pos="256"/>
        </w:tabs>
        <w:spacing w:before="0"/>
        <w:ind w:firstLine="0"/>
      </w:pPr>
      <w:r>
        <w:t xml:space="preserve">по налогам на имущество 89,5 %, снижение поступлений налога объясняется тем, что в сельском поселении </w:t>
      </w:r>
      <w:proofErr w:type="spellStart"/>
      <w:r>
        <w:t>Сухонское</w:t>
      </w:r>
      <w:proofErr w:type="spellEnd"/>
      <w:r>
        <w:t xml:space="preserve"> поступление земельного налога от организаций составило 43,3 % от плановых сумм в связи с переоценкой кадастровой стоимости земельных участков</w:t>
      </w:r>
      <w:r>
        <w:t>;</w:t>
      </w:r>
    </w:p>
    <w:p w:rsidR="000B599D" w:rsidRDefault="004871B9">
      <w:pPr>
        <w:pStyle w:val="70"/>
        <w:framePr w:w="9974" w:h="9466" w:hRule="exact" w:wrap="none" w:vAnchor="page" w:hAnchor="page" w:x="1392" w:y="1180"/>
        <w:numPr>
          <w:ilvl w:val="0"/>
          <w:numId w:val="8"/>
        </w:numPr>
        <w:shd w:val="clear" w:color="auto" w:fill="auto"/>
        <w:tabs>
          <w:tab w:val="left" w:pos="256"/>
        </w:tabs>
        <w:spacing w:before="0"/>
        <w:ind w:firstLine="0"/>
      </w:pPr>
      <w:r>
        <w:t xml:space="preserve">по штрафам, санкциям, возмещению ущерба 70,2 %, объясняется тем, что планируемые суммы штрафов по 44 закону не прошли </w:t>
      </w:r>
      <w:proofErr w:type="spellStart"/>
      <w:r>
        <w:t>госэкспертизу</w:t>
      </w:r>
      <w:proofErr w:type="spellEnd"/>
      <w:r>
        <w:t xml:space="preserve"> до конца года.</w:t>
      </w:r>
    </w:p>
    <w:p w:rsidR="000B599D" w:rsidRDefault="004871B9">
      <w:pPr>
        <w:pStyle w:val="70"/>
        <w:framePr w:w="9974" w:h="9466" w:hRule="exact" w:wrap="none" w:vAnchor="page" w:hAnchor="page" w:x="1392" w:y="1180"/>
        <w:shd w:val="clear" w:color="auto" w:fill="auto"/>
        <w:spacing w:before="0"/>
        <w:ind w:firstLine="740"/>
      </w:pPr>
      <w:r>
        <w:t>Свыше 105 процентов исполнены бюджетные назначения:</w:t>
      </w:r>
    </w:p>
    <w:p w:rsidR="000B599D" w:rsidRDefault="004871B9">
      <w:pPr>
        <w:pStyle w:val="70"/>
        <w:framePr w:w="9974" w:h="9466" w:hRule="exact" w:wrap="none" w:vAnchor="page" w:hAnchor="page" w:x="1392" w:y="1180"/>
        <w:numPr>
          <w:ilvl w:val="0"/>
          <w:numId w:val="8"/>
        </w:numPr>
        <w:shd w:val="clear" w:color="auto" w:fill="auto"/>
        <w:tabs>
          <w:tab w:val="left" w:pos="256"/>
        </w:tabs>
        <w:spacing w:before="0" w:after="240"/>
        <w:ind w:firstLine="0"/>
      </w:pPr>
      <w:r>
        <w:t xml:space="preserve">по доходам от оказания платных услуг и компенсации </w:t>
      </w:r>
      <w:r>
        <w:t>затрат государства, 145,8 % (поступила незапланированная сумма от ПАО «</w:t>
      </w:r>
      <w:proofErr w:type="spellStart"/>
      <w:r>
        <w:t>Россети</w:t>
      </w:r>
      <w:proofErr w:type="spellEnd"/>
      <w:r>
        <w:t xml:space="preserve"> Северо-Запад» за использование </w:t>
      </w:r>
      <w:proofErr w:type="spellStart"/>
      <w:r>
        <w:t>аэролодки</w:t>
      </w:r>
      <w:proofErr w:type="spellEnd"/>
      <w:r>
        <w:t>).</w:t>
      </w:r>
    </w:p>
    <w:p w:rsidR="000B599D" w:rsidRDefault="004871B9">
      <w:pPr>
        <w:pStyle w:val="30"/>
        <w:framePr w:w="9974" w:h="9466" w:hRule="exact" w:wrap="none" w:vAnchor="page" w:hAnchor="page" w:x="1392" w:y="1180"/>
        <w:numPr>
          <w:ilvl w:val="0"/>
          <w:numId w:val="9"/>
        </w:numPr>
        <w:shd w:val="clear" w:color="auto" w:fill="auto"/>
        <w:tabs>
          <w:tab w:val="left" w:pos="423"/>
        </w:tabs>
        <w:spacing w:before="0" w:after="240" w:line="274" w:lineRule="exact"/>
        <w:jc w:val="both"/>
      </w:pPr>
      <w:proofErr w:type="gramStart"/>
      <w:r>
        <w:t>Доля основных фондов организаций муниципальной формы собственности, находящихся в стадии банкротства, в основных фондах организаций му</w:t>
      </w:r>
      <w:r>
        <w:t>ниципальной формы собственности (на конец года, по полной учетной стоимости - 0%</w:t>
      </w:r>
      <w:proofErr w:type="gramEnd"/>
    </w:p>
    <w:p w:rsidR="000B599D" w:rsidRDefault="004871B9">
      <w:pPr>
        <w:pStyle w:val="220"/>
        <w:framePr w:w="9974" w:h="9466" w:hRule="exact" w:wrap="none" w:vAnchor="page" w:hAnchor="page" w:x="1392" w:y="1180"/>
        <w:numPr>
          <w:ilvl w:val="0"/>
          <w:numId w:val="9"/>
        </w:numPr>
        <w:shd w:val="clear" w:color="auto" w:fill="auto"/>
        <w:tabs>
          <w:tab w:val="left" w:pos="475"/>
        </w:tabs>
      </w:pPr>
      <w:bookmarkStart w:id="17" w:name="bookmark16"/>
      <w:r>
        <w:t>Объем незавершенного в установленные сроки строительства, осуществляемого за счет средств бюджета городского округа (муниципального района)</w:t>
      </w:r>
      <w:bookmarkEnd w:id="17"/>
    </w:p>
    <w:p w:rsidR="000B599D" w:rsidRDefault="004871B9">
      <w:pPr>
        <w:pStyle w:val="70"/>
        <w:framePr w:w="9974" w:h="9466" w:hRule="exact" w:wrap="none" w:vAnchor="page" w:hAnchor="page" w:x="1392" w:y="1180"/>
        <w:shd w:val="clear" w:color="auto" w:fill="auto"/>
        <w:spacing w:before="0"/>
        <w:ind w:firstLine="940"/>
        <w:jc w:val="left"/>
      </w:pPr>
      <w:r>
        <w:t>На территории Междуреченского муниц</w:t>
      </w:r>
      <w:r>
        <w:t>ипального района расположены объекты незавершенного строительства:</w:t>
      </w:r>
    </w:p>
    <w:p w:rsidR="000B599D" w:rsidRDefault="004871B9">
      <w:pPr>
        <w:pStyle w:val="70"/>
        <w:framePr w:w="9974" w:h="9466" w:hRule="exact" w:wrap="none" w:vAnchor="page" w:hAnchor="page" w:x="1392" w:y="1180"/>
        <w:numPr>
          <w:ilvl w:val="0"/>
          <w:numId w:val="10"/>
        </w:numPr>
        <w:shd w:val="clear" w:color="auto" w:fill="auto"/>
        <w:tabs>
          <w:tab w:val="left" w:pos="303"/>
        </w:tabs>
        <w:spacing w:before="0"/>
        <w:ind w:firstLine="0"/>
      </w:pPr>
      <w:r>
        <w:t>Строительство объекта «Разводящие сети газопровода в п. Туровец Междуреченского муниципального района Вологодской области» Первая очередь (первый пусковой) 2012 год - 2152,23 тыс. руб.;</w:t>
      </w:r>
    </w:p>
    <w:p w:rsidR="000B599D" w:rsidRDefault="004871B9">
      <w:pPr>
        <w:pStyle w:val="70"/>
        <w:framePr w:w="9974" w:h="9466" w:hRule="exact" w:wrap="none" w:vAnchor="page" w:hAnchor="page" w:x="1392" w:y="1180"/>
        <w:numPr>
          <w:ilvl w:val="0"/>
          <w:numId w:val="10"/>
        </w:numPr>
        <w:shd w:val="clear" w:color="auto" w:fill="auto"/>
        <w:tabs>
          <w:tab w:val="left" w:pos="298"/>
        </w:tabs>
        <w:spacing w:before="0"/>
        <w:ind w:firstLine="0"/>
      </w:pPr>
      <w:r>
        <w:t>Строительство объекта «Разводящие сети газопровода в п. Туровец Междуреченского муниципального района Вологодской области» Первая очередь (второй пусковой) 2013 год - 4551,19 тыс. руб.;</w:t>
      </w:r>
    </w:p>
    <w:p w:rsidR="000B599D" w:rsidRDefault="004871B9">
      <w:pPr>
        <w:pStyle w:val="70"/>
        <w:framePr w:w="9974" w:h="9466" w:hRule="exact" w:wrap="none" w:vAnchor="page" w:hAnchor="page" w:x="1392" w:y="1180"/>
        <w:numPr>
          <w:ilvl w:val="0"/>
          <w:numId w:val="10"/>
        </w:numPr>
        <w:shd w:val="clear" w:color="auto" w:fill="auto"/>
        <w:tabs>
          <w:tab w:val="left" w:pos="308"/>
        </w:tabs>
        <w:spacing w:before="0"/>
        <w:ind w:firstLine="0"/>
      </w:pPr>
      <w:r>
        <w:t>Строительство объекта «Разводящие сети газопровода в п. Туровец Междур</w:t>
      </w:r>
      <w:r>
        <w:t>еченского муниципального района Вологодской области» Вторая очередь (первый пусковой) 2013 год - 1143,67 тыс. руб.;</w:t>
      </w:r>
    </w:p>
    <w:p w:rsidR="000B599D" w:rsidRDefault="004871B9">
      <w:pPr>
        <w:pStyle w:val="70"/>
        <w:framePr w:w="9974" w:h="9466" w:hRule="exact" w:wrap="none" w:vAnchor="page" w:hAnchor="page" w:x="1392" w:y="1180"/>
        <w:numPr>
          <w:ilvl w:val="0"/>
          <w:numId w:val="10"/>
        </w:numPr>
        <w:shd w:val="clear" w:color="auto" w:fill="auto"/>
        <w:tabs>
          <w:tab w:val="left" w:pos="298"/>
        </w:tabs>
        <w:spacing w:before="0"/>
        <w:ind w:firstLine="0"/>
      </w:pPr>
      <w:r>
        <w:t>Строительство объекта «Разводящие сети газопровода в п. Туровец Междуреченского муниципального района Вологодской области» Вторая очередь (в</w:t>
      </w:r>
      <w:r>
        <w:t>торой пусковой) 2014 год - 2877,75 тыс. руб.;</w:t>
      </w:r>
    </w:p>
    <w:p w:rsidR="000B599D" w:rsidRDefault="004871B9">
      <w:pPr>
        <w:pStyle w:val="70"/>
        <w:framePr w:w="9974" w:h="9466" w:hRule="exact" w:wrap="none" w:vAnchor="page" w:hAnchor="page" w:x="1392" w:y="1180"/>
        <w:numPr>
          <w:ilvl w:val="0"/>
          <w:numId w:val="10"/>
        </w:numPr>
        <w:shd w:val="clear" w:color="auto" w:fill="auto"/>
        <w:tabs>
          <w:tab w:val="left" w:pos="298"/>
        </w:tabs>
        <w:spacing w:before="0"/>
        <w:ind w:firstLine="0"/>
      </w:pPr>
      <w:r>
        <w:t xml:space="preserve">Обустройство родника Михаила Архангела в </w:t>
      </w:r>
      <w:proofErr w:type="gramStart"/>
      <w:r>
        <w:t>с</w:t>
      </w:r>
      <w:proofErr w:type="gramEnd"/>
      <w:r>
        <w:t>. Старое - 55,00 тыс. руб.;</w:t>
      </w:r>
    </w:p>
    <w:p w:rsidR="000B599D" w:rsidRDefault="004871B9">
      <w:pPr>
        <w:pStyle w:val="70"/>
        <w:framePr w:w="9974" w:h="9466" w:hRule="exact" w:wrap="none" w:vAnchor="page" w:hAnchor="page" w:x="1392" w:y="1180"/>
        <w:numPr>
          <w:ilvl w:val="0"/>
          <w:numId w:val="10"/>
        </w:numPr>
        <w:shd w:val="clear" w:color="auto" w:fill="auto"/>
        <w:tabs>
          <w:tab w:val="left" w:pos="308"/>
        </w:tabs>
        <w:spacing w:before="0"/>
        <w:ind w:firstLine="0"/>
      </w:pPr>
      <w:r>
        <w:t xml:space="preserve">Строительство нового полигона ТБО сельского поселения </w:t>
      </w:r>
      <w:proofErr w:type="spellStart"/>
      <w:r>
        <w:t>Старосельское</w:t>
      </w:r>
      <w:proofErr w:type="spellEnd"/>
      <w:r>
        <w:t xml:space="preserve"> 1 очередь - 8749,56 тыс. руб.;</w:t>
      </w:r>
    </w:p>
    <w:p w:rsidR="000B599D" w:rsidRDefault="004871B9">
      <w:pPr>
        <w:pStyle w:val="70"/>
        <w:framePr w:w="9974" w:h="9466" w:hRule="exact" w:wrap="none" w:vAnchor="page" w:hAnchor="page" w:x="1392" w:y="1180"/>
        <w:numPr>
          <w:ilvl w:val="0"/>
          <w:numId w:val="10"/>
        </w:numPr>
        <w:shd w:val="clear" w:color="auto" w:fill="auto"/>
        <w:tabs>
          <w:tab w:val="left" w:pos="303"/>
        </w:tabs>
        <w:spacing w:before="0"/>
        <w:ind w:firstLine="0"/>
      </w:pPr>
      <w:r>
        <w:t>Устройство системы водоотведения жилых до</w:t>
      </w:r>
      <w:r>
        <w:t xml:space="preserve">мов №№ 8,9,10 по ул. </w:t>
      </w:r>
      <w:proofErr w:type="gramStart"/>
      <w:r>
        <w:t>Советская</w:t>
      </w:r>
      <w:proofErr w:type="gramEnd"/>
      <w:r>
        <w:t xml:space="preserve"> в с. Шуйское Вологодской области - 1680,00 тыс. руб.</w:t>
      </w:r>
    </w:p>
    <w:p w:rsidR="000B599D" w:rsidRDefault="004871B9">
      <w:pPr>
        <w:pStyle w:val="30"/>
        <w:framePr w:w="9974" w:h="4760" w:hRule="exact" w:wrap="none" w:vAnchor="page" w:hAnchor="page" w:x="1392" w:y="11145"/>
        <w:numPr>
          <w:ilvl w:val="0"/>
          <w:numId w:val="9"/>
        </w:numPr>
        <w:shd w:val="clear" w:color="auto" w:fill="auto"/>
        <w:tabs>
          <w:tab w:val="left" w:pos="418"/>
        </w:tabs>
        <w:spacing w:before="0" w:after="0" w:line="274" w:lineRule="exact"/>
        <w:jc w:val="both"/>
      </w:pPr>
      <w:r>
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</w:t>
      </w:r>
      <w:r>
        <w:t>я на оплату труда (включая начисления на оплату труда).</w:t>
      </w:r>
    </w:p>
    <w:p w:rsidR="000B599D" w:rsidRDefault="004871B9">
      <w:pPr>
        <w:pStyle w:val="70"/>
        <w:framePr w:w="9974" w:h="4760" w:hRule="exact" w:wrap="none" w:vAnchor="page" w:hAnchor="page" w:x="1392" w:y="11145"/>
        <w:shd w:val="clear" w:color="auto" w:fill="auto"/>
        <w:spacing w:before="0" w:after="240" w:line="278" w:lineRule="exact"/>
        <w:ind w:firstLine="740"/>
      </w:pPr>
      <w:r>
        <w:t>Задолженности нет. Отсутствует задолженность по заработной плате работникам социальной сферы и просроченная кредиторская задолженность.</w:t>
      </w:r>
    </w:p>
    <w:p w:rsidR="000B599D" w:rsidRDefault="004871B9">
      <w:pPr>
        <w:pStyle w:val="30"/>
        <w:framePr w:w="9974" w:h="4760" w:hRule="exact" w:wrap="none" w:vAnchor="page" w:hAnchor="page" w:x="1392" w:y="11145"/>
        <w:numPr>
          <w:ilvl w:val="0"/>
          <w:numId w:val="9"/>
        </w:numPr>
        <w:shd w:val="clear" w:color="auto" w:fill="auto"/>
        <w:tabs>
          <w:tab w:val="left" w:pos="475"/>
        </w:tabs>
        <w:spacing w:before="0" w:after="0" w:line="278" w:lineRule="exact"/>
        <w:jc w:val="both"/>
      </w:pPr>
      <w:r>
        <w:t xml:space="preserve">Показатель «Расходы бюджета муниципального образования на </w:t>
      </w:r>
      <w:r>
        <w:t>содержание работников органов местного самоуправления в расчете на одного жителя муниципального образования»</w:t>
      </w:r>
    </w:p>
    <w:p w:rsidR="000B599D" w:rsidRDefault="004871B9">
      <w:pPr>
        <w:pStyle w:val="70"/>
        <w:framePr w:w="9974" w:h="4760" w:hRule="exact" w:wrap="none" w:vAnchor="page" w:hAnchor="page" w:x="1392" w:y="11145"/>
        <w:shd w:val="clear" w:color="auto" w:fill="auto"/>
        <w:spacing w:before="0"/>
        <w:ind w:firstLine="740"/>
      </w:pPr>
      <w:proofErr w:type="gramStart"/>
      <w:r>
        <w:t>Показатель «Расходы бюджета муниципального образования на содержание работников органов местного самоуправления в расчете на одного жителя муниципа</w:t>
      </w:r>
      <w:r>
        <w:t>льного образования» в 2022 году увеличился по сравнению с 2021 годом на 12%. Увеличение расходов связан с повышением заработной платы работникам органов местного самоуправления с 01.09.2021 года на 10%, получением межбюджетного трансферта из федерального б</w:t>
      </w:r>
      <w:r>
        <w:t>юджета на поощрение за содействие достижению значений (уровней) показателей для</w:t>
      </w:r>
      <w:proofErr w:type="gramEnd"/>
      <w:r>
        <w:t xml:space="preserve">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за счет средств рез</w:t>
      </w:r>
      <w:r>
        <w:t>ервного фонда</w:t>
      </w:r>
    </w:p>
    <w:p w:rsidR="000B599D" w:rsidRDefault="000B599D">
      <w:pPr>
        <w:rPr>
          <w:sz w:val="2"/>
          <w:szCs w:val="2"/>
        </w:rPr>
        <w:sectPr w:rsidR="000B59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B599D" w:rsidRDefault="004871B9">
      <w:pPr>
        <w:pStyle w:val="a5"/>
        <w:framePr w:wrap="none" w:vAnchor="page" w:hAnchor="page" w:x="6247" w:y="775"/>
        <w:shd w:val="clear" w:color="auto" w:fill="auto"/>
        <w:spacing w:line="240" w:lineRule="exact"/>
      </w:pPr>
      <w:r>
        <w:t>8</w:t>
      </w:r>
    </w:p>
    <w:p w:rsidR="000B599D" w:rsidRDefault="004871B9">
      <w:pPr>
        <w:pStyle w:val="70"/>
        <w:framePr w:w="9989" w:h="13434" w:hRule="exact" w:wrap="none" w:vAnchor="page" w:hAnchor="page" w:x="1356" w:y="1171"/>
        <w:shd w:val="clear" w:color="auto" w:fill="auto"/>
        <w:spacing w:before="0" w:after="180" w:line="278" w:lineRule="exact"/>
        <w:ind w:firstLine="0"/>
      </w:pPr>
      <w:r>
        <w:t>Правительства Российской Федерации, а также в связи с сокращением среднегодовой численности постоянного населения района. Норматив расходов на оплату труда в органах местного самоуправления района</w:t>
      </w:r>
      <w:proofErr w:type="gramStart"/>
      <w:r>
        <w:t xml:space="preserve"> ,</w:t>
      </w:r>
      <w:proofErr w:type="gramEnd"/>
      <w:r>
        <w:t xml:space="preserve"> утвержденный постан</w:t>
      </w:r>
      <w:r>
        <w:t>овлением Правительства Вологодской области от 28.07.2008 № 1416 соблюден.</w:t>
      </w:r>
    </w:p>
    <w:p w:rsidR="000B599D" w:rsidRDefault="004871B9">
      <w:pPr>
        <w:pStyle w:val="220"/>
        <w:framePr w:w="9989" w:h="13434" w:hRule="exact" w:wrap="none" w:vAnchor="page" w:hAnchor="page" w:x="1356" w:y="1171"/>
        <w:numPr>
          <w:ilvl w:val="0"/>
          <w:numId w:val="11"/>
        </w:numPr>
        <w:shd w:val="clear" w:color="auto" w:fill="auto"/>
        <w:tabs>
          <w:tab w:val="left" w:pos="423"/>
        </w:tabs>
        <w:spacing w:line="278" w:lineRule="exact"/>
      </w:pPr>
      <w:bookmarkStart w:id="18" w:name="bookmark17"/>
      <w:r>
        <w:t>Наличие в муниципальном районе, утвержденного генерального плана, схемы территориального планирования</w:t>
      </w:r>
      <w:bookmarkEnd w:id="18"/>
    </w:p>
    <w:p w:rsidR="000B599D" w:rsidRDefault="004871B9">
      <w:pPr>
        <w:pStyle w:val="70"/>
        <w:framePr w:w="9989" w:h="13434" w:hRule="exact" w:wrap="none" w:vAnchor="page" w:hAnchor="page" w:x="1356" w:y="1171"/>
        <w:shd w:val="clear" w:color="auto" w:fill="auto"/>
        <w:spacing w:before="0" w:after="176" w:line="278" w:lineRule="exact"/>
        <w:ind w:firstLine="740"/>
      </w:pPr>
      <w:r>
        <w:t>Схема территориального планирования муниципального района имеется. Генеральные п</w:t>
      </w:r>
      <w:r>
        <w:t>ланы утверждены и действуют на территории всех поселений.</w:t>
      </w:r>
    </w:p>
    <w:p w:rsidR="000B599D" w:rsidRDefault="004871B9">
      <w:pPr>
        <w:pStyle w:val="220"/>
        <w:framePr w:w="9989" w:h="13434" w:hRule="exact" w:wrap="none" w:vAnchor="page" w:hAnchor="page" w:x="1356" w:y="1171"/>
        <w:numPr>
          <w:ilvl w:val="0"/>
          <w:numId w:val="11"/>
        </w:numPr>
        <w:shd w:val="clear" w:color="auto" w:fill="auto"/>
        <w:tabs>
          <w:tab w:val="left" w:pos="523"/>
        </w:tabs>
        <w:spacing w:line="283" w:lineRule="exact"/>
      </w:pPr>
      <w:bookmarkStart w:id="19" w:name="bookmark18"/>
      <w:r>
        <w:t>Удовлетворенность населения деятельность органов местного самоуправления городского округа (муниципального района).</w:t>
      </w:r>
      <w:bookmarkEnd w:id="19"/>
    </w:p>
    <w:p w:rsidR="000B599D" w:rsidRDefault="004871B9">
      <w:pPr>
        <w:pStyle w:val="70"/>
        <w:framePr w:w="9989" w:h="13434" w:hRule="exact" w:wrap="none" w:vAnchor="page" w:hAnchor="page" w:x="1356" w:y="1171"/>
        <w:shd w:val="clear" w:color="auto" w:fill="auto"/>
        <w:spacing w:before="0" w:after="288" w:line="240" w:lineRule="exact"/>
        <w:ind w:firstLine="740"/>
      </w:pPr>
      <w:r>
        <w:t xml:space="preserve">За </w:t>
      </w:r>
      <w:r w:rsidRPr="00192A48">
        <w:rPr>
          <w:lang w:eastAsia="en-US" w:bidi="en-US"/>
        </w:rPr>
        <w:t>202</w:t>
      </w:r>
      <w:r>
        <w:rPr>
          <w:lang w:val="en-US" w:eastAsia="en-US" w:bidi="en-US"/>
        </w:rPr>
        <w:t>JL</w:t>
      </w:r>
      <w:r>
        <w:t xml:space="preserve">показатель составил 58%, что выше показателя 2021 года на 3 </w:t>
      </w:r>
      <w:proofErr w:type="spellStart"/>
      <w:r>
        <w:t>п.п</w:t>
      </w:r>
      <w:proofErr w:type="spellEnd"/>
      <w:r>
        <w:t>.</w:t>
      </w:r>
    </w:p>
    <w:p w:rsidR="000B599D" w:rsidRDefault="004871B9">
      <w:pPr>
        <w:pStyle w:val="220"/>
        <w:framePr w:w="9989" w:h="13434" w:hRule="exact" w:wrap="none" w:vAnchor="page" w:hAnchor="page" w:x="1356" w:y="1171"/>
        <w:numPr>
          <w:ilvl w:val="0"/>
          <w:numId w:val="11"/>
        </w:numPr>
        <w:shd w:val="clear" w:color="auto" w:fill="auto"/>
        <w:tabs>
          <w:tab w:val="left" w:pos="428"/>
        </w:tabs>
        <w:spacing w:after="81" w:line="240" w:lineRule="exact"/>
      </w:pPr>
      <w:bookmarkStart w:id="20" w:name="bookmark19"/>
      <w:r>
        <w:t>Среднегодовая численность постоянного населения</w:t>
      </w:r>
      <w:bookmarkEnd w:id="20"/>
    </w:p>
    <w:p w:rsidR="000B599D" w:rsidRDefault="004871B9">
      <w:pPr>
        <w:pStyle w:val="70"/>
        <w:framePr w:w="9989" w:h="13434" w:hRule="exact" w:wrap="none" w:vAnchor="page" w:hAnchor="page" w:x="1356" w:y="1171"/>
        <w:shd w:val="clear" w:color="auto" w:fill="auto"/>
        <w:spacing w:before="0" w:after="87"/>
        <w:ind w:firstLine="0"/>
        <w:jc w:val="left"/>
      </w:pPr>
      <w:r>
        <w:t>В расчете численности населения на начало 2022 года учтены данные переписи населения, проведенной в 2021 году. За 2022 год родилось 27 человек, умерло 93 человека. Естественная убыль составила 66 человек. Пок</w:t>
      </w:r>
      <w:r>
        <w:t>азатель миграции в 2022 году положительный, +3 человека</w:t>
      </w:r>
      <w:proofErr w:type="gramStart"/>
      <w:r>
        <w:t xml:space="preserve">.. </w:t>
      </w:r>
      <w:proofErr w:type="gramEnd"/>
      <w:r>
        <w:t>Всего за 2022 год численность населения в округе сократилась на 63 человека. На 1 января 2023 года численность населения составила 4918 человек. Среднегодовая численность населения составила 4,95 ты</w:t>
      </w:r>
      <w:r>
        <w:t>с.</w:t>
      </w:r>
    </w:p>
    <w:p w:rsidR="000B599D" w:rsidRDefault="004871B9">
      <w:pPr>
        <w:pStyle w:val="30"/>
        <w:framePr w:w="9989" w:h="13434" w:hRule="exact" w:wrap="none" w:vAnchor="page" w:hAnchor="page" w:x="1356" w:y="1171"/>
        <w:shd w:val="clear" w:color="auto" w:fill="auto"/>
        <w:spacing w:before="0" w:after="103" w:line="240" w:lineRule="exact"/>
        <w:jc w:val="both"/>
      </w:pPr>
      <w:r>
        <w:t>IX. Энергосбережение и повышение энергетической эффективности (39-40)</w:t>
      </w:r>
    </w:p>
    <w:p w:rsidR="000B599D" w:rsidRDefault="004871B9">
      <w:pPr>
        <w:pStyle w:val="220"/>
        <w:framePr w:w="9989" w:h="13434" w:hRule="exact" w:wrap="none" w:vAnchor="page" w:hAnchor="page" w:x="1356" w:y="1171"/>
        <w:numPr>
          <w:ilvl w:val="0"/>
          <w:numId w:val="11"/>
        </w:numPr>
        <w:shd w:val="clear" w:color="auto" w:fill="auto"/>
        <w:tabs>
          <w:tab w:val="left" w:pos="423"/>
        </w:tabs>
        <w:spacing w:line="240" w:lineRule="exact"/>
      </w:pPr>
      <w:bookmarkStart w:id="21" w:name="bookmark20"/>
      <w:r>
        <w:t>Удельная величина потребления энергетических ресурсов в многоквартирных домах</w:t>
      </w:r>
      <w:bookmarkEnd w:id="21"/>
    </w:p>
    <w:p w:rsidR="000B599D" w:rsidRDefault="004871B9">
      <w:pPr>
        <w:pStyle w:val="70"/>
        <w:framePr w:w="9989" w:h="13434" w:hRule="exact" w:wrap="none" w:vAnchor="page" w:hAnchor="page" w:x="1356" w:y="1171"/>
        <w:shd w:val="clear" w:color="auto" w:fill="auto"/>
        <w:spacing w:before="0" w:after="184" w:line="278" w:lineRule="exact"/>
        <w:ind w:firstLine="0"/>
      </w:pPr>
      <w:r>
        <w:t xml:space="preserve">Жители многоквартирных домов также проводят мероприятия по энергосбережению, в основном, за счет </w:t>
      </w:r>
      <w:r>
        <w:t xml:space="preserve">установки приборов учета тепловой энергии, холодной и горячей воды. Благодаря этому потребление горячей воды уменьшилось с 1277,30 м3 до 1248,30 м3, потребление холодной воды уменьшилось по сравнению с прошлым годом - 25,00 </w:t>
      </w:r>
      <w:proofErr w:type="spellStart"/>
      <w:r>
        <w:t>куб</w:t>
      </w:r>
      <w:proofErr w:type="gramStart"/>
      <w:r>
        <w:t>.м</w:t>
      </w:r>
      <w:proofErr w:type="spellEnd"/>
      <w:proofErr w:type="gramEnd"/>
      <w:r>
        <w:t xml:space="preserve"> на 1 проживающего. В 2022 </w:t>
      </w:r>
      <w:r>
        <w:t xml:space="preserve">году потребление </w:t>
      </w:r>
      <w:proofErr w:type="spellStart"/>
      <w:r>
        <w:t>теплоэнергии</w:t>
      </w:r>
      <w:proofErr w:type="spellEnd"/>
      <w:r>
        <w:t xml:space="preserve"> уменьшилось до 0,20 Гкал/</w:t>
      </w:r>
      <w:proofErr w:type="spellStart"/>
      <w:r>
        <w:t>кв.м</w:t>
      </w:r>
      <w:proofErr w:type="spellEnd"/>
      <w:r>
        <w:t>. в связи с повышением температуры наружного воздуха.</w:t>
      </w:r>
    </w:p>
    <w:p w:rsidR="000B599D" w:rsidRDefault="004871B9">
      <w:pPr>
        <w:pStyle w:val="70"/>
        <w:framePr w:w="9989" w:h="13434" w:hRule="exact" w:wrap="none" w:vAnchor="page" w:hAnchor="page" w:x="1356" w:y="1171"/>
        <w:shd w:val="clear" w:color="auto" w:fill="auto"/>
        <w:spacing w:before="0" w:after="180"/>
        <w:ind w:firstLine="0"/>
      </w:pPr>
      <w:r>
        <w:t xml:space="preserve">Потребление природного газа в многоквартирных домах уменьшилось - с 398,30 м3 на 1 проживающего в 2021 году до 394,10 </w:t>
      </w:r>
      <w:proofErr w:type="spellStart"/>
      <w:r>
        <w:t>мЗна</w:t>
      </w:r>
      <w:proofErr w:type="spellEnd"/>
      <w:r>
        <w:t xml:space="preserve"> 1 проживающего в 202</w:t>
      </w:r>
      <w:r>
        <w:t xml:space="preserve">2 году, незначительно уменьшилось потребление электроэнергии в </w:t>
      </w:r>
      <w:proofErr w:type="spellStart"/>
      <w:r>
        <w:t>многоквартирнйх</w:t>
      </w:r>
      <w:proofErr w:type="spellEnd"/>
      <w:r>
        <w:t xml:space="preserve"> домах электроэнергии с 1043,30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 xml:space="preserve"> на 1 проживающего в 2021 году до 1043,27 кВт. ч на 1 проживающего в 2022 году.</w:t>
      </w:r>
    </w:p>
    <w:p w:rsidR="000B599D" w:rsidRDefault="004871B9">
      <w:pPr>
        <w:pStyle w:val="220"/>
        <w:framePr w:w="9989" w:h="13434" w:hRule="exact" w:wrap="none" w:vAnchor="page" w:hAnchor="page" w:x="1356" w:y="1171"/>
        <w:numPr>
          <w:ilvl w:val="0"/>
          <w:numId w:val="11"/>
        </w:numPr>
        <w:shd w:val="clear" w:color="auto" w:fill="auto"/>
        <w:tabs>
          <w:tab w:val="left" w:pos="523"/>
        </w:tabs>
      </w:pPr>
      <w:bookmarkStart w:id="22" w:name="bookmark21"/>
      <w:r>
        <w:t>Удельная величина потребления энергетических ресурсов муницип</w:t>
      </w:r>
      <w:r>
        <w:t>альными бюджетными учреждениями</w:t>
      </w:r>
      <w:bookmarkEnd w:id="22"/>
    </w:p>
    <w:p w:rsidR="000B599D" w:rsidRDefault="004871B9">
      <w:pPr>
        <w:pStyle w:val="70"/>
        <w:framePr w:w="9989" w:h="13434" w:hRule="exact" w:wrap="none" w:vAnchor="page" w:hAnchor="page" w:x="1356" w:y="1171"/>
        <w:shd w:val="clear" w:color="auto" w:fill="auto"/>
        <w:spacing w:before="0"/>
        <w:ind w:firstLine="740"/>
      </w:pPr>
      <w:r>
        <w:t>Оптимизация потребления энергоресурсов в бюджетных учреждениях района продолжены в 2022 году.</w:t>
      </w:r>
    </w:p>
    <w:p w:rsidR="000B599D" w:rsidRDefault="004871B9">
      <w:pPr>
        <w:pStyle w:val="70"/>
        <w:framePr w:w="9989" w:h="13434" w:hRule="exact" w:wrap="none" w:vAnchor="page" w:hAnchor="page" w:x="1356" w:y="1171"/>
        <w:shd w:val="clear" w:color="auto" w:fill="auto"/>
        <w:spacing w:before="0"/>
        <w:ind w:firstLine="740"/>
      </w:pPr>
      <w:r>
        <w:t xml:space="preserve">Снижено потребление электроэнергии (показатель 40.1) с 274 560,00 </w:t>
      </w:r>
      <w:proofErr w:type="spellStart"/>
      <w:r>
        <w:t>кВтч</w:t>
      </w:r>
      <w:proofErr w:type="spellEnd"/>
      <w:r>
        <w:t xml:space="preserve"> до 264 276,60 </w:t>
      </w:r>
      <w:proofErr w:type="spellStart"/>
      <w:r>
        <w:t>кВтч</w:t>
      </w:r>
      <w:proofErr w:type="spellEnd"/>
      <w:r>
        <w:t xml:space="preserve">. Большая экономия электроэнергии </w:t>
      </w:r>
      <w:r>
        <w:t>произошла в МБОУ «Шуйская СОШ» и МБДОУ «Шуйский детский сад». Так же уменьшился объем потребления холодной воды (показатель 40.4) с 3 564,34 м3 до 3 414,81 м3 (МБУ ФОК «Сухона», МБОУ «Шуйская СОШ», МБОУ «</w:t>
      </w:r>
      <w:proofErr w:type="spellStart"/>
      <w:r>
        <w:t>Враговская</w:t>
      </w:r>
      <w:proofErr w:type="spellEnd"/>
      <w:r>
        <w:t xml:space="preserve"> НШ-детский сад). Потребление тепловой эне</w:t>
      </w:r>
      <w:r>
        <w:t>ргии (показатель 40.2) уменьшился с 2760,03 Гкал в 2021 году до 2584,30 Гкал в 2022 году. Снижение потребления тепловой энергии связано с тем, что в 1,4 кварталах 2022 г. среднесуточная температура наружного воздуха была выше нормативной.</w:t>
      </w:r>
    </w:p>
    <w:p w:rsidR="000B599D" w:rsidRDefault="000B599D">
      <w:pPr>
        <w:rPr>
          <w:sz w:val="2"/>
          <w:szCs w:val="2"/>
        </w:rPr>
      </w:pPr>
    </w:p>
    <w:sectPr w:rsidR="000B599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1B9" w:rsidRDefault="004871B9">
      <w:r>
        <w:separator/>
      </w:r>
    </w:p>
  </w:endnote>
  <w:endnote w:type="continuationSeparator" w:id="0">
    <w:p w:rsidR="004871B9" w:rsidRDefault="0048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1B9" w:rsidRDefault="004871B9"/>
  </w:footnote>
  <w:footnote w:type="continuationSeparator" w:id="0">
    <w:p w:rsidR="004871B9" w:rsidRDefault="004871B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D25B5"/>
    <w:multiLevelType w:val="multilevel"/>
    <w:tmpl w:val="7A3E15EE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1A67AB"/>
    <w:multiLevelType w:val="multilevel"/>
    <w:tmpl w:val="C1705FD8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5779AF"/>
    <w:multiLevelType w:val="multilevel"/>
    <w:tmpl w:val="E0BC23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82447C"/>
    <w:multiLevelType w:val="multilevel"/>
    <w:tmpl w:val="2D9AC08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C62D7F"/>
    <w:multiLevelType w:val="multilevel"/>
    <w:tmpl w:val="4AB69B20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A22B10"/>
    <w:multiLevelType w:val="multilevel"/>
    <w:tmpl w:val="9B78CA24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032FBD"/>
    <w:multiLevelType w:val="multilevel"/>
    <w:tmpl w:val="3B70C92A"/>
    <w:lvl w:ilvl="0">
      <w:start w:val="3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9D163F"/>
    <w:multiLevelType w:val="multilevel"/>
    <w:tmpl w:val="5E4AA3FC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862190"/>
    <w:multiLevelType w:val="multilevel"/>
    <w:tmpl w:val="9FC26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43349E"/>
    <w:multiLevelType w:val="multilevel"/>
    <w:tmpl w:val="85545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FD0681"/>
    <w:multiLevelType w:val="multilevel"/>
    <w:tmpl w:val="662AEF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B599D"/>
    <w:rsid w:val="000B599D"/>
    <w:rsid w:val="00192A48"/>
    <w:rsid w:val="0048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1">
    <w:name w:val="Заголовок №2 (2) + Не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3">
    <w:name w:val="Основной текст (7) +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Georgia115pt">
    <w:name w:val="Основной текст (7) + Georgia;11;5 pt;Курсив"/>
    <w:basedOn w:val="7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  <w:ind w:hanging="14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274" w:lineRule="exact"/>
      <w:ind w:firstLine="76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3994</Words>
  <Characters>22766</Characters>
  <Application>Microsoft Office Word</Application>
  <DocSecurity>0</DocSecurity>
  <Lines>189</Lines>
  <Paragraphs>53</Paragraphs>
  <ScaleCrop>false</ScaleCrop>
  <Company/>
  <LinksUpToDate>false</LinksUpToDate>
  <CharactersWithSpaces>26707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Economikamr</cp:lastModifiedBy>
  <cp:revision>3</cp:revision>
  <dcterms:created xsi:type="dcterms:W3CDTF">2023-04-28T07:54:00Z</dcterms:created>
  <dcterms:modified xsi:type="dcterms:W3CDTF">2023-04-28T07:54:00Z</dcterms:modified>
</cp:coreProperties>
</file>