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87" w:rsidRPr="00657A87" w:rsidRDefault="00657A87" w:rsidP="00657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A87" w:rsidRPr="00CB4C0B" w:rsidRDefault="00657A87" w:rsidP="00657A87">
      <w:pPr>
        <w:suppressAutoHyphens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УТВЕРЖДЕН</w:t>
      </w:r>
    </w:p>
    <w:p w:rsidR="00657A87" w:rsidRPr="00CB4C0B" w:rsidRDefault="00657A87" w:rsidP="00657A87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приказом</w:t>
      </w:r>
    </w:p>
    <w:p w:rsidR="00657A87" w:rsidRPr="00CB4C0B" w:rsidRDefault="00657A87" w:rsidP="00657A87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:rsidR="00657A87" w:rsidRPr="00CB4C0B" w:rsidRDefault="00657A87" w:rsidP="00657A87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комиссии  Междуреченского муниципального округа</w:t>
      </w:r>
    </w:p>
    <w:p w:rsidR="00657A87" w:rsidRPr="00590F97" w:rsidRDefault="00657A87" w:rsidP="00657A87">
      <w:pPr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B4C0B">
        <w:rPr>
          <w:rFonts w:ascii="Times New Roman" w:hAnsi="Times New Roman" w:cs="Times New Roman"/>
          <w:sz w:val="28"/>
          <w:szCs w:val="28"/>
        </w:rPr>
        <w:t xml:space="preserve">от </w:t>
      </w:r>
      <w:r w:rsidR="00590F97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Pr="00CB4C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4C0B">
        <w:rPr>
          <w:rFonts w:ascii="Times New Roman" w:hAnsi="Times New Roman" w:cs="Times New Roman"/>
          <w:sz w:val="28"/>
          <w:szCs w:val="28"/>
        </w:rPr>
        <w:t>.2023 №</w:t>
      </w:r>
      <w:r w:rsidR="00590F97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657A87" w:rsidRPr="00657A87" w:rsidRDefault="00657A87" w:rsidP="0065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A87" w:rsidRPr="00657A87" w:rsidRDefault="00657A87" w:rsidP="0065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A87" w:rsidRPr="00590F97" w:rsidRDefault="00657A87" w:rsidP="0065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 </w:t>
      </w:r>
    </w:p>
    <w:p w:rsidR="00657A87" w:rsidRPr="00590F97" w:rsidRDefault="00657A87" w:rsidP="0065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внешнего муниципального финансового контроля </w:t>
      </w:r>
      <w:r w:rsidRPr="00590F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«Проведение экспертизы муниципальных программ Междуреченского муниципального округа»</w:t>
      </w:r>
    </w:p>
    <w:p w:rsidR="00657A87" w:rsidRPr="00590F97" w:rsidRDefault="00657A87" w:rsidP="00657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7A87" w:rsidRPr="00590F97" w:rsidRDefault="00657A87" w:rsidP="00657A87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505779090"/>
      <w:r w:rsidRPr="00590F97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657A87" w:rsidRPr="00590F97" w:rsidRDefault="00657A87" w:rsidP="00657A87">
      <w:pPr>
        <w:keepNext/>
        <w:keepLines/>
        <w:widowControl w:val="0"/>
        <w:tabs>
          <w:tab w:val="left" w:pos="289"/>
        </w:tabs>
        <w:spacing w:after="0" w:line="240" w:lineRule="auto"/>
        <w:ind w:left="2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7A87" w:rsidRPr="00590F97" w:rsidRDefault="00657A87" w:rsidP="00091825">
      <w:pPr>
        <w:widowControl w:val="0"/>
        <w:numPr>
          <w:ilvl w:val="1"/>
          <w:numId w:val="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091825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«Проведение экспертизы </w:t>
      </w:r>
      <w:r w:rsidR="00091825"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</w:t>
      </w:r>
      <w:r w:rsidR="00091825"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Стандарт) разработан на основании положений Бюджетного Кодекса Российской Федерации,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91825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Междуреченского муниципального округа от 31.10.2022 № 41 </w:t>
      </w:r>
      <w:r w:rsidR="00091825" w:rsidRPr="00590F9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«</w:t>
      </w:r>
      <w:r w:rsidR="00091825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комиссии Междуреченского муниципального округа</w:t>
      </w:r>
      <w:r w:rsidR="00091825" w:rsidRPr="00590F97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</w:t>
      </w:r>
      <w:r w:rsidR="00091825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="00091825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 № 41, Положение о контрольно-счетной  комиссии)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57A87" w:rsidRPr="00590F97" w:rsidRDefault="00657A87" w:rsidP="00657A87">
      <w:pPr>
        <w:widowControl w:val="0"/>
        <w:numPr>
          <w:ilvl w:val="1"/>
          <w:numId w:val="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правил и процедур проведения Контрольно-счетной </w:t>
      </w:r>
      <w:r w:rsidR="00CA46BD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6BD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КС</w:t>
      </w:r>
      <w:r w:rsidR="00CA46BD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округа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экспертизы </w:t>
      </w:r>
      <w:r w:rsidR="00CA46BD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6BD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экспертиза </w:t>
      </w:r>
      <w:r w:rsidR="00CA46BD"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программ</w:t>
      </w:r>
      <w:r w:rsidRPr="00590F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A87" w:rsidRPr="00590F97" w:rsidRDefault="00F31607" w:rsidP="00F31607">
      <w:pPr>
        <w:widowControl w:val="0"/>
        <w:tabs>
          <w:tab w:val="left" w:pos="12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1.3.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>Задачи Стандарта:</w:t>
      </w:r>
    </w:p>
    <w:p w:rsidR="00657A87" w:rsidRPr="00590F97" w:rsidRDefault="00657A87" w:rsidP="00657A87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определение целей, задач, предмета и объектов экспертизы 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590F97">
        <w:rPr>
          <w:rFonts w:ascii="Times New Roman" w:eastAsia="Calibri" w:hAnsi="Times New Roman" w:cs="Times New Roman"/>
          <w:sz w:val="28"/>
          <w:szCs w:val="28"/>
        </w:rPr>
        <w:t>программ;</w:t>
      </w:r>
    </w:p>
    <w:p w:rsidR="00657A87" w:rsidRPr="00590F97" w:rsidRDefault="00657A87" w:rsidP="00657A87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установление общих требований и правил проведения экспертизы 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программ;</w:t>
      </w:r>
    </w:p>
    <w:p w:rsidR="00657A87" w:rsidRPr="00590F97" w:rsidRDefault="00657A87" w:rsidP="00657A87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определение структуры, содержания и основных требований к  заключению КС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>К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>круг</w:t>
      </w:r>
      <w:r w:rsidR="00590F97">
        <w:rPr>
          <w:rFonts w:ascii="Times New Roman" w:eastAsia="Calibri" w:hAnsi="Times New Roman" w:cs="Times New Roman"/>
          <w:sz w:val="28"/>
          <w:szCs w:val="28"/>
        </w:rPr>
        <w:t>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по результатам экспертизы 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590F97">
        <w:rPr>
          <w:rFonts w:ascii="Times New Roman" w:eastAsia="Calibri" w:hAnsi="Times New Roman" w:cs="Times New Roman"/>
          <w:sz w:val="28"/>
          <w:szCs w:val="28"/>
        </w:rPr>
        <w:t>программ  (далее – Заключение КС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>К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A46BD" w:rsidRPr="00590F97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7A87" w:rsidRPr="00590F97" w:rsidRDefault="00F31607" w:rsidP="00CA46BD">
      <w:pPr>
        <w:widowControl w:val="0"/>
        <w:tabs>
          <w:tab w:val="left" w:pos="8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1.4.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Стандарт предназначен для использования должностными лицами КС</w:t>
      </w:r>
      <w:r w:rsidRPr="00590F97">
        <w:rPr>
          <w:rFonts w:ascii="Times New Roman" w:eastAsia="Calibri" w:hAnsi="Times New Roman" w:cs="Times New Roman"/>
          <w:sz w:val="28"/>
          <w:szCs w:val="28"/>
        </w:rPr>
        <w:t>К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, участвующими в проведении экспертизы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программ. </w:t>
      </w:r>
    </w:p>
    <w:p w:rsidR="00657A87" w:rsidRPr="00590F97" w:rsidRDefault="00F31607" w:rsidP="00F31607">
      <w:pPr>
        <w:widowControl w:val="0"/>
        <w:tabs>
          <w:tab w:val="left" w:pos="89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Организация, проведение и оформление результатов экспертно-аналитического мероприятия по экспертизе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 осуществляется в порядке, установленном Стандартом внешнего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«Проведение экспертно-аналитического мероприятия». </w:t>
      </w:r>
    </w:p>
    <w:p w:rsidR="00657A87" w:rsidRPr="00590F97" w:rsidRDefault="00F31607" w:rsidP="00657A87">
      <w:pPr>
        <w:widowControl w:val="0"/>
        <w:tabs>
          <w:tab w:val="left" w:pos="89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="00657A87" w:rsidRPr="00590F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исполнением документов, приня</w:t>
      </w:r>
      <w:r w:rsidRPr="00590F97">
        <w:rPr>
          <w:rFonts w:ascii="Times New Roman" w:eastAsia="Calibri" w:hAnsi="Times New Roman" w:cs="Times New Roman"/>
          <w:sz w:val="28"/>
          <w:szCs w:val="28"/>
        </w:rPr>
        <w:t>тых по результатам экспертизы муниципаль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ных программ осуществляется в соответствии со стандартом внешнего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657A87" w:rsidRPr="00590F97" w:rsidRDefault="00657A87" w:rsidP="00657A87">
      <w:pPr>
        <w:widowControl w:val="0"/>
        <w:tabs>
          <w:tab w:val="left" w:pos="8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 1.6. Решения по вопросам организации и проведения экспертизы </w:t>
      </w:r>
      <w:r w:rsidR="00F31607" w:rsidRPr="00590F97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  <w:r w:rsidRPr="00590F97">
        <w:rPr>
          <w:rFonts w:ascii="Times New Roman" w:eastAsia="Calibri" w:hAnsi="Times New Roman" w:cs="Times New Roman"/>
          <w:sz w:val="28"/>
          <w:szCs w:val="28"/>
        </w:rPr>
        <w:t>, не урегулированные настоящим Стандартом, принимаются председателем КС</w:t>
      </w:r>
      <w:r w:rsidR="00F31607" w:rsidRPr="00590F97">
        <w:rPr>
          <w:rFonts w:ascii="Times New Roman" w:eastAsia="Calibri" w:hAnsi="Times New Roman" w:cs="Times New Roman"/>
          <w:sz w:val="28"/>
          <w:szCs w:val="28"/>
        </w:rPr>
        <w:t>К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31607" w:rsidRPr="00590F97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A87" w:rsidRPr="00590F97" w:rsidRDefault="00657A87" w:rsidP="00657A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</w:p>
    <w:p w:rsidR="00657A87" w:rsidRPr="00590F97" w:rsidRDefault="00657A87" w:rsidP="00657A87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F97">
        <w:rPr>
          <w:rFonts w:ascii="Times New Roman" w:eastAsia="Calibri" w:hAnsi="Times New Roman" w:cs="Times New Roman"/>
          <w:b/>
          <w:sz w:val="28"/>
          <w:szCs w:val="28"/>
        </w:rPr>
        <w:t xml:space="preserve">Цели, задачи, предмет и объекты экспертизы </w:t>
      </w:r>
      <w:r w:rsidR="00F31607" w:rsidRPr="00590F9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590F97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</w:p>
    <w:p w:rsidR="00657A87" w:rsidRPr="00590F97" w:rsidRDefault="00657A87" w:rsidP="00657A87">
      <w:pPr>
        <w:widowControl w:val="0"/>
        <w:spacing w:after="0" w:line="240" w:lineRule="auto"/>
        <w:ind w:left="42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57A87" w:rsidRPr="00590F97" w:rsidRDefault="00F31607" w:rsidP="00F31607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2.1.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Целью экспертизы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установление соответствия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требованиям законодательства и документам стратегического планирования </w:t>
      </w:r>
      <w:r w:rsidR="00F620E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, определяющим направления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="00F620E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A87" w:rsidRPr="00590F97" w:rsidRDefault="00657A87" w:rsidP="00F31607">
      <w:pPr>
        <w:pStyle w:val="a7"/>
        <w:widowControl w:val="0"/>
        <w:numPr>
          <w:ilvl w:val="1"/>
          <w:numId w:val="7"/>
        </w:numPr>
        <w:tabs>
          <w:tab w:val="left" w:pos="121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Задачами экспертизы являются:</w:t>
      </w:r>
    </w:p>
    <w:p w:rsidR="00657A87" w:rsidRPr="00590F97" w:rsidRDefault="007F2DC3" w:rsidP="00657A87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- анализ и оценка 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на предмет ее соответствия требованиям законодательства, в том числе нормативным правовым актам </w:t>
      </w:r>
      <w:r w:rsidRPr="00590F97">
        <w:rPr>
          <w:rFonts w:ascii="Times New Roman" w:eastAsia="Calibri" w:hAnsi="Times New Roman" w:cs="Times New Roman"/>
          <w:sz w:val="28"/>
          <w:szCs w:val="28"/>
        </w:rPr>
        <w:t>Администрации Междуреченского муниципального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, устанавливающим порядок разработки, реализации и оценки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7A87" w:rsidRPr="00590F97" w:rsidRDefault="00657A87" w:rsidP="00657A87">
      <w:pPr>
        <w:widowControl w:val="0"/>
        <w:tabs>
          <w:tab w:val="left" w:pos="121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 оценка </w:t>
      </w:r>
      <w:r w:rsidR="007F2DC3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 предмет ее соответствия стратегическим документам, определяющим направления </w:t>
      </w:r>
      <w:r w:rsidR="00781C79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(или) социально-экономического развития </w:t>
      </w:r>
      <w:r w:rsidR="007F2DC3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</w:t>
      </w:r>
      <w:r w:rsidR="007F2DC3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57A87" w:rsidRPr="00590F97" w:rsidRDefault="00657A87" w:rsidP="00657A87">
      <w:pPr>
        <w:widowControl w:val="0"/>
        <w:tabs>
          <w:tab w:val="left" w:pos="121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финансового обеспечения реализации </w:t>
      </w:r>
      <w:r w:rsidR="007F2DC3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программы;</w:t>
      </w:r>
    </w:p>
    <w:p w:rsidR="00657A87" w:rsidRPr="00590F97" w:rsidRDefault="00657A87" w:rsidP="00657A87">
      <w:pPr>
        <w:widowControl w:val="0"/>
        <w:tabs>
          <w:tab w:val="left" w:pos="121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 оценка целевых индикаторов и показателей результативности </w:t>
      </w:r>
      <w:r w:rsidR="007F2DC3"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9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</w:t>
      </w:r>
    </w:p>
    <w:p w:rsidR="00657A87" w:rsidRPr="00590F97" w:rsidRDefault="00657A87" w:rsidP="00657A8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2.3. Предметом экспертизы является </w:t>
      </w:r>
      <w:r w:rsidR="00E5319D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программа, а также расчеты финансовых ресурсов и обоснования программных мероприятий.</w:t>
      </w:r>
    </w:p>
    <w:p w:rsidR="00657A87" w:rsidRPr="00590F97" w:rsidRDefault="00657A87" w:rsidP="00657A87">
      <w:pPr>
        <w:widowControl w:val="0"/>
        <w:tabs>
          <w:tab w:val="left" w:pos="122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2.4. Объектами экспертизы являются органы </w:t>
      </w:r>
      <w:r w:rsidR="00590F97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19D" w:rsidRPr="00590F9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, определенные в качестве ответственных исполнителей, соисполнителей и исполнителей </w:t>
      </w:r>
      <w:r w:rsidR="00E5319D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69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7A87" w:rsidRPr="00590F97" w:rsidRDefault="00657A87" w:rsidP="00F31607">
      <w:pPr>
        <w:widowControl w:val="0"/>
        <w:numPr>
          <w:ilvl w:val="0"/>
          <w:numId w:val="7"/>
        </w:numPr>
        <w:tabs>
          <w:tab w:val="left" w:pos="878"/>
        </w:tabs>
        <w:spacing w:after="0" w:line="240" w:lineRule="auto"/>
        <w:ind w:left="420" w:hanging="4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Общие требования и правила проведения экспертизы </w:t>
      </w:r>
      <w:r w:rsidR="00A14640" w:rsidRPr="00590F9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муниципальных</w:t>
      </w:r>
      <w:r w:rsidRPr="00590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7A87" w:rsidRPr="00590F97" w:rsidRDefault="00A14640" w:rsidP="00A14640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3.1.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 проводится в форме экспертно-аналитического мероприятия и осуществляется в соответствии с планом работы КС</w:t>
      </w:r>
      <w:r w:rsidRPr="00590F97">
        <w:rPr>
          <w:rFonts w:ascii="Times New Roman" w:eastAsia="Calibri" w:hAnsi="Times New Roman" w:cs="Times New Roman"/>
          <w:sz w:val="28"/>
          <w:szCs w:val="28"/>
        </w:rPr>
        <w:t>К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590F97">
        <w:rPr>
          <w:rFonts w:ascii="Times New Roman" w:eastAsia="Calibri" w:hAnsi="Times New Roman" w:cs="Times New Roman"/>
          <w:sz w:val="28"/>
          <w:szCs w:val="28"/>
        </w:rPr>
        <w:t>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7A87" w:rsidRPr="00590F97" w:rsidRDefault="00A14640" w:rsidP="00A14640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3.2.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подготовительном этапе осуществляется предварительное изучение предмета и объектов экспертизы, получение необходимой для проведения экспертизы информации путем направления запросов в соответствии с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решением Представительного Собрания округа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31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22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41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«О Контрольно-счетной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комиссии Междуреченского муниципального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7A87" w:rsidRPr="00590F97" w:rsidRDefault="006822B9" w:rsidP="006822B9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экспертизы используются отчеты об исполнении </w:t>
      </w:r>
      <w:r w:rsidRPr="00590F97">
        <w:rPr>
          <w:rFonts w:ascii="Times New Roman" w:eastAsia="Calibri" w:hAnsi="Times New Roman" w:cs="Times New Roman"/>
          <w:sz w:val="28"/>
          <w:szCs w:val="28"/>
        </w:rPr>
        <w:t>бюджета округа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, отчеты о ходе реализации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программы, материалы контрольных и экспертно-аналитических мероприятий, статистические и иные данные.  </w:t>
      </w:r>
    </w:p>
    <w:p w:rsidR="00657A87" w:rsidRPr="00590F97" w:rsidRDefault="00657A87" w:rsidP="006822B9">
      <w:pPr>
        <w:pStyle w:val="a7"/>
        <w:widowControl w:val="0"/>
        <w:numPr>
          <w:ilvl w:val="1"/>
          <w:numId w:val="8"/>
        </w:numPr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включает в себя: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анализ параметров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анализ и оценка структуры и объемов финансового обеспечения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анализ и оценка соответствия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требованиям, установленным Порядком разработки, реализации и оценки эффективности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оценка рисков реализации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(подпрограмм) и достижения запланированных результатов;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подготовка выводов и предложений по результатам экспертизы </w:t>
      </w:r>
      <w:r w:rsidR="006822B9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</w:t>
      </w:r>
    </w:p>
    <w:p w:rsidR="00657A87" w:rsidRPr="00590F97" w:rsidRDefault="002D2037" w:rsidP="002D203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>3.5.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При проведении анализа параметров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исследуются и анализируются: цели, задачи, основные мероприятия, показатели, конечные результаты реализации, срок реализации, объемы финансового обеспечения, исполнители, соисполнители, участники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   </w:t>
      </w:r>
      <w:proofErr w:type="gramEnd"/>
    </w:p>
    <w:p w:rsidR="00657A87" w:rsidRPr="00590F97" w:rsidRDefault="002D2037" w:rsidP="002D203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3.6. 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Анализ и оценка структуры и объемов финансового обеспечения </w:t>
      </w:r>
      <w:r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657A87"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в разрезе источников, подпрограмм, мероприятий. При проведении данного анализа дается оценка: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обоснованности и достоверности (реалистичности) объёма ресурсного обеспечения </w:t>
      </w:r>
      <w:r w:rsidR="001A60A1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соответствию ст</w:t>
      </w:r>
      <w:r w:rsidR="001A60A1" w:rsidRPr="00590F97">
        <w:rPr>
          <w:rFonts w:ascii="Times New Roman" w:eastAsia="Calibri" w:hAnsi="Times New Roman" w:cs="Times New Roman"/>
          <w:sz w:val="28"/>
          <w:szCs w:val="28"/>
        </w:rPr>
        <w:t xml:space="preserve">руктуры расходов на реализацию 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программы, форм их осуществления, планируемой динамики расходов. </w:t>
      </w:r>
      <w:r w:rsidRPr="00590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Предусмотренные (запланированные) расходы по </w:t>
      </w:r>
      <w:r w:rsidR="001A60A1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программе оцениваются на соответствие требованиям утверждённой бюджетной классификации расходов бюджетов субъектов РФ и иным требованиям бюджетного законодательства.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 - соответстви</w:t>
      </w:r>
      <w:r w:rsidR="00590F97">
        <w:rPr>
          <w:rFonts w:ascii="Times New Roman" w:eastAsia="Calibri" w:hAnsi="Times New Roman" w:cs="Times New Roman"/>
          <w:sz w:val="28"/>
          <w:szCs w:val="28"/>
        </w:rPr>
        <w:t>е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объемов финансового обеспечения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(подпрограмм) объемам бюджетных ассигнований, предусмотренных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решением о бюджете 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3.7. В ходе анализа и оценки соответствия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требованиям, установленным Порядком разработки, реализации и оценки эффективности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осуществляется: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- оценка соблюдения требований к оформлению паспортов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оценка соответствия перечня целей и состава задач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приоритетам и целям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, а также согласованности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с положениями послания Президента Российской Федерации Федеральному Собранию, определяющих бюджетную политику в Российской Федерации, основных направлений бюджетной, налоговой политики и долговой политики Вологодской области,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направлений бюджетной, налоговой политики и долговой политики Междуреченского</w:t>
      </w:r>
      <w:proofErr w:type="gramEnd"/>
      <w:r w:rsidR="00781C79" w:rsidRPr="00590F9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, бюджетного прогноза </w:t>
      </w:r>
      <w:r w:rsidR="00781C79" w:rsidRPr="00590F9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на долгосрочный период;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 - оценка целей и задач государственной программы на предмет адекватности отражения конечных результатов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программы, возможность проверки и подтверждения их достижения на основе установленных показателей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0F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оценка перечня показателей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на основе следующих критериев:</w:t>
      </w:r>
    </w:p>
    <w:p w:rsidR="00657A87" w:rsidRPr="00590F97" w:rsidRDefault="00657A87" w:rsidP="00657A87">
      <w:pPr>
        <w:widowControl w:val="0"/>
        <w:numPr>
          <w:ilvl w:val="0"/>
          <w:numId w:val="6"/>
        </w:numPr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отражение специфики развития конкретной области, проблем и задач, на решение которых направлена реализация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>программы;</w:t>
      </w:r>
    </w:p>
    <w:p w:rsidR="00657A87" w:rsidRPr="00590F97" w:rsidRDefault="00657A87" w:rsidP="00657A87">
      <w:pPr>
        <w:widowControl w:val="0"/>
        <w:numPr>
          <w:ilvl w:val="0"/>
          <w:numId w:val="6"/>
        </w:numPr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зависимость от решения основных задач и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>программы;</w:t>
      </w:r>
    </w:p>
    <w:p w:rsidR="00657A87" w:rsidRPr="00590F97" w:rsidRDefault="00657A87" w:rsidP="00657A87">
      <w:pPr>
        <w:widowControl w:val="0"/>
        <w:numPr>
          <w:ilvl w:val="0"/>
          <w:numId w:val="6"/>
        </w:numPr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соответствие требованиям адекватности, достаточности, объективности, достоверности, однозначности;</w:t>
      </w:r>
    </w:p>
    <w:p w:rsidR="00657A87" w:rsidRPr="00590F97" w:rsidRDefault="00657A87" w:rsidP="00657A87">
      <w:pPr>
        <w:widowControl w:val="0"/>
        <w:numPr>
          <w:ilvl w:val="0"/>
          <w:numId w:val="6"/>
        </w:numPr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наличие количественного значения в абсолютных или относительных величинах.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- оценка перечня мероприятий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в части необходимости и достаточности для достижения целей подпрограмм;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- оценка системы управления и контроля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в части разграничения полномочий и ответственности </w:t>
      </w:r>
      <w:r w:rsidRPr="00590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ответственного исполнителя (соисполнителей, исполнителей) программных мероприятий, выполнения полномочий ответственным исполнителем (соисполнителями, исполнителями) при разработке и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  - оценка описания мер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регулирования, в том числе соблюдение сроков принятия нормативных правовых актов и иных документов, запланированных к разработке в рамках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3.8. Оценка рисков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и достижения запланированных результатов осуществляется на основе отчетов о ходе реализации </w:t>
      </w:r>
      <w:r w:rsidR="00835636" w:rsidRPr="00590F9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 </w:t>
      </w: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       3.9. </w:t>
      </w:r>
      <w:proofErr w:type="gramStart"/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Подготовка выводов и предложений осуществляется исходя из выявленных в ходе экспертизы нарушений и недостатков, в том числе создающих условия неэффективного использования бюджетных средств, невыполнения (неполного выполнения) задач и функций органов </w:t>
      </w:r>
      <w:r w:rsidR="00590F97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соответствующей сфере. </w:t>
      </w:r>
      <w:proofErr w:type="gramEnd"/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7A87" w:rsidRPr="00590F97" w:rsidRDefault="00657A87" w:rsidP="006822B9">
      <w:pPr>
        <w:numPr>
          <w:ilvl w:val="0"/>
          <w:numId w:val="8"/>
        </w:numPr>
        <w:shd w:val="clear" w:color="auto" w:fill="FFFFFF"/>
        <w:tabs>
          <w:tab w:val="left" w:pos="1018"/>
        </w:tabs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Оформление результатов экспертизы </w:t>
      </w:r>
      <w:r w:rsidR="00835636" w:rsidRPr="00590F97">
        <w:rPr>
          <w:rFonts w:ascii="Times New Roman" w:eastAsia="Calibri" w:hAnsi="Times New Roman" w:cs="Times New Roman"/>
          <w:b/>
          <w:sz w:val="28"/>
          <w:szCs w:val="28"/>
        </w:rPr>
        <w:t>муниципальных</w:t>
      </w:r>
      <w:r w:rsidRPr="00590F9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</w:p>
    <w:p w:rsidR="00657A87" w:rsidRPr="00590F97" w:rsidRDefault="00657A87" w:rsidP="00657A87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657A87" w:rsidRPr="00590F97" w:rsidRDefault="00657A87" w:rsidP="00657A87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bCs/>
          <w:sz w:val="28"/>
          <w:szCs w:val="28"/>
        </w:rPr>
        <w:t>4.1.  На заключительном этапе по р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езультатам проведения экспертизы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оформляется Заключение, которое готовится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КСК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19"/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4.2. Заключение не должно содержать политических оценок решений, принимаемых органами законодательной и исполнительной власти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90F97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caps/>
          <w:sz w:val="28"/>
          <w:szCs w:val="28"/>
        </w:rPr>
        <w:t>4</w:t>
      </w:r>
      <w:r w:rsidRPr="00590F97">
        <w:rPr>
          <w:rFonts w:ascii="Times New Roman" w:eastAsia="Calibri" w:hAnsi="Times New Roman" w:cs="Times New Roman"/>
          <w:sz w:val="28"/>
          <w:szCs w:val="28"/>
        </w:rPr>
        <w:t>.3.</w:t>
      </w:r>
      <w:r w:rsidRPr="00590F97">
        <w:rPr>
          <w:rFonts w:ascii="Times New Roman" w:eastAsia="Calibri" w:hAnsi="Times New Roman" w:cs="Times New Roman"/>
          <w:sz w:val="28"/>
          <w:szCs w:val="28"/>
        </w:rPr>
        <w:tab/>
        <w:t xml:space="preserve">Заключение по результатам экспертизы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 должно содержать: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основание проведения экспертизы;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цели и задачи экспертизы;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перечень используемых источников информации;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результаты экспертизы;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>- выводы по результатам экспертизы;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рекомендации по устранению выявленных нарушений и недостатков, совершенствованию содержания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программы, в том числе деятельности органов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в сфере ее реализации;</w:t>
      </w:r>
    </w:p>
    <w:p w:rsidR="00657A87" w:rsidRPr="00590F97" w:rsidRDefault="00657A87" w:rsidP="00657A87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- предложения по повышению эффективности использования бюджетных средств на реализацию </w:t>
      </w:r>
      <w:r w:rsidR="00B277C3" w:rsidRPr="00590F9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0F97">
        <w:rPr>
          <w:rFonts w:ascii="Times New Roman" w:eastAsia="Calibri" w:hAnsi="Times New Roman" w:cs="Times New Roman"/>
          <w:sz w:val="28"/>
          <w:szCs w:val="28"/>
        </w:rPr>
        <w:t xml:space="preserve"> программы. </w:t>
      </w:r>
    </w:p>
    <w:p w:rsidR="00657A87" w:rsidRPr="00590F97" w:rsidRDefault="00657A87" w:rsidP="00657A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 Заключение подписывается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должностными лицами КСК округа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утверждается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председателем 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Заключение о результатах экспертизы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направляется объекту экспертно-аналитического мероприятия, а также 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Представительно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Междуреченского муниципального округа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90F9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заключение о результатах экспертизы </w:t>
      </w:r>
      <w:r w:rsidR="00B277C3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может быть направлено в прокуратуру 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района.</w:t>
      </w:r>
    </w:p>
    <w:p w:rsidR="00657A87" w:rsidRPr="00590F97" w:rsidRDefault="00657A87" w:rsidP="00657A8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случае </w:t>
      </w:r>
      <w:proofErr w:type="gramStart"/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необходимости доведения результатов экспертизы </w:t>
      </w:r>
      <w:r w:rsidR="00FD2BF2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proofErr w:type="gramEnd"/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сведения </w:t>
      </w:r>
      <w:r w:rsidR="00FD2BF2"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Междуреченского муниципального округа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органов местного самоуправления 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иных органов и организаций оформляется информационное письмо</w:t>
      </w:r>
      <w:r w:rsidR="0059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2" w:name="_GoBack"/>
      <w:bookmarkEnd w:id="2"/>
    </w:p>
    <w:p w:rsidR="00657A87" w:rsidRPr="00590F97" w:rsidRDefault="00657A87" w:rsidP="00657A8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C6EFA" w:rsidRPr="00590F97" w:rsidRDefault="00CC6EF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6EFA" w:rsidRPr="00590F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05" w:rsidRDefault="00604B05" w:rsidP="00CA46BD">
      <w:pPr>
        <w:spacing w:after="0" w:line="240" w:lineRule="auto"/>
      </w:pPr>
      <w:r>
        <w:separator/>
      </w:r>
    </w:p>
  </w:endnote>
  <w:endnote w:type="continuationSeparator" w:id="0">
    <w:p w:rsidR="00604B05" w:rsidRDefault="00604B05" w:rsidP="00CA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05" w:rsidRDefault="00604B05" w:rsidP="00CA46BD">
      <w:pPr>
        <w:spacing w:after="0" w:line="240" w:lineRule="auto"/>
      </w:pPr>
      <w:r>
        <w:separator/>
      </w:r>
    </w:p>
  </w:footnote>
  <w:footnote w:type="continuationSeparator" w:id="0">
    <w:p w:rsidR="00604B05" w:rsidRDefault="00604B05" w:rsidP="00CA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3045"/>
      <w:docPartObj>
        <w:docPartGallery w:val="Page Numbers (Top of Page)"/>
        <w:docPartUnique/>
      </w:docPartObj>
    </w:sdtPr>
    <w:sdtEndPr/>
    <w:sdtContent>
      <w:p w:rsidR="00CA46BD" w:rsidRDefault="00CA46B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97">
          <w:rPr>
            <w:noProof/>
          </w:rPr>
          <w:t>1</w:t>
        </w:r>
        <w:r>
          <w:fldChar w:fldCharType="end"/>
        </w:r>
      </w:p>
    </w:sdtContent>
  </w:sdt>
  <w:p w:rsidR="00CA46BD" w:rsidRDefault="00CA46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DB"/>
    <w:multiLevelType w:val="multilevel"/>
    <w:tmpl w:val="809C723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115" w:hanging="375"/>
      </w:pPr>
    </w:lvl>
    <w:lvl w:ilvl="2">
      <w:start w:val="1"/>
      <w:numFmt w:val="decimal"/>
      <w:lvlText w:val="%1.%2.%3"/>
      <w:lvlJc w:val="left"/>
      <w:pPr>
        <w:ind w:left="2200" w:hanging="720"/>
      </w:pPr>
    </w:lvl>
    <w:lvl w:ilvl="3">
      <w:start w:val="1"/>
      <w:numFmt w:val="decimal"/>
      <w:lvlText w:val="%1.%2.%3.%4"/>
      <w:lvlJc w:val="left"/>
      <w:pPr>
        <w:ind w:left="3300" w:hanging="1080"/>
      </w:pPr>
    </w:lvl>
    <w:lvl w:ilvl="4">
      <w:start w:val="1"/>
      <w:numFmt w:val="decimal"/>
      <w:lvlText w:val="%1.%2.%3.%4.%5"/>
      <w:lvlJc w:val="left"/>
      <w:pPr>
        <w:ind w:left="4040" w:hanging="1080"/>
      </w:pPr>
    </w:lvl>
    <w:lvl w:ilvl="5">
      <w:start w:val="1"/>
      <w:numFmt w:val="decimal"/>
      <w:lvlText w:val="%1.%2.%3.%4.%5.%6"/>
      <w:lvlJc w:val="left"/>
      <w:pPr>
        <w:ind w:left="5140" w:hanging="1440"/>
      </w:pPr>
    </w:lvl>
    <w:lvl w:ilvl="6">
      <w:start w:val="1"/>
      <w:numFmt w:val="decimal"/>
      <w:lvlText w:val="%1.%2.%3.%4.%5.%6.%7"/>
      <w:lvlJc w:val="left"/>
      <w:pPr>
        <w:ind w:left="5880" w:hanging="1440"/>
      </w:pPr>
    </w:lvl>
    <w:lvl w:ilvl="7">
      <w:start w:val="1"/>
      <w:numFmt w:val="decimal"/>
      <w:lvlText w:val="%1.%2.%3.%4.%5.%6.%7.%8"/>
      <w:lvlJc w:val="left"/>
      <w:pPr>
        <w:ind w:left="6980" w:hanging="1800"/>
      </w:pPr>
    </w:lvl>
    <w:lvl w:ilvl="8">
      <w:start w:val="1"/>
      <w:numFmt w:val="decimal"/>
      <w:lvlText w:val="%1.%2.%3.%4.%5.%6.%7.%8.%9"/>
      <w:lvlJc w:val="left"/>
      <w:pPr>
        <w:ind w:left="8080" w:hanging="2160"/>
      </w:pPr>
    </w:lvl>
  </w:abstractNum>
  <w:abstractNum w:abstractNumId="1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5880" w:hanging="144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2">
    <w:nsid w:val="10B35757"/>
    <w:multiLevelType w:val="hybridMultilevel"/>
    <w:tmpl w:val="DC08BFA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>
    <w:nsid w:val="21724979"/>
    <w:multiLevelType w:val="multilevel"/>
    <w:tmpl w:val="B406D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2EA35BA0"/>
    <w:multiLevelType w:val="multilevel"/>
    <w:tmpl w:val="8256B1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86F1D14"/>
    <w:multiLevelType w:val="multilevel"/>
    <w:tmpl w:val="A3A2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360" w:hanging="108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5240" w:hanging="1440"/>
      </w:pPr>
    </w:lvl>
    <w:lvl w:ilvl="6">
      <w:start w:val="1"/>
      <w:numFmt w:val="decimal"/>
      <w:lvlText w:val="%1.%2.%3.%4.%5.%6.%7."/>
      <w:lvlJc w:val="left"/>
      <w:pPr>
        <w:ind w:left="6000" w:hanging="1440"/>
      </w:pPr>
    </w:lvl>
    <w:lvl w:ilvl="7">
      <w:start w:val="1"/>
      <w:numFmt w:val="decimal"/>
      <w:lvlText w:val="%1.%2.%3.%4.%5.%6.%7.%8."/>
      <w:lvlJc w:val="left"/>
      <w:pPr>
        <w:ind w:left="7120" w:hanging="1800"/>
      </w:pPr>
    </w:lvl>
    <w:lvl w:ilvl="8">
      <w:start w:val="1"/>
      <w:numFmt w:val="decimal"/>
      <w:lvlText w:val="%1.%2.%3.%4.%5.%6.%7.%8.%9."/>
      <w:lvlJc w:val="left"/>
      <w:pPr>
        <w:ind w:left="82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0"/>
    <w:rsid w:val="00091825"/>
    <w:rsid w:val="001A60A1"/>
    <w:rsid w:val="002D2037"/>
    <w:rsid w:val="00343ABD"/>
    <w:rsid w:val="003B7161"/>
    <w:rsid w:val="003F37B1"/>
    <w:rsid w:val="00590F97"/>
    <w:rsid w:val="00604B05"/>
    <w:rsid w:val="00657A87"/>
    <w:rsid w:val="006822B9"/>
    <w:rsid w:val="006902A3"/>
    <w:rsid w:val="00781C79"/>
    <w:rsid w:val="007E3525"/>
    <w:rsid w:val="007F2DC3"/>
    <w:rsid w:val="00835636"/>
    <w:rsid w:val="00892E30"/>
    <w:rsid w:val="00A14640"/>
    <w:rsid w:val="00B277C3"/>
    <w:rsid w:val="00BC31D0"/>
    <w:rsid w:val="00CA46BD"/>
    <w:rsid w:val="00CC6EFA"/>
    <w:rsid w:val="00D21028"/>
    <w:rsid w:val="00E06310"/>
    <w:rsid w:val="00E5319D"/>
    <w:rsid w:val="00F31607"/>
    <w:rsid w:val="00F620E9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BD"/>
  </w:style>
  <w:style w:type="paragraph" w:styleId="a5">
    <w:name w:val="footer"/>
    <w:basedOn w:val="a"/>
    <w:link w:val="a6"/>
    <w:uiPriority w:val="99"/>
    <w:unhideWhenUsed/>
    <w:rsid w:val="00CA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6BD"/>
  </w:style>
  <w:style w:type="paragraph" w:styleId="a7">
    <w:name w:val="List Paragraph"/>
    <w:basedOn w:val="a"/>
    <w:uiPriority w:val="34"/>
    <w:qFormat/>
    <w:rsid w:val="00F31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BD"/>
  </w:style>
  <w:style w:type="paragraph" w:styleId="a5">
    <w:name w:val="footer"/>
    <w:basedOn w:val="a"/>
    <w:link w:val="a6"/>
    <w:uiPriority w:val="99"/>
    <w:unhideWhenUsed/>
    <w:rsid w:val="00CA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6BD"/>
  </w:style>
  <w:style w:type="paragraph" w:styleId="a7">
    <w:name w:val="List Paragraph"/>
    <w:basedOn w:val="a"/>
    <w:uiPriority w:val="34"/>
    <w:qFormat/>
    <w:rsid w:val="00F3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dcterms:created xsi:type="dcterms:W3CDTF">2023-05-10T05:44:00Z</dcterms:created>
  <dcterms:modified xsi:type="dcterms:W3CDTF">2023-05-10T06:15:00Z</dcterms:modified>
</cp:coreProperties>
</file>