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01" w:rsidRPr="005B3509" w:rsidRDefault="00D7371C" w:rsidP="00D07D96">
      <w:pPr>
        <w:tabs>
          <w:tab w:val="left" w:pos="2977"/>
        </w:tabs>
        <w:spacing w:after="0" w:line="240" w:lineRule="auto"/>
        <w:ind w:right="56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Отчет</w:t>
      </w:r>
    </w:p>
    <w:p w:rsidR="00C47D01" w:rsidRDefault="00D7371C" w:rsidP="00D07D96">
      <w:pPr>
        <w:tabs>
          <w:tab w:val="left" w:pos="0"/>
        </w:tabs>
        <w:spacing w:after="300" w:line="240" w:lineRule="auto"/>
        <w:ind w:right="56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Контрольно-счетной комиссии  Междуреченского муниципального округа об итогах работы за 2024 год</w:t>
      </w:r>
    </w:p>
    <w:p w:rsidR="00D07D96" w:rsidRPr="005B3509" w:rsidRDefault="00D07D96" w:rsidP="00D07D96">
      <w:pPr>
        <w:tabs>
          <w:tab w:val="left" w:pos="0"/>
        </w:tabs>
        <w:spacing w:after="300" w:line="240" w:lineRule="auto"/>
        <w:ind w:right="56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47D01" w:rsidRDefault="00D7371C" w:rsidP="00D07D96">
      <w:pPr>
        <w:spacing w:after="100" w:line="240" w:lineRule="auto"/>
        <w:ind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Настоящий отчет об итогах работы контрольно-счетной  комиссии  Междуреченского муниципального округа за 2024 год подготовлен на основании требований статьи 20 Положения о контрольно-счетной комиссии   Междуреченского муниципального округа, утвержденного ре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шением от 31 октября 2022 года </w:t>
      </w:r>
      <w:r w:rsidRPr="005B3509">
        <w:rPr>
          <w:rFonts w:ascii="Times New Roman" w:eastAsia="Segoe UI Symbol" w:hAnsi="Times New Roman" w:cs="Times New Roman"/>
          <w:color w:val="000000"/>
          <w:spacing w:val="1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41.</w:t>
      </w:r>
    </w:p>
    <w:p w:rsidR="00D07D96" w:rsidRPr="005B3509" w:rsidRDefault="00D07D96" w:rsidP="00D07D96">
      <w:pPr>
        <w:spacing w:after="100" w:line="240" w:lineRule="auto"/>
        <w:ind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C47D01" w:rsidRPr="005B3509" w:rsidRDefault="00D7371C" w:rsidP="00D07D96">
      <w:pPr>
        <w:spacing w:after="298" w:line="240" w:lineRule="auto"/>
        <w:ind w:left="580" w:right="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1. Общие сведения, характеризующие деятельность контрольно-счетной  комиссии  Междуреченского муниципального округа</w:t>
      </w:r>
    </w:p>
    <w:p w:rsidR="00C47D01" w:rsidRPr="005B3509" w:rsidRDefault="00D7371C" w:rsidP="00D07D96">
      <w:pPr>
        <w:tabs>
          <w:tab w:val="left" w:pos="284"/>
          <w:tab w:val="left" w:pos="197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Контрольно-счетная  комиссия Междуреченского муниципального округа Вологодской области (далее – Ко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нтрольно-счетная комиссия) является постоянно действующим органом внешнего муниципального финансового контроля и контрольно-счетным органом Междуреченского муниципального округа, образуется Представительным Собранием Междуреченского муниципального округа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и ему подотчетна. Контрольно-счетная комиссия входит в структуру органов местного самоуправления Междуреченского муниципального округа Вологодской области.</w:t>
      </w:r>
    </w:p>
    <w:p w:rsidR="00C47D01" w:rsidRPr="005B3509" w:rsidRDefault="00D7371C" w:rsidP="00D07D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Внешний   муниципальный финансовый контроль осуществляется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Контрольно-счетной комиссией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7D01" w:rsidRPr="005B3509" w:rsidRDefault="00D7371C" w:rsidP="00D07D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округа;</w:t>
      </w:r>
    </w:p>
    <w:p w:rsidR="00C47D01" w:rsidRPr="005B3509" w:rsidRDefault="00D7371C" w:rsidP="00D07D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       Контрольно-счетная комиссия создана на основании решения Представительного Собрания Междуреченского муниципального округа от 31.1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41 «О контрольно-счетной комиссии Междуреченского муниципального округа», зарегистрирована  Федеральной налоговой службой 8 ноября 2022 года. Сотрудники контрольно-счетной комиссии приступили к исполнению своих полномочий с 1 января 2023 года.</w:t>
      </w:r>
    </w:p>
    <w:p w:rsidR="00C47D01" w:rsidRPr="005B3509" w:rsidRDefault="00D7371C" w:rsidP="00D07D96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AB43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Решением  Представительного Собрания округа от 31 октября   2022 года </w:t>
      </w:r>
      <w:r w:rsidRPr="005B3509">
        <w:rPr>
          <w:rFonts w:ascii="Times New Roman" w:eastAsia="Segoe UI Symbol" w:hAnsi="Times New Roman" w:cs="Times New Roman"/>
          <w:color w:val="000000"/>
          <w:spacing w:val="1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42 «О структуре и численности Контрольно-счетной комиссии Междуреченского муниципального округа» установлена штатная численность контрольно-счетной комиссии в количестве 2 единиц,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том числе должностей муниципальной службы - 1 единица, муниципальных должностей -1 единица.</w:t>
      </w:r>
    </w:p>
    <w:p w:rsidR="00C47D01" w:rsidRPr="005B3509" w:rsidRDefault="00D7371C" w:rsidP="00D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По состоянию на 1 января 2025 года фактическая численность контрольно-счетной  комиссии составила 2 единицы. Сотрудники имеют высшее экономическое образова</w:t>
      </w:r>
      <w:r w:rsidRPr="005B3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ние, соответствующее специфике выполняемой деятельности</w:t>
      </w: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В отчетном периоде осуществлялся предварительный, оперативный и последующий  </w:t>
      </w:r>
      <w:proofErr w:type="gramStart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  за</w:t>
      </w:r>
      <w:proofErr w:type="gramEnd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формированием и исполнением бюджета округа. </w:t>
      </w:r>
      <w:r w:rsidRPr="005B3509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План работы на 2024 год, утвержденный приказом контрольно-счетной комиссии  от  29декабря  2023 года </w:t>
      </w:r>
      <w:r w:rsidRPr="005B3509">
        <w:rPr>
          <w:rFonts w:ascii="Times New Roman" w:eastAsia="Segoe UI Symbol" w:hAnsi="Times New Roman" w:cs="Times New Roman"/>
          <w:spacing w:val="1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26, выполнен в полном объеме. За год изменения в план работы  вносились два раза, приказом от 19.01.2024 года </w:t>
      </w:r>
      <w:r w:rsidRPr="005B3509">
        <w:rPr>
          <w:rFonts w:ascii="Times New Roman" w:eastAsia="Segoe UI Symbol" w:hAnsi="Times New Roman" w:cs="Times New Roman"/>
          <w:spacing w:val="1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 и от 01.04.2024 года </w:t>
      </w:r>
      <w:r w:rsidRPr="005B3509">
        <w:rPr>
          <w:rFonts w:ascii="Times New Roman" w:eastAsia="Segoe UI Symbol" w:hAnsi="Times New Roman" w:cs="Times New Roman"/>
          <w:spacing w:val="1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7.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За отчетный год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проведено 10  контрольных мероприятий и 11 экспертно-аналитических мероприятий.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Выявлено финансовых нарушений на сумму 543,0 тыс. рублей.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По результатам проведенных контрольных и экспертно-аналитических мероприятий предложено к устранению нарушени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й на 543,0  тыс. рублей. По состоянию на 01 января 2025 года устранены нарушения на общую сумму 543,0 тыс. рублей, то есть в полном объеме.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Выявлено недостатков при планировании и использовании бюджетных средств  и имущества на сумму 835,7 тыс. рублей, в т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ом числе несоответствие принципу результативности и  эффективности использования бюджетных сре</w:t>
      </w:r>
      <w:proofErr w:type="gramStart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дств в с</w:t>
      </w:r>
      <w:proofErr w:type="gramEnd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умме 835,7 тыс. рублей. По результатам проведенных контрольных и экспертно-аналитических мероприятий предложено к устранению  недостатков на сумму 835,7 т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ыс. рублей. По состоянию на 01 января 2025 года устранены недостатки на общую сумму  835,7 тыс. рублей, то есть  в полном объеме.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Расходы на содержание контрольно-счетной комиссии в отчетном периоде составили 1801,2 тыс. рублей.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 Положение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м о контрольно-счетной комиссии о результатах контрольных и экспертно-аналитических мероприятий контрольно-счетная  комиссия информировала в течение года Представительное Собрание округа и Главу округа. В соответствии с заключенными соглашениями в правоохр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анительные органы был  направлено  32 материала  по проведенным контрольным и экспертно-аналитическим мероприятиям.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Контрольно-счетная  комиссия осуществляла свою деятельность в контакте с депутатами Представительного Собрания округа, принимала у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частие в заседаниях постоянных комиссий Представительного Собрания округа. Председатель контрольно-счетной комиссии вошел в состав рабочей группы, созданной управлением финансов администрации округа, по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совершенствованию бухгалтерского учета в округе и ра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боте в ЕЦИС.</w:t>
      </w:r>
    </w:p>
    <w:p w:rsidR="00C47D01" w:rsidRDefault="00D7371C" w:rsidP="00AB43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  В течение года сотрудники контрольно-счетной комиссии принимали участие в семинарах внешних экспертов и круглых столах, организованных в рамках повышения квалификации Союзом МКСО. Учебные мероприятия продолжатся и в 2025 году.</w:t>
      </w:r>
    </w:p>
    <w:p w:rsidR="00AB4319" w:rsidRPr="00AB4319" w:rsidRDefault="00AB4319" w:rsidP="00AB43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47D01" w:rsidRPr="005B3509" w:rsidRDefault="00D7371C" w:rsidP="00AB431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color w:val="C00000"/>
          <w:spacing w:val="1"/>
          <w:sz w:val="28"/>
          <w:szCs w:val="28"/>
        </w:rPr>
        <w:t xml:space="preserve">            </w:t>
      </w:r>
      <w:r w:rsidRPr="005B350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 2. Результаты контрольных мероприятий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Главным направлением деятельности контрольно-счетной комиссии в отчетном периоде являлось проведение контрольных мероприятий.  </w:t>
      </w:r>
      <w:proofErr w:type="gramStart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ходе осуществления контрольных мероприятий  обеспечивался внешний 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муници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пальных финансовый контроль, включающий выявление и устранение   нарушений финансово-бюджетной дисциплины.</w:t>
      </w:r>
      <w:proofErr w:type="gramEnd"/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 отчетный год проведено   10 контрольных мероприятий по проверке использования бюджетных средств на реализацию национальных проектов,  по вопросам 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реализации целевых программ, по учету, сохранности и использованию муниципального имущества, по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аудиту закупок, по проверке соблюдения порядка формирования и финансового обеспечения выполнения муниципального задания,  по оплате труда и трудового законода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тельства,  по осуществлению полномочий главного администратора доходов бюджета округа и по использованию Дорожного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фонда.</w:t>
      </w:r>
    </w:p>
    <w:p w:rsidR="00C47D01" w:rsidRPr="005B3509" w:rsidRDefault="00D7371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контрольно-счетной  комиссии в 2024 году была направлена на повышение результативности контрольной работы. Контрольными м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ероприятиями охвачено двадцать один  объектов проверки с объемом бюджетных средств и стоимостью муниципального имущества 1564019,0 тыс. рублей.</w:t>
      </w:r>
    </w:p>
    <w:p w:rsidR="00C47D01" w:rsidRPr="005B3509" w:rsidRDefault="00D7371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Проведенными проверками выявлено финансовых нарушений согласно действующему классификатору нарушений Счетной пал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аты РФ – 70 единицы на общую сумму 543,0 тыс. рублей, в том числе:</w:t>
      </w:r>
    </w:p>
    <w:p w:rsidR="00C47D01" w:rsidRPr="005B3509" w:rsidRDefault="00D737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формировании и исполнении бюджетов – 23/63,8 тыс. рублей;</w:t>
      </w:r>
    </w:p>
    <w:p w:rsidR="00C47D01" w:rsidRPr="005B3509" w:rsidRDefault="00D737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ведении бухгалтерского учета, предоставления бухгалтерской (финансовой) отчетности  - 5/478,6 тыс. рублей;</w:t>
      </w:r>
    </w:p>
    <w:p w:rsidR="00C47D01" w:rsidRPr="005B3509" w:rsidRDefault="00D737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осуществл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ении муниципальных закупок – 40/0,6 тыс. рублей;</w:t>
      </w:r>
    </w:p>
    <w:p w:rsidR="00C47D01" w:rsidRPr="005B3509" w:rsidRDefault="00D737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в сфере управления  и распоряжения муниципальной собственностью -2/0,0 тыс. рублей;</w:t>
      </w:r>
    </w:p>
    <w:p w:rsidR="00C47D01" w:rsidRPr="00AB4319" w:rsidRDefault="00D7371C" w:rsidP="00AB43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иные нарушения – 0/0,0 тыс. рублей.</w:t>
      </w:r>
    </w:p>
    <w:p w:rsidR="00C47D01" w:rsidRPr="00AB4319" w:rsidRDefault="00D7371C" w:rsidP="00A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>Структура нару</w:t>
      </w:r>
      <w:r w:rsidR="00AB4319">
        <w:rPr>
          <w:rFonts w:ascii="Times New Roman" w:eastAsia="Times New Roman" w:hAnsi="Times New Roman" w:cs="Times New Roman"/>
          <w:b/>
          <w:sz w:val="28"/>
          <w:szCs w:val="28"/>
        </w:rPr>
        <w:t>шений, выявленных в 2024 году (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>в количественном выражении)</w:t>
      </w:r>
      <w:r w:rsidR="00AB4319" w:rsidRPr="00AB4319">
        <w:rPr>
          <w:noProof/>
        </w:rPr>
        <w:t xml:space="preserve"> </w:t>
      </w:r>
      <w:r w:rsidR="00AB4319">
        <w:rPr>
          <w:noProof/>
        </w:rPr>
        <w:drawing>
          <wp:inline distT="0" distB="0" distL="0" distR="0" wp14:anchorId="4560CA14" wp14:editId="2D354380">
            <wp:extent cx="5748528" cy="2688336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7D01" w:rsidRPr="005B3509" w:rsidRDefault="00D7371C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структуре выявленных нарушений наибольший удельный вес занимают нарушения 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 осуществлении муниципальных закупок – 57,1%,  при формировании и исполнении бюджета – 32,9%,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при ведении бухгалтерского учета – 7,1% и  при управлении и  распоряжении  муниципа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льной  собственностью всего 2,9 процента.</w:t>
      </w:r>
    </w:p>
    <w:p w:rsidR="00C47D01" w:rsidRPr="005B3509" w:rsidRDefault="00D7371C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 выявлении нарушений в денежном  выражении  первое место по  удельному  весу  занимают нарушения при ведении бухгалтерского учета – 88,1%, второе место занимают нарушения при формировании и исполнении бюджета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– 11,7 процента.</w:t>
      </w:r>
    </w:p>
    <w:p w:rsidR="00C47D01" w:rsidRPr="005B3509" w:rsidRDefault="00D7371C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Основные виды нарушений бюджетного и иного законодательства, установленные в результате контрольных мероприятий:</w:t>
      </w:r>
    </w:p>
    <w:p w:rsidR="00C47D01" w:rsidRPr="005B3509" w:rsidRDefault="00C47D0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Проведено контрольное мероприятие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Внешняя проверка бюджетной </w:t>
      </w:r>
      <w:proofErr w:type="gram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отчетности главных администраторов  средств бюджета округа</w:t>
      </w:r>
      <w:proofErr w:type="gram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 2023 год»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D01" w:rsidRPr="005B3509" w:rsidRDefault="00C47D0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Управлении по развитию территории администрации </w:t>
      </w:r>
      <w:proofErr w:type="gram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округа</w:t>
      </w:r>
      <w:proofErr w:type="gram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следующие нарушения и недостатки: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B4319" w:rsidRDefault="00D7371C" w:rsidP="00AB43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1. В связи с реорганизацией поселений и района в округ, все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имущество передавалось на уровень округа,  в том числе и основные средства в эксплуатации.   При передаче имущества речь идет о прекращении права оперативного управления по решению собственника имущества. В такой ситуации учреждение для передачи имущества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, учитываемого на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счете 21 "Основные средства в эксплуатации", вынуждено прекратить его эксплуатацию и восстановить на соответствующем балансовом счете 101 00 "Основные средства".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При этом  восстановление объектов основных средств на балансово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 учете на основании решения уполномоченного органа о прекращении их эксплуатации и безвозмездной передаче иному правообладателю, учитываемых на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счете 21 "Основные средства в эксплуатации", отражается по дебету соответствующих счетов аналитиче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ского учета счета 0 101 00 000 "Основные средства" и кредиту счета 0 401 10 172 "Доходы от операций с активами" по стоимости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имущества, отраженной в составе основных средств на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счете 21 "Основные средства в эксплуатации", с одновременным умень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шением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счета 21 "Основные средства в эксплуатации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B43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B4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01.01.2023 года при составлении отчетности  за 2022 год по Администрациям реорганизуемых поселений не были произведены необходимые проводки.   Восстановление на баланс не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произведено в декабре 2022 года, поступление имущества на 21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счет следовало отразить в течение 2023 года как поступление по правопреемнику «Управление по развитию территории администрации округа».</w:t>
      </w:r>
    </w:p>
    <w:p w:rsidR="00C47D01" w:rsidRPr="005B3509" w:rsidRDefault="00AB4319" w:rsidP="00AB43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2. Первоначальный план-график на 2023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 период утвержден и размещен в ЕИС 01 февраля 2023 года с нарушением  срока размещения.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План-график отражает закупки на 2023 год (графа 6 плана-графика), ИКЗ указан на 2023 год, а суммы распределены на 2023 год и плановый период. Таким образом, план-график сформирован с нарушениями. Закупки должны быть отражены по позициям с указанием годов 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закупки (2023, 2024, 2025), соответственно и ИКЗ должно быть сформировано с начальными цифрами 23,24,25.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Таким образом,   имеет место</w:t>
      </w:r>
      <w:r w:rsidR="00AB4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п.3 Порядка формирования, утверждения планов-графиков закупок, внесения изменений в такие планы-гра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9 года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1279 « Об установлении порядка формирования, утверждения планов-графиков закупок, внесения изменений в такие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кие планы-графики и требований к форме планов-графиков закупок и о признании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 (далее – Порядок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1279).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4. В соответствии с планом – графиком от 18.07.2023  года на закупки план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ируется направить в 2023 году 15650,2 тыс.  рублей, в том числе по п.4 ч.1 ст.93 44-ФЗ  - 2438,4 тыс. рублей. Решением Представительного Собрания округа от 28.12.2023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140 «О внесении изменений в решение от 20.12.2022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81» Управлению по развитию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территории установлены бюджетные ассигнования на закупки  в сумме 16740,3 тыс. рублей. Таким образом, в нарушение пункта 2 части 8 ст.16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   размещенный план-график не достоверен, планирование осуществлено с  нарушением законодател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ьства о  закупках.</w:t>
      </w:r>
    </w:p>
    <w:p w:rsidR="00C47D01" w:rsidRPr="005B3509" w:rsidRDefault="00AB43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При проведении  выборочной проверки заключенных договоров и муниципальных контрактов выявились следующие нарушения: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контракты с гарантирующим поставщиком электроэнергии по  п.29 ч.1 ст. 93 44-ФЗ не выложены в ЕИС, исполнен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ие контракта также отсутствует;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контракты, заключенные по п.8 части 1 ст.93 44-ФЗ также не отражены в ЕИС (теплоснабжение, водоснабжение, вывоз ТБО);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в контракте, заключенный с субъектом естественных монополий (ПАО «Ростелеком») на услуги электросвязи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не отражено, по какому пункту части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1 ст. 93 он заключен,  его можно было заключить по п.1 ч.1 ст.93 44-ФЗ и разместить в ЕИС;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договора и муниципальные контракты заключены 09 января 2023 года, до утверждения и размещения  плана-графика на 2023 год (1 фев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раля 2023 года), что является нарушением пункта 2 статьи 72 Бюджетного кодекса РФ.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 статьи 72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государственные (мун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6.</w:t>
      </w:r>
      <w:r w:rsidR="00AB4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Нормативные затраты на обеспечение функций Управления  по развитию территории на 2023 год не утверждены и не размещены в ЕИС.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7.</w:t>
      </w:r>
      <w:r w:rsidRPr="005B35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15312,6 тыс. рублей закупки осуществлены  с единственным поставщиком, из них:  по п. 8 и 29 ч.1 ст. 93 44-ФЗ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4031,6 тыс. рублей,  по пункту 4 ч.1 ст. 93 44-ФЗ – 11281,0  тыс. рублей, что является нарушением  ст. 93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5 апреля 2013 г.     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  контрактной системе в сфере закупок товаров, работ, услуг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 (закупки по п.4 ч.1 ст.93 не должны превышать 2,0 миллионов рублей или  не должны превышать десять процентов совокупного годового объема закуп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ок заказчика).</w:t>
      </w:r>
    </w:p>
    <w:p w:rsidR="00C47D01" w:rsidRPr="005B3509" w:rsidRDefault="00D7371C" w:rsidP="00AB4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по развитию территории  администрации округа рассмотрено представление, принято к сведению в дальнейшем не допускать нарушений Федерального закона от 06.12.2011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402-ФЗ  «О бухгалтерском учете» и Федерального закона от   05.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контрактов, заключения договоров с единственным поставщиком.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Разработаны и утверждены нормативные затраты на осуществление функций Управления по развитию территории администрации округа.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B431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 Администрации Междуреченского муниципального округа  следующие нарушения и недостатки: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47D01" w:rsidRPr="005B3509" w:rsidRDefault="00D737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1. Первоначальный пла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н-график сформирован только на 2023 год, закупки на 2024 и 2025 годы не нашли отражения, что является нарушением п.3 Порядка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1279.</w:t>
      </w:r>
    </w:p>
    <w:p w:rsidR="00C47D01" w:rsidRPr="005B3509" w:rsidRDefault="00A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2. План-график отражает закупки на 2023 год (графа 6 плана-графика), ИКЗ указан на 2023 год, а суммы распреде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лены на 2023 год и плановый период. Таким образом, план-график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и 23,24,25.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Таким  образом, 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лючения информации в такие планы-графики и требований к форме планов-графиков закупок, утвержденных  Постановлением Правительства РФ от 30 сентября 2019 года 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1279 « Об установлении порядка формирования, утверждения планов-графиков закупок, внесения изме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нений в такие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ешений правительства Российской Федерации» (далее – Порядок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1279).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Закупки  по п.4 части 1 ст. 93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5 апреля 2013 года   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О  контрактной системе в сфере закупок товаров, работ, услуг для обеспечения государственных и муниципальных нужд» осуществлены  в 2023 году с нарушением (закупки по п.4 ч.1 ст.93 не должны превышать 2,0 миллионов рублей или  не должны превышать десять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центов совокупного годового объема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закупок заказчика, в нашем случае 15371,2 тыс. рублей). Превышение сумм составило 8775,9 тыс. рублей.</w:t>
      </w:r>
    </w:p>
    <w:p w:rsidR="00C47D01" w:rsidRPr="005B3509" w:rsidRDefault="00AB43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4. Нормативные затраты на обеспечение функций Администрации округа  не утверждены и не размещены в ЕИС, размещены тольк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о проекты требований к отдельным видам товаров и проект расчетов нормативных затрат, что является нарушением статьи 19 Федерального закона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44-ФЗ.</w:t>
      </w:r>
    </w:p>
    <w:p w:rsidR="00C47D01" w:rsidRPr="005B3509" w:rsidRDefault="00D737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Междуреченского муниципального  округа рассмотрено представление,  принято к сведению в дальне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йшем не допускать нарушений  Федерального закона от  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ктов, заключения договоров с единственным поставщиком.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Разработаны и утверждены нормативные затраты на осуществление функций Администрации Междуреченского муниципального округа.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 Представительного Собрания  Междуреченского муни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ципального </w:t>
      </w:r>
      <w:proofErr w:type="gram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округа</w:t>
      </w:r>
      <w:proofErr w:type="gram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следующие нарушения и недостатки: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47D01" w:rsidRPr="005B3509" w:rsidRDefault="00D737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формирования Плана-графика на 2023 год  уставлено отсутствие  размещения Плана – Графика в ЕИС информационно-телекоммуникационной сети «Интернет»,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таким образом, имеется нарушение п.2 ст.72 БК РФ   государственные (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муниципальные) 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>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тановленном </w:t>
      </w:r>
      <w:hyperlink r:id="rId10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услуг для обеспечения государственных и муниципальных нужд поря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дке, и оплачиваются в пределах лимитов бюджетных обязательств, за исключением случаев, установленных </w:t>
      </w:r>
      <w:hyperlink r:id="rId11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статьи),  п.1 ст.16 Федеральный закон от 05.0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4.2013 N 44-ФЗ (ред. от 25.12.2023) «О контрактной системе в сфере закупок товаров, работ, услуг для обеспечения государственных и муниципальных нужд» (Планирование закупок осуществляется посредством формирования, утверждения и ведения планов-графиков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упки, не предусмотренные планами-графиками, не могут быть осуществлены) и постановления Правительства РФ от 30.09.2019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1279 «Положение о порядке формирования, утверждение  Планов-Графиков закупок, внесение изменений в такие Планы-Графики, размещение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планов-графиков Закупок в единой информационной системе 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 и планирование закупок заказчиком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, осуществляющим деятельность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иностранного государства, а также о требованиях к форме Планов-Графиков закупок».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2. Нормативные затраты на обеспечение функций Представительного Собрания округа на 2023 год также не утверждены и не раз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мещены в ЕИС,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является нарушением статьи 19 Федерального закона от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C47D01" w:rsidRPr="005B3509" w:rsidRDefault="00D7371C" w:rsidP="009167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3. В соответствии со статьей 73 Бюджетного кодекса РФ получатели бюджетных средств обязаны вести реестры закупок, осуществленных без заключения государст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венных или муниципальных контрактов. Представительное Собрание округа не предоставило реестр закупок за 2023 год, однако по  показателям формы 0503127 «Отчет об исполнении бюджета главного распорядителя, распорядителя, получателя бюджетных средств, главног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 администратора, администратора источников финансирования дефицита бюджета, главного администратора, администратора доходов бюджета» сумма  по ВР 240 составляет 174,6 тыс. рублей.</w:t>
      </w:r>
    </w:p>
    <w:p w:rsidR="00C47D01" w:rsidRPr="005B3509" w:rsidRDefault="00D7371C" w:rsidP="009167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Представительным Собранием Междуреченского муниципального  округа рассмотре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но  представление,  принято к сведению в дальнейшем не допускать нарушений  Федерального закона от  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в части планирования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осуществления закупок. Разместить в ЕИС план-график закупок на 2024 год.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Разработаны и утверждены нормативные затраты на осуществление функций Представительного Собрания Междуреченского муниципального округа.</w:t>
      </w:r>
    </w:p>
    <w:p w:rsidR="00C47D01" w:rsidRPr="005B3509" w:rsidRDefault="00C4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 Управления образования   администрации  </w:t>
      </w:r>
      <w:proofErr w:type="gram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округа</w:t>
      </w:r>
      <w:proofErr w:type="gram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следующие нарушения и недостатки: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47D01" w:rsidRPr="005B3509" w:rsidRDefault="00D737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При проверке  формирования и размещения Плана-графика   на Официальном сайте  на 2023 год установлено следующее. План-график утвержден 10 февраля 2023 года и размещен на Официальном сайте  также 10.02.2023 года с нарушением срока, кроме того в столбце 6 по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строкам 14,15,16  указан 2023 год, необходимо указать 2024 год.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2. Нормативные затраты на обеспечение функций Управления  образования на 2023 год не утверждены и не  размещены в ЕИС,  что является нарушением ст.19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44-ФЗ.</w:t>
      </w:r>
    </w:p>
    <w:p w:rsidR="00C47D01" w:rsidRPr="005B3509" w:rsidRDefault="00D737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ем образования   администрации  округа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рассмотрено  представление,  принято к сведению в дальнейшем не допускать нарушений  Федерального закона от  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енных и муниципальных нужд» в части планирования осуществления закупок.</w:t>
      </w:r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утверждены нормативные затраты на осуществление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функций Управления образования администрации  округа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D01" w:rsidRPr="005B3509" w:rsidRDefault="00C4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</w:t>
      </w:r>
      <w:r w:rsidR="00916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Проведено контрольное мероприятие «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Проверка соблюдения законодательства о   контрактной системе  при осуществлении закупок  по содержанию дорог в зимний период по отдельным маршрутам в Администрации Междуреченского округа за 2024 год  по обращению гражданки Смирновой Е.С. , по результатам к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оторой выявлены следующие нарушения и недостатки:</w:t>
      </w:r>
    </w:p>
    <w:p w:rsidR="00C47D01" w:rsidRPr="005B3509" w:rsidRDefault="00D737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 Подрядчиками по исполнению работ по зимнему содержанию дорог  ООО «Междуреченская строительная компания»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и  ООО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«Барс» не исполнены три пункта муниципального контракта: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« 3.1.4. В соответствии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действующего законодательства Российской Федерации оборудовать дорожную технику, используемую для содержания дорог, системой спутниковой навигации.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3.1.5. На весь период действия Контракта  обеспечить постоянный доступ Заказчику на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его оборудовании к информации о местоположении техники Подрядчика, занятой на содержании дорог, в режиме реального времени.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3.1.6. По требованию Заказчика предоставлять данные о работе техники, оборудованной системой спутникового мониторинга, зад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ействованной на содержании дорог, при предварительной приемке за любой требуемый период или для подтверждения ранее принятых работ». Данный факт   является нарушением части 1 статьи 34 Федерального закона от   05.04.2013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 со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стороны Администрации округа ответственные лица не проконтролировали исполнение положений контракта надлежащим образом. </w:t>
      </w:r>
    </w:p>
    <w:p w:rsidR="00C47D01" w:rsidRPr="005B3509" w:rsidRDefault="00916714" w:rsidP="00916714">
      <w:pPr>
        <w:spacing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 округа</w:t>
      </w:r>
      <w:r w:rsidR="00D7371C"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рассмотрено  п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редставление,  принято к сведению в дальнейшем не допускать нарушений  Федерального закона от   05.04.2013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части   исполнения муниципальных контрактов, заключения договоров с единственным поставщиком, также  проанализированы и  приняты меры к недопущению в зимний период 2024 – 2025 годов выявленных нарушений и недостатков.     </w:t>
      </w:r>
      <w:proofErr w:type="gramEnd"/>
    </w:p>
    <w:p w:rsidR="00C47D01" w:rsidRPr="005B3509" w:rsidRDefault="00C47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16714" w:rsidRDefault="00D7371C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Проведено контрольно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 мероприятие  «Проверка соблюдения Положения об оплате труда и трудового законодательства в Администрации округа за 2023 год», по результатам которой выявлены следующие нарушения и недостатки Учреждения:  </w:t>
      </w:r>
    </w:p>
    <w:p w:rsidR="00C47D01" w:rsidRPr="00916714" w:rsidRDefault="00916714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67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7371C" w:rsidRPr="009167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 проверки выявилось, что по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мощнику Главы округа Х.Н.А.  при приеме на работу установлен оклад, который не соответствует Положению об оплате труда   (Приложение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1 к Положению об оплате труда). Пунктом 5 Приложения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1 установлен оклад для помощника Главы в размере от 9106 до 10026 ру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блей. Распоряжением о приеме на работу от 01.06.2023 года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76 л.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назначении на должность» Х.Н.А. установлен должностной оклад по должности помощник главы - 8800,0 рублей. Недоплата составила 9606,80 рублей за 7 месяцев 2023 года. Администрацией округ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а произведена доплата  за 2023 год на основании распоряжения администрации округа от 26.01.2024 года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26-р «О дополнительном премировании».  В соответствии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данным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документом произведена оплата за качественную и оперативную обработку обращений граждан, п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оступивших через в адрес администрации им главы округа в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январе 2024 года, в размере 1,5 должностных окладов. Со слов работников администрации округа выплаченная премия является доплатой за 2023 год за неправильно установленный оклад при приеме на работу.</w:t>
      </w:r>
    </w:p>
    <w:p w:rsidR="00916714" w:rsidRDefault="00D7371C" w:rsidP="00916714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="00D07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 проверке распоряжений на осуществление выплат выявлено распоряжение от 24.07.2023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201-р «О возложении обязанностей»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на  Х.Н.А. , помощника главы  округа,  возлагается исполнение обязанностей секретаря окружной межведомственной комиссии по профилактике правонарушений с 1 июля 2023 года с доплатой 3000,0 рублей в месяц.  Положением об оплате труда  данна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я должность не предусмотрена, в штатном расписании также отсутствует, сумма незаконной выплаты составила 18000,0 рублей (6 месяцев по 3000,0 рублей). Дополнительное соглашение к трудовому договору не предоставлено, в чем заключается работа секретаря  межве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домственной комиссии по профилактике правонарушений, не ясно. Также не понятно, на каком основании   назначена доплата в размере 3000,0 рублей в месяц.       Таким образом, имеет место нарушение Положения об оплате труда, утвержденного решением   Представи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тельного Собрания Междуреченского муниципального округа от 20.12.2022 г.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89 «Об утверждении Положения об оплате труда в органах местного самоуправления округа».</w:t>
      </w:r>
    </w:p>
    <w:p w:rsidR="00C47D01" w:rsidRPr="005B3509" w:rsidRDefault="00D07D96" w:rsidP="00916714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Собрания округа от 24.01.2023 года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5 «Об оплате т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руда председателя Представительного Собрания  и главы  Междуреченского муниципального округа»  с 1 января 2023 года главе округа  установлен должностной оклад 19562,40 рублей, председателю Представительного Собрания – 13208,0 рублей.</w:t>
      </w:r>
    </w:p>
    <w:p w:rsidR="00C47D01" w:rsidRPr="005B3509" w:rsidRDefault="00D7371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решение  от 31.10.2022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32 «Об оплате труда главы округа» и в решение от 31.10.2022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31, утверждающее Положение об оплате труда Главы округа, изменения не внесены относительно оклада Главы округа, где он отражен в первоначальном размере -18810,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0 рублей.   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4.   В распоряжении от 03.04.2023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86-р «О материальной помощи»  допущена ошибка в указании нормативно-правового акта, на основании которого производится выплата материальной помощи. В распоряжении указывается ссылка на решение Пред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ставительного Собрания от 20.12.2022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89 «Об оплате труда в органах местного самоуправления округа», следует указать решение Представительного Собрания от 31.10.2022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31 «Об утверждении Положения об оплате труда Главы округа», так как выплата мат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ериальной помощи производится Главе округа.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В распоряжениях на увольнение  от 11.09.2023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92 -л. с. и  от 31.10.2023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98-л.с.  неправильно указан нормативно-правовой акт, в соответствии с которым производится окончательный расчет оперативн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ых дежурных ЕДДС округа. Следует производить окончательный расчет не в соответствии с решением Представительного Собрания округа от 20.12.2023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89  «Положением об оплате труда в органах местного самоуправления округа», а в соответствии с постановление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администрации округа от 01.08.2023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526 «Об оплате труда работников  ЕДДС».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5. На проверку предоставлены два распоряжения по администрации округа «Об отпуске»: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-  от 05.06.2023 года – на убытие главы округа в ежегодный основной оплачива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емый отпуск частично  продолжительностью 14 календарный дней с 19 июня по 02 июля 2023 года за период  с 14.11.2022 года по 13.11.2023 года с поручением исполнять полномочия главы округа на период отпуска К.С.Н., первому заместителю главы округа,  с доплат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ой в размере 15000,0 рублей;</w:t>
      </w:r>
      <w:proofErr w:type="gramEnd"/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от 17.07.2023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35-р «Об отпуске» -  на убытие главы округа в ежегодный основной оплачиваемый отпуск частично  продолжительностью 5 календарный дней с 31 июля по 04 августа 2023 года, ежегодный дополнительный оплачи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ваемый отпуск продолжительностью 14 календарных дней с 5 августа по 18 августа 2023 года за период  с 14.11.2022 года по 13.11.2023 года с поручением исполнять полномочия главы округа на период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отпуска К.С.Н., первому заместителю главы округа,  с доплатой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размере 25000,0 рублей.</w:t>
      </w:r>
    </w:p>
    <w:p w:rsidR="00C47D01" w:rsidRPr="005B3509" w:rsidRDefault="00D737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Контрольно-счетная комиссия считает, что вышеуказанные распоряжения по администрации округа должны быть оформлены как распоряжения главы округа,  в соответствии с частью 5 статьи 35 Устава округа в случае временного отсутст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вия главы Междуреченского муниципального округа.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Нарушена статья 136 ТК РФ, так как заработная плата выплачивается не реже, чем каждые полмесяца (15 календарных дней). В администрации округа  период между выплатой заработной  платы за 2 половину меся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ца и следующей выплатой за 1 половину месяца составляет более 15 дней. Контрольно-счетная комиссия рекомендует определить сроки выплаты заработной платы за 1 половину месяца -14 или 15 числа, за вторую половину месяца -29 или 30 числа с разницей в 15 кален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дарных дней.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7D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выборочной проверки дополнительных соглашений к трудовым договорам   на выполнение дополнительной работы по договору  выявлено, что  заключено дополнительное соглашение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 от 09.01.2023 года  к трудовому договору от 14.06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3   на выполнение дополнительной работы по должности ведущего специалиста отдела строительства и жилищно-коммунального хозяйства администрации  округа  (муниципальная должность) с  ведущим экспертом отдела имущественных отношений администрации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округа (немуниципальная должность) И.Т.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Н., что является нарушением ч. 1 ст. 10 Федерального  закона от 02.03.2007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25-ФЗ «О муниципальной службе в Российской Федерации».</w:t>
      </w:r>
    </w:p>
    <w:p w:rsidR="00916714" w:rsidRDefault="00D7371C" w:rsidP="009167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 округа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рассмотрено  представление,  принято к сведению в дальнейшем не допускать нарушений  Положения об оплате труда в органах местного самоуправления округа в части возложения полномочий по должности, не предусмотренной  Положением по оплате труда и штатным рас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писанием.</w:t>
      </w:r>
    </w:p>
    <w:p w:rsidR="00C47D01" w:rsidRPr="005B3509" w:rsidRDefault="00D7371C" w:rsidP="0091671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Приведено в соответствие решения Представительного Собрания от 31.10.2022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31 «Об утверждении Положения об оплате труда Главы округа» и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32 «Об оплате труда Главы округа» решением Представительного Собрания округа от 13.06.2024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71.</w:t>
      </w:r>
    </w:p>
    <w:p w:rsidR="00C47D01" w:rsidRPr="005B3509" w:rsidRDefault="00D73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Приняты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к сведению замечания  на правильность оформления ссылок на нормативно-правовые акты при  оформлении распоряжений на выплату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материальной помощи и  увольнения работников, а также на временное отсутствие главы округа    (убытие в отпуск)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оформлять распоряжениями главы округа в соответствии с ч.5 ст.35 Устава округа.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Внесены изменения в Правила внутреннего трудового распорядка и трудовые договора с работниками относительно сроков выплаты заработной платы в соответствии со статьей 136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ТК РФ.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Устранено нарушение  федерального закона от 02.03.2007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РФ» в части заключения дополнительных соглашений к трудовым договорам по возложению на  немуниципальных служащих дополнительной работы по должности муниц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ипальной службы (распоряжение администрации округа от 06.06.2024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76-д.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>. «О доплате»).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4.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«Проверка  </w:t>
      </w:r>
      <w:proofErr w:type="gram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осуществления полномочий главного администратора  доходов бюджета</w:t>
      </w:r>
      <w:proofErr w:type="gram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округа – Администрации округа по администрированию дебиторской задолженности за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2023 год», по результатам которой выявлены следующие нарушения и недостатки: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финансов РФ от  18.11.2022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172н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утверждены общие требования к регламенту реализации полномочий администра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тора доходов бюджета по взысканию дебиторской задолженности по платежам в бюджет, пеням и штрафам по ним.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округа вышеуказанный   регламент на момент проведения проверки не утвержден.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5B3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округа не принят нормативно-правово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й акт, который утверждает Положение о коммерческом найме жилых помещений муниципального жилищного фонда, находящихся в собственности Междуреченского муниципального округа,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методику расчета платы за коммерческий </w:t>
      </w:r>
      <w:proofErr w:type="spellStart"/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помещений муниципального жилищного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коммерческого использования, форму  договора коммерческого найма жилого помещения муниципального жилищного фонда.</w:t>
      </w:r>
      <w:proofErr w:type="gramEnd"/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 суммы коммерческого найма производится по методике расчета договоров социального найма с повышенным коэффициентом.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16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Pr="005B3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сравнении полученных данных по плате за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с данными годового отчета об исполнении бюджета следует, что сумма поступлений средств не соответствует данным отчета (372116,33 рубля)  на  3584,66 рублей, дебиторская задолженность отражена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в годовом отчете в сумме 314782,38 рублей, что меньше, чем в предоставленных документах на  28032,69 рублей.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В предоставленной  отделом имущественных отношений инвентаризационной ведомости   на 29.12.2023 года дебиторская задолженность по платежам за соци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альный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отражена в сумме 314782,38 рублей, что идет вразрез с оборотной ведомостью за декабрь месяц 2023 года по ООО «ССК» (335494,35 рублей).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дебиторской задолженности не отражена задолженность за коммерческий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жилых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помещений, что указывает на   ненадлежащее осуществление  бюджетных полномочий главного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администратора   доходов бюджета округа – Администрации округа (код нарушений  классификатора Счетной палаты РФ-  1.2.98)  и некачественное осуществление проведения инв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ентаризации, что является   нарушением статьи 11 Федерального закона от 6 декабря 2011 года   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код нарушений  классификатора Счетной палаты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РФ -  2.4).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данные о размере дебиторской задолженности в годовом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отчете об исполнении бюджета занижены и недостоверны.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Pr="005B3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По коду бюджетной классификации по аренде муниципального имущества также поступала плата за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коммерческий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течение 2023 года.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платы за коммерческий 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объясня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ется неправильным отражением в договорах коммерческого найма кода бюджетной классификации для зачисления сумм коммерческого найма, что является нарушением приказа Минфина РФ от 17.05.2022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75н « Об утверждении кодов (перечня кодов) бюджетной классифик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ации РФ на 2023 год (на 2023 год и на плановый период 2024 и 2025 годов).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5. Дебиторская задолженность  на 01.01.2024 года согласно годовому отчету об исполнении бюджета по аренде имущества  составила 88,3 тыс. рублей, что больше суммы  в отчете, предос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тавленной Администрацией округа, на  9,3 тыс. рублей. Сумма задолженности по аренде имущества на 01.01.2024 года  отражена в инвентаризационной описи на 29.12.2023 года в сумме 88,3 тыс. рублей. Таким образом, имеет место   некачественное осуществление про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ведения инвентаризации, что является   нарушением статьи 11 Федерального закона от 6 декабря 2011 года   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 (код нарушений  классификатора Счетной палаты РФ -  2.4). Следовательно, данные о размере дебиторской задолженности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годовом отчете об исполнении бюджета завышены  и недостоверны.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6. Администрацией округа проводится работа по взысканию дебиторской задолженности в бюджет округа. </w:t>
      </w:r>
      <w:r w:rsidRPr="005B3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 за период 2022-2024 годов мировым судьёй Судебного участка </w:t>
      </w:r>
      <w:r w:rsidRPr="005B3509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51 было выдано 13 судебн</w:t>
      </w:r>
      <w:r w:rsidRPr="005B3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приказов о взыскании задолженности за наем жилых помещений муниципального жилищного фонда в сумме 227 823 рублей 60 копеек, однако поступление денежных сре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в б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юджет округа осуществляется низкими темпами</w:t>
      </w:r>
      <w:r w:rsidRPr="005B3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35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C47D01" w:rsidRPr="005B3509" w:rsidRDefault="00916714" w:rsidP="009167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D7371C" w:rsidRPr="005B35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округа устранены отмеченные нарушения и недостатки п. 1,2,3,4 и приняты к сведению и недопущению в дальнейшем нарушения п.5 и 6.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5.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Проведено контрольное мероприятие   «Аудит закупок в казенном учреждении «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 бюджетного учета и отчетности Междуреченского муниципального округа за 2023 год и истекший период 2024 года»,  по результатам которого  выявлены следующие нарушения и недостатки: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1. Приказов о назначении контрактного управляющего за проверяем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ый период не издавалось, должностная инструкция контрактного управляющего не утверждена, что является нарушением части 2 статьи  38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44-ФЗ.  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План-график отражает закупки на 2023 год (графа 6 плана-графика), ИКЗ указан на 2023 год, а суммы распределены на 2023 год и плановый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период. Таким образом, план-график сформирован с нарушениями. Закупки должны быть отражены по позициям с указанием годов 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закупки (2023, 2024, 2025), соответственно и ИКЗ должно быть сформировано с начальными цифрами 23,24,25.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Таким образом,   имеет место нарушение п.3 Порядка формирования, утверждения планов-графиков закупок, внесения изменений в такие планы-гра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9 года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1279 « Об установлении порядка формирования, утверждения планов-графиков закупок, внесения изменений в такие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кие планы-графики и требований к форме планов-графиков закупок и о признании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 (далее – Порядок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1279). Аналогичная ошибка и в плане-графике на 2024 год и плановый период, которая была ус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транена во время проведения контрольного мероприятия.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 части 8 ст.16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   размещенный план-график на 2024 год и плановый период 2025 и 2026 годов не полностью отражает изменения в закупках на 2024 год и пла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новый период 2025 и 2026 годов (увеличение сумм  закупок в апреле 2024 года на 27100,0 тыс. рублей, не отраженное в плане-графике).</w:t>
      </w:r>
      <w:proofErr w:type="gramEnd"/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Ошибка исправлена в ходе проведения проверки.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При проверке исполнения контрактов за 2023 год выявились следующие нар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ушения: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- контракт на поставку электроэнергии с ООО «ССК», заключенный на сумму 51109,04 рублей, исполнен в сумме 37868,41 рублей (74,1 %), дополнительное соглашение на уменьшение суммы контракта не заключено;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-  контракт с ООО «Приток» на  отпуск пить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евой воды и водоотведение, заключенный на сумму 8967,0 рублей, исполнен в сумме 3736,25 рублей (41,7%), дополнительное соглашение на уменьшение суммы контракта  в соответствии с пунктом 4.2 контракта  не заключено;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-  договор на оказание услуг связи (тел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ефония) с ПАО «Ростелеком», заключенный  на сумму 44806,28 рублей исполнен на сумму 45369,80 рублей, то есть на 563,52 рублей больше, дополнительное соглашение на увеличение суммы договора не заключено.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На проверку  нормативные затраты на обеспече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ние функций Учреждения не предоставлены, так как не утверждены администрацией округа и не размещены в ЕИС.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Отчет об объеме закупок у СМП, СОНКО  Учреждением  за 2023 год  не создавался и не размещался в ЕИС.</w:t>
      </w:r>
    </w:p>
    <w:p w:rsidR="00C47D01" w:rsidRPr="005B3509" w:rsidRDefault="00916714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Казенным учреждении «Центр  бюджетного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учета и отчетности Междуреченского муниципального округа»  рассмотрено  представление,  принято к сведению в дальнейшем не допускать нарушений  Федерального закона от   05.04.2013 </w:t>
      </w:r>
      <w:r w:rsidR="00D7371C"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для обе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спечения государственных и муниципальных нужд» в части  формирования и достоверности данных плана-графика  закупок  товаров, работ и услуг, ч.2 ст. 38, в части исполнения контрактов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, а также приняты меры к надлежащему оформлению и своевременному размещению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Отчета  об объеме закупок у СМП, СОНКО за 2024 год.</w:t>
      </w:r>
    </w:p>
    <w:p w:rsidR="00C47D01" w:rsidRPr="005B3509" w:rsidRDefault="00916714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утверждены нормативные затраты на осуществление функций КУ «Центр  бюджетного учета и отчетности Междуреченского муниципального округа». </w:t>
      </w:r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167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Проведено контрольное мероприятие   «Прове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рка обеспечения учета, сохранности и эффективного использования муниципального имущества, переданного в оперативное управление  МБУ  ММО МФЦ  за 2023 год и истекший период 2024 года»,  по результатам которого  выявлены следующие нарушения и недостатки: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1.  Поступление за 2023 год составило 155995,0 рублей, из них: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машины и оборудование на 106758,0 рублей (МФУ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Canon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-38063,0 рубля, планшет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-39720,0 рублей, планшет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Samsung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-28975,0 рублей), распоряжением администрации о передаче в оперативно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е управление данные машины и оборудование оформлены только в 2024 году распоряжением администрации  округа от 19.01.2024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14-р «О передаче имущества» на основании ходатайства Учреждения от 17.01.2024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11 и 12.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При сверке оборотной ведомости за 20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23 год по Учреждению с реестром муниципального имущества округа выявлено несоответствие на вышеуказанную сумму 106758,0 рублей по машинам и оборудованию.</w:t>
      </w:r>
      <w:r w:rsidRPr="005B35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Порядка ведения органами местного самоуправления реестра муниципального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имущества, утвержденного Приказом Министерства экономического развития Российской Федерации от 30.08.2011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424, внесение в реестр сведений об объектах учета и записей об изменении сведений о них осуществляется на основе  письменного заявления правоо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бладателя недвижимого и (или) движимого имущества, сведения о котором подлежат включению в разделы 1 и 2 реестра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>, или лица, сведения о котором подлежат включению в раздел 3 реестра.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Заявление с приложением заверенных копий документов предоставляется 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Таким образом, наблюдается несвоевременное внесе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ние сведений по приобретенным  основным средствам.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2. Договор  от 01.01.2023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7 с КУ ММО «Центр обеспечения деятельности учреждений бюджетной сферы» заключен на безвозмездное пользование нежилыми помещениями, где размещается Учреждение (номера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кабинетов 6,7,8,9,10,11 по техническому паспорту) общей площадью 54,1 кв. м. Срок действия договора - с 01 января 2023 года по 31декабря 2023 года. Однако согласно форме 0503768 «Сведения о движении нефинансовых активов учреждения» за 2023 год нежилые поме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щения переданы в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оперативное управление Учреждения  и отражены на балансе Учреждения в сумме 10339,13 рублей на 01.01.2023 года и на 01.01.2024 года. Данная ошибка была устранена только в 2024 году  после издания распоряжения администрации округа от 07.05.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148-р, по которому распоряжение от 03.03.2021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80-р «О передаче имущества» признано утратившим силу. В бухгалтерском учете отражено списание с баланса нежилых помещений балансовой стоимостью 10339,13 рублей.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3.  В приказах о проведен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ии инвентаризации материально ответственное лицо – директор Учреждения назначен председателем инвентаризационной комиссии, что является нарушением 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п. 2.3, 2.8 Методических указаний по инвентаризации имущества и финансовых обязательств, утвержденных Приказо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Минфина от 13.06.1995 </w:t>
      </w:r>
      <w:r w:rsidRPr="005B3509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49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указаний по инвентаризации имущества и финансовых обязательств»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Материально ответственное лицо  не включается в состав инвентаризационной комиссии</w:t>
      </w:r>
      <w:r w:rsidRPr="005B350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поскольку оно является заинтересованным  лицом. Материально ответственное лицо должно присутствовать при проведении инвентаризации имущества, за которое оно отвечает.</w:t>
      </w:r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МБУ  ММО МФЦ рассмотрено  представление,  принято к сведению в дальнейшем не допускать 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арушений  по несвоевременному внесению сведений по приобретенным    объектам имущества  в реестр муниципального имущества округа. 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 Оформлен приказ на осуществление инвентаризации в  соответствии с   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Методическими указаниями по инвентаризации им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ущества и финансовых обязательств, утвержденных Приказом Минфина от 13.06.1995 </w:t>
      </w:r>
      <w:r w:rsidRPr="005B3509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49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указаний по инвентаризации имущества и финансовых обязательств»</w:t>
      </w: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47D01" w:rsidRPr="005B3509" w:rsidRDefault="00C47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167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6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Проведено контрольное мероприятие   «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Проверка формирования и использования Дорожного фонда Междуреченского муниципального округа за 2023 год в Администрации округа»,  по результатам которого  выявлены следующие нарушения и недостатки: </w:t>
      </w:r>
    </w:p>
    <w:p w:rsidR="00C47D01" w:rsidRPr="005B3509" w:rsidRDefault="00C47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Администратор Администрация округа: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На проверку  представлен   Перечень автомобильных дорог Междуреченского муниципального района, утвержденный постановлением администрации Междуреченского муниципального района от 09.11.2016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355 «Об утверждении перечня автомобильных дорог». На момент провед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ения проверки в администрации округа не принят новый нормативно-правовой  документ, определяющий перечень автомобильных дорог муниципального округа.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2. Значительная доля автомобильных дорог не оформлена в собственность округа, что является нарушением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15.07.2015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218-ФЗ «О государственной регистрации недвижимости».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3. На проверку предоставлено постановление администрации Междуреченского муниципального района от   10.02.2017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91 «Об утверждении нормативов финансовых затр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ат на капитальный ремонт, ремонт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содержание автомобильных дорог общего пользования местного значения и правилах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расчета  размера ассигнований бюджета  района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на указанные цели». Нормативы финансовых затрат на капитальный ремонт, ремонт  и содержание авт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омобильных дорог общего пользования местного значения и правила расчета размера ассигнований бюджета района на указанные цели утверждены  со сроком действия до 31 декабря  2023 года.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В нарушение пункта 11 части 1 статьи 13 и статьи 34 Федерального зак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она от 08.11.2007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на момент проверки вышеуказанный нормативно-правовой акт не является дейст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вующим и требуется внесение изменений или принятия нового нормативно-правового акта.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Программа «Сохранение и совершенствование транспортной системы на территории Междуреченского муниципального округа на 2023-2027 годы»  и подпрограмма 1 «Сохранение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сети автомобильных дорог местного значения» разработана в соответствии с постановлением администрации Междуреченского муниципального района от 31.10.2022 года 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505 «Об утверждении Порядка разработки, реализации и оценки эффективности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Междуреченского муниципального округа».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61 Порядка предложения о внесении изменений в муниципальную программу в случаях, предусмотренных подпунктами «а» - «з» пункта 60, инициируются ответственным исполнителе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 муниципальной программы и направляются в контрольно-счетную комиссию Междуреченского муниципального округа для осуществления финансово-экономической экспертизы в виде пакета документов, включающего: </w:t>
      </w:r>
    </w:p>
    <w:p w:rsidR="00C47D01" w:rsidRPr="005B3509" w:rsidRDefault="00D73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1) проект постановления о внесении изменений в муницип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альную программу;</w:t>
      </w:r>
    </w:p>
    <w:p w:rsidR="00C47D01" w:rsidRPr="005B3509" w:rsidRDefault="00D73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2) пояснительную записку, которая должна содержать:</w:t>
      </w:r>
    </w:p>
    <w:p w:rsidR="00C47D01" w:rsidRPr="005B3509" w:rsidRDefault="00D73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а) обоснование необходимости внесения изменений в муниципальную программу;</w:t>
      </w:r>
    </w:p>
    <w:p w:rsidR="00C47D01" w:rsidRPr="005B3509" w:rsidRDefault="00D73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б) финансово-экономическое обоснование внесения изменений в муниципальную программу.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Однако в 2023 году   по да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нной программе, ни по другим программам документы в контрольно-счетную комиссию не поступали, что является нарушением выше указанного постановления.</w:t>
      </w:r>
    </w:p>
    <w:p w:rsidR="00C47D01" w:rsidRPr="005B3509" w:rsidRDefault="00D7371C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5. В соответствии с решением Представительного Собрания округа от 15.05.2024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45 « Об утвержде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нии Отчета об исполнении бюджета Междуреченского муниципального округа Вологодской области за 2023 год» расходы Дорожного  фонда за 2023 год составили </w:t>
      </w:r>
      <w:r w:rsidRPr="00916714">
        <w:rPr>
          <w:rFonts w:ascii="Times New Roman" w:eastAsia="Times New Roman" w:hAnsi="Times New Roman" w:cs="Times New Roman"/>
          <w:i/>
          <w:sz w:val="28"/>
          <w:szCs w:val="28"/>
        </w:rPr>
        <w:t>68401,3</w:t>
      </w:r>
      <w:r w:rsidRPr="005B35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C47D01" w:rsidRPr="005B3509" w:rsidRDefault="00D7371C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 содержание дорог и искусственных сооружений на них -</w:t>
      </w:r>
      <w:r w:rsidRPr="00916714">
        <w:rPr>
          <w:rFonts w:ascii="Times New Roman" w:eastAsia="Times New Roman" w:hAnsi="Times New Roman" w:cs="Times New Roman"/>
          <w:i/>
          <w:sz w:val="28"/>
          <w:szCs w:val="28"/>
        </w:rPr>
        <w:t>6596,8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47D01" w:rsidRPr="005B3509" w:rsidRDefault="00D7371C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 ремонт и капитальный ремонт дорог -</w:t>
      </w:r>
      <w:r w:rsidRPr="00916714">
        <w:rPr>
          <w:rFonts w:ascii="Times New Roman" w:eastAsia="Times New Roman" w:hAnsi="Times New Roman" w:cs="Times New Roman"/>
          <w:i/>
          <w:sz w:val="28"/>
          <w:szCs w:val="28"/>
        </w:rPr>
        <w:t>61434,5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47D01" w:rsidRPr="005B3509" w:rsidRDefault="00D7371C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- проектно-изыскательские работы, экспертизы -</w:t>
      </w:r>
      <w:r w:rsidRPr="00916714">
        <w:rPr>
          <w:rFonts w:ascii="Times New Roman" w:eastAsia="Times New Roman" w:hAnsi="Times New Roman" w:cs="Times New Roman"/>
          <w:i/>
          <w:sz w:val="28"/>
          <w:szCs w:val="28"/>
        </w:rPr>
        <w:t>370,0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Постановлением администрации округа от 12.07.2024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456 «О внесении изменений в постановление администрации райо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на от 25.10.2022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459» внесены изменения в   муниципальную программу «Сохранение и совершенствование транспортной системы на территории Междуреченского муниципального округа на 2023-2027 годы» изложив её в новой редакции, однако показатели финансового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 подпрограммы  1 на 2023 год не изменены в соответствии с решением об исполнении бюджета.</w:t>
      </w:r>
      <w:proofErr w:type="gramEnd"/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нарушение пункта 2 статьи 179 Бюджетного кодекса РФ ресурсное обеспечение реализации подпрограммы не соответствует решению об  исполнении бюджета округ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  за 2023 год.</w:t>
      </w: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16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6. При проверке заключенных договоров отмечены следующие нарушения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в  договорах отсутствуют ИКЗ, что является нарушением части 15 статьи 34  и статьи  23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ФЗ. Отражать  идентификационный код закупки в договорах стали только в конце 2023 года;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в договорах, заключенных с ООО «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Артдело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>», ИП Орехова Н.В., ООО «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Монза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>», ПЗК имени 50-летия СССР, не указана цена договора. Указана только стоимость работы 1 часа трак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тора различных  марок: от 1500 рублей до 2731,12 рублей за 1  час работы трактора определенной марки, что является нарушением части 15 статьи 34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44-ФЗ;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договора на содержание дорог и ледовой переправы заключены ранее размещения плана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-графика в ЕИС  (01 января, 10 января, 17 января 2023 года), что является нарушением части 1 статьи16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44-ФЗ  и   пункта 2 статьи 72 Бюджетного кодекса РФ.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 статьи 72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Администрацией  округа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рассмотрено  представление,  принято к сведению в дальнейшем не допускать нарушений  Федерального закона от  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льных нужд» в части   правильности заключения договоров с соблюдением сроков и т.д.</w:t>
      </w:r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План мероприятий по правовому оформлению дорог в собственность округа будет разработан в 1 квартале 2025 года в соответствии с муниципальной программой и в пределах выделен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ных денежных средств на данное мероприятия (данный пункт находится на контроле).  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 Внесены  изменения в ресурсное обеспечение  муниципальной программы «Сохранение и совершенствование транспортной системы на территории Междуреченского муниципально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го округа на 2023-2027 годы»  и подпрограмму 1 «Сохранение и совершенствование сети автомобильных дорог местного значения» в соответствии с решением об исполнении бюджета округа  и по реализации муниципальной программы за 2024 год.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В январе 2025 г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ода  будут выполнены  работы по проведению нормативно-правовой документации в сфере дорожной деятельности (данный пункт находится на контроле).</w:t>
      </w:r>
    </w:p>
    <w:p w:rsidR="00C47D01" w:rsidRPr="005B3509" w:rsidRDefault="00C4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916714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B3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91671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Администратор Управление по развитию территории администрации округа: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заключенных договоров отмечены следующие нарушения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в  договорах проставлены  ИКЗ, что отражены в плане-графике закупок Учреждения на 2023 год. Однако данные ИКЗ отражены для осуществления закупок посредством прове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дения электронной процедуры, мы же имеем заключение контракта с единственным поставщиком (п.4 части 1 ст. 93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44-ФЗ), без проведения конкурентной закупки, соответственно и ИКЗ  будет другой -233351300382035130100100020000000000, отражен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ный в плане-графике закупок в ЕИС.    Данное  несоответствие ИКЗ является нарушением статьи 23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44-ФЗ.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в договорах, заключенных с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Люсковым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Ю.А. и Загоскиным А.А. , не указана цена договора. Указана только стоимость работы 1 часа трак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тора: от 1497,30 рублей до 1500,0 рублей, что является нарушением части 15 статьи 34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44-ФЗ.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- договор с 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Люсковым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Ю.А. заключен  09 января 2023 года   ранее размещения плана-графика в ЕИС на 2023 год и плановый период (размещен 01 фе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враля 2023 года),   что является нарушением части 1 статьи16 Федерального закона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44-ФЗ  и   пункта 2 статьи 72 Бюджетного кодекса РФ. 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 ста</w:t>
        </w:r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тьи 72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    </w:t>
      </w:r>
      <w:proofErr w:type="gramEnd"/>
    </w:p>
    <w:p w:rsidR="00C47D01" w:rsidRPr="005B3509" w:rsidRDefault="00D7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Управлением по развитию территории администрац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ии  округа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рассмотрено  представление,  принято к сведению в дальнейшем не допускать нарушений  Федерального закона от   05.04.2013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части  сроков заключения договоров, цены договоров, отражения ИКЗ на договорах.</w:t>
      </w:r>
    </w:p>
    <w:p w:rsidR="00C47D01" w:rsidRPr="005B3509" w:rsidRDefault="00C47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35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Проведено контрольное мероприятие   «Проверка соблюдения порядка формирования и финансового обеспечения выполнения  муниципального задания МБОУ «</w:t>
      </w:r>
      <w:proofErr w:type="spellStart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Шейбухтовская</w:t>
      </w:r>
      <w:proofErr w:type="spellEnd"/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ООШ</w:t>
      </w:r>
      <w:r w:rsidR="003D36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B35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 по результатам которого  выявлены следующие нарушения и недостатки: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Согласно Уставу Учреждения  функции и полномочия Учредителя  исполняет Администрация округа в лице Управления образования.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Управлением образования утвержден Устав Учреждения в последней редакции.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Представительного Собрания Междуреченского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от 20.12.2022 года </w:t>
      </w:r>
      <w:r w:rsidRPr="005B350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81 «О бюджете округа на 2023 год и плановый период 2024 и 2025 годов»        финансирование бюджетных учреждений образования осуществляет Учредитель - Администрация округа.  Администрация округа  согласовывает   Пл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аны финансово-хозяйственной деятельности и изменения к ним. Расходы отражены   по ГРБС  «Администрация округа»  в бюджете округа на 2023 год и плановый период 2024 и 2025 годов. Управление образования не является главным распорядителем бюджетных средств и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получает средства только на свое содержание в соответствии с бюджетом округа на 2023 год и плановый период.    Финансовое обеспечение отдельных государственных полномочий  также осуществляется Администрацией округа, расходы  отражены в бюджете округа на 20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23 год и плановый период. Таким образом,  в Уставе Учреждения неправильно указан Учредитель, соответственно  утверждать новый Устав Управление образования не имело полномочий. Утверждение  Устава Учреждения - прерогатива администрации округа, как Учредител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я Учреждения.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hyperlink r:id="rId14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пункта 15.1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предоставления информации государственным (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 (далее - Порядок N 86н), Учреждением не обеспечено размещение на сайте </w:t>
      </w:r>
      <w:hyperlink r:id="rId15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www.bus.gov.ru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документов   в сроки, установленные </w:t>
      </w:r>
      <w:hyperlink r:id="rId16">
        <w:r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15</w:t>
        </w:r>
      </w:hyperlink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Порядка N 86н </w:t>
      </w:r>
      <w:r w:rsidRPr="005B3509">
        <w:rPr>
          <w:rFonts w:ascii="Times New Roman" w:eastAsia="Times New Roman" w:hAnsi="Times New Roman" w:cs="Times New Roman"/>
          <w:sz w:val="28"/>
          <w:szCs w:val="28"/>
          <w:u w:val="single"/>
        </w:rPr>
        <w:t>(не позднее пяти рабочих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дней, следующих за днем принятия документов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 проверки муниципальных заданий и отчетов об их исполнении выявлены следующие недостатки: 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по показателю качества муниципальных услуг  «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предоставления услуги»  (в процентах) в отчетах по исполнению муниципального задания  отражен плановый показатель – не менее 80%.  По данной строке необходимо отражать фактичес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кий показатель по результатам анкетирования родителей;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отчет о проведенном выборочном опросе (анкетировании) получателей услуг об их удовлетворенности качеством и доступностью предоставляемых услуг также не предоставлен;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показатели, отраженные в отчета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х об исполнении муниципального задания, не соответствуют показателям, отраженным в муниципальном задании.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отчете за 1 квартал 2023 года  отражено вместо не менее 80 % - 100 процентов, что не соответствует действительности.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Аналогичная ошибка отражена и в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отчетах за 2 и 3 квартал и в целом за  2023 год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Муниципальными заданиями на 2023 и 2024  год предусмотрены только услуги, однако в отчетах за 2023   и 2024 годы отражены работы.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отчетах за 2023 год отражены показатели качества, не утвержденные п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о данной муниципальной услуге в муниципальном задании.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задании на 2023 год по муниципальной услуге «Реализация основных общеобразовательных программ начального общего образования» определены 3 показателя качества муниципальной услу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ги. В отчете о выполнении муниципального задания за 3 квартал 2023 года указан  еще один показатель качества, который не имел место в муниципальном задании – уровень соответствия учебного плана общеобразовательного учреждения требованиям федерального базис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ного учебного плана в процентах.</w:t>
      </w:r>
    </w:p>
    <w:p w:rsidR="00C47D01" w:rsidRPr="005B3509" w:rsidRDefault="00D7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В годовом отчете за 2023 год по выполнению муниципального задания по муниципальной услуге «реализация дополнительных общеразвивающих образовательных программ» отражено, что при годовом плане 3400 человеко-часов исполнени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 за год составило 1972 часа, то есть всего 58% от годового муниципального задания при допустимом возможном отклонении 10 процентов. Однако при подсчете показателей за кварталы 2023 года по данной муниципальной услуге получается 3094 человека-часа ( 1 квар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тал -960 </w:t>
      </w: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>чел-час</w:t>
      </w:r>
      <w:proofErr w:type="gramEnd"/>
      <w:r w:rsidRPr="005B3509">
        <w:rPr>
          <w:rFonts w:ascii="Times New Roman" w:eastAsia="Times New Roman" w:hAnsi="Times New Roman" w:cs="Times New Roman"/>
          <w:sz w:val="28"/>
          <w:szCs w:val="28"/>
        </w:rPr>
        <w:t>., 2 квартал – 960 чел.</w:t>
      </w:r>
      <w:r w:rsidR="007B7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час., 3 квартал  - 498 чел. час., 4 квартал -676 чел. час.). Данное исполнение  составляет 91 процент от муниципального задания, в пределах допустимого возможного отклонения. Кроме того,  не в соответствии с муниципал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ьным заданием указан показатель объема по вышеуказанной муниципальной услуге.</w:t>
      </w:r>
    </w:p>
    <w:p w:rsidR="00C47D01" w:rsidRPr="007B7332" w:rsidRDefault="007B7332" w:rsidP="007B73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332">
        <w:rPr>
          <w:rFonts w:ascii="Times New Roman" w:eastAsia="Times New Roman" w:hAnsi="Times New Roman" w:cs="Times New Roman"/>
          <w:noProof/>
          <w:sz w:val="28"/>
          <w:szCs w:val="28"/>
        </w:rPr>
        <w:t>7.</w:t>
      </w:r>
      <w:r w:rsidRPr="007B73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B733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выполнении муниципального задания за 2023  год</w:t>
      </w:r>
      <w:r w:rsidRPr="007B7332">
        <w:rPr>
          <w:rFonts w:ascii="Times New Roman" w:eastAsia="Times New Roman" w:hAnsi="Times New Roman" w:cs="Times New Roman"/>
          <w:color w:val="F79646"/>
          <w:sz w:val="28"/>
          <w:szCs w:val="28"/>
        </w:rPr>
        <w:t xml:space="preserve">  </w:t>
      </w:r>
      <w:r w:rsidRPr="007B7332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17" w:history="1"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bus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3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B7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«Государственные и муниципальные учреждения»  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опубликован 22 февраля 2024 года  (утвержден Главой округа 14 февраля  2024 года) с нарушением срока публикации на 1 день. Отчет должен быть    опубликован в течение  5 рабочих дней, следующих за принятием документа.</w:t>
      </w:r>
      <w:r w:rsidR="00D7371C" w:rsidRPr="005B35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 имеет место нарушение  </w:t>
      </w:r>
      <w:hyperlink r:id="rId18">
        <w:r w:rsidR="00D7371C"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пункта 15.1</w:t>
        </w:r>
      </w:hyperlink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ения на официальном сайте в сети Интернет и ведения указанного сайта, утвержденного приказом Минфина России от 21 июля 2011 г. N 86н (далее - Порядок N 86н), Учреждением не обеспечено размещение на сайте </w:t>
      </w:r>
      <w:hyperlink r:id="rId19">
        <w:proofErr w:type="gramEnd"/>
        <w:r w:rsidR="00D7371C"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www.bus.go</w:t>
        </w:r>
        <w:r w:rsidR="00D7371C"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v.ru</w:t>
        </w:r>
        <w:proofErr w:type="gramStart"/>
      </w:hyperlink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  документов   в сроки, установленные </w:t>
      </w:r>
      <w:hyperlink r:id="rId20">
        <w:r w:rsidR="00D7371C" w:rsidRPr="005B35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15</w:t>
        </w:r>
      </w:hyperlink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Порядка N 86н (не</w:t>
      </w:r>
      <w:proofErr w:type="gramEnd"/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 xml:space="preserve"> позднее пяти рабоч</w:t>
      </w:r>
      <w:r w:rsidR="00D7371C" w:rsidRPr="005B3509">
        <w:rPr>
          <w:rFonts w:ascii="Times New Roman" w:eastAsia="Times New Roman" w:hAnsi="Times New Roman" w:cs="Times New Roman"/>
          <w:sz w:val="28"/>
          <w:szCs w:val="28"/>
        </w:rPr>
        <w:t>их дней, следующих за днем принятия документов.</w:t>
      </w:r>
    </w:p>
    <w:p w:rsidR="00C47D01" w:rsidRDefault="00D7371C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        Срок устранения (исполнения)  данных нарушений наступает 27 января 2025 года (находится на контроле). </w:t>
      </w:r>
    </w:p>
    <w:p w:rsidR="00916714" w:rsidRPr="00916714" w:rsidRDefault="00916714" w:rsidP="0091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D01" w:rsidRPr="005B3509" w:rsidRDefault="00D7371C" w:rsidP="007B7332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контрольных мероприятий за 2024 год направлено 14  представлений об устранении выявленных нарушений. В адрес проверенных органов местного самоуправления, муниципальных учреждений разработано 49 предложений,  из которых выполнено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(принято к исполнению) - 46, или 94,0 процента (по  3-м  предложениям срок исполнения наступает в 2025 году).</w:t>
      </w:r>
    </w:p>
    <w:p w:rsidR="00C47D01" w:rsidRPr="005B3509" w:rsidRDefault="00D7371C" w:rsidP="007B7332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Невыполненные и выполненные не в полном объеме предложения по результатам проведенных контрольных мероприятий в 2024  году остаются на контроле ко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нтрольно-счетной  комиссии.</w:t>
      </w:r>
    </w:p>
    <w:p w:rsidR="00C47D01" w:rsidRPr="005B3509" w:rsidRDefault="00D7371C" w:rsidP="007B73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Одним из элементов повышения результативности контрольных мероприятий контрольно-счетной комиссии являлось взаимодействие с правоохранительными органами. В рамках взаимодействия контрольно-счетной  комиссии с прокуратурой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района,   МО МВД России «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Грязовецкий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» проводилась работа по выявлению и пресечению правонарушений в финансово-бюджетной сфере, все отчеты о результатах контрольных мероприятий направлены в вышеуказанные правоохранительные органы.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C47D01" w:rsidRPr="005B3509" w:rsidRDefault="00C47D01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color w:val="C00000"/>
          <w:spacing w:val="5"/>
          <w:sz w:val="28"/>
          <w:szCs w:val="28"/>
        </w:rPr>
      </w:pPr>
    </w:p>
    <w:p w:rsidR="00C47D01" w:rsidRPr="00D07D96" w:rsidRDefault="00D7371C" w:rsidP="00D07D96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3. </w:t>
      </w:r>
      <w:r w:rsidRPr="005B3509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Результаты экспертно-аналитических мероприятий</w:t>
      </w:r>
    </w:p>
    <w:p w:rsidR="00C47D01" w:rsidRPr="005B3509" w:rsidRDefault="00D737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  о контрольно-счетной комиссии   осуществлялось экспертно-аналитическое направление деятельности посредством проведения экспертизы проектов муниципальных правовых актов и анализа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отчетных и иных данных.</w:t>
      </w:r>
    </w:p>
    <w:p w:rsidR="00C47D01" w:rsidRPr="005B3509" w:rsidRDefault="00D7371C">
      <w:pPr>
        <w:tabs>
          <w:tab w:val="right" w:pos="1076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В процессе экспертно – аналитического исследования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проводился анализ соответствия представленных проектов, муниципальных правовых актов и материалов действующему законодательству, нормативной и методической базам, а также экономичес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ких, финансовых и другого рода обоснований.</w:t>
      </w:r>
    </w:p>
    <w:p w:rsidR="00C47D01" w:rsidRPr="005B3509" w:rsidRDefault="00D737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В отчетном периоде проведено 11 экспертно-аналитических мероприятий, подготовлено 11 заключений  в том числе:</w:t>
      </w:r>
    </w:p>
    <w:p w:rsidR="00C47D01" w:rsidRPr="005B3509" w:rsidRDefault="00D73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внешняя проверка (анализ) отчета об исполнении бюджета района и бюджетов поселений за 2023 год;</w:t>
      </w:r>
    </w:p>
    <w:p w:rsidR="00C47D01" w:rsidRPr="005B3509" w:rsidRDefault="00D73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эксп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ертиза проекта решения Представительного Собрания округа  «О бюджете округа на 2025 год и плановый период 2026-2027 годов»;</w:t>
      </w:r>
    </w:p>
    <w:p w:rsidR="00C47D01" w:rsidRPr="003D3610" w:rsidRDefault="00D73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D3610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проектов решений о внесении изменений и дополнений в решение «О бюджете округа на 2024 год и плановый период 2025-2026 г</w:t>
      </w:r>
      <w:r w:rsidRPr="003D3610">
        <w:rPr>
          <w:rFonts w:ascii="Times New Roman" w:eastAsia="Times New Roman" w:hAnsi="Times New Roman" w:cs="Times New Roman"/>
          <w:sz w:val="28"/>
          <w:szCs w:val="28"/>
        </w:rPr>
        <w:t xml:space="preserve">одов»  в течение 2024  года;  </w:t>
      </w:r>
    </w:p>
    <w:p w:rsidR="00C47D01" w:rsidRPr="003D3610" w:rsidRDefault="00D737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D3610">
        <w:rPr>
          <w:rFonts w:ascii="Times New Roman" w:eastAsia="Times New Roman" w:hAnsi="Times New Roman" w:cs="Times New Roman"/>
          <w:sz w:val="28"/>
          <w:szCs w:val="28"/>
        </w:rPr>
        <w:t xml:space="preserve"> анализ отчетов об исполнении бюджета округа   за 1 квартал, 6 месяцев и 9 месяцев 2024 года. </w:t>
      </w:r>
      <w:r w:rsidRPr="003D361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D36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7D01" w:rsidRPr="003D3610" w:rsidRDefault="00D7371C">
      <w:pPr>
        <w:spacing w:after="0" w:line="322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D36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D3610">
        <w:rPr>
          <w:rFonts w:ascii="Times New Roman" w:eastAsia="Times New Roman" w:hAnsi="Times New Roman" w:cs="Times New Roman"/>
          <w:sz w:val="28"/>
          <w:szCs w:val="28"/>
        </w:rPr>
        <w:t>Выявлены следующие  нарушения  при проведении анализа и экспертизы: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610"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Pr="003D3610">
        <w:rPr>
          <w:rFonts w:ascii="Times New Roman" w:eastAsia="Times New Roman" w:hAnsi="Times New Roman" w:cs="Times New Roman"/>
          <w:sz w:val="28"/>
          <w:szCs w:val="28"/>
        </w:rPr>
        <w:t>При  проверке  годовых отчетов об исполнении бюджетов за 2023 год  отмечены следующие нарушения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и недостатки: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отчет о доходах, полученных от использования муниципального имущества, предоставленный в контрольно-счетную комиссию, содержит только сведения о поступлении доходов, полученных от продажи и использования муниципального имущества в разрезе неналоговых доход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ных источников, прогнозный план приватизации имущества округа необходимо планировать более достоверно (с уточнением суммы планируемой получить от продажи муниципального имущества), допущена опечатка в одном приложении.</w:t>
      </w:r>
      <w:proofErr w:type="gramEnd"/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F575E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2. При проверке проектов вносимых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изменений в бюджет округа в основном  имеются замечания по формулировке текста решений и описки. 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Следует отметить, что ошибок стало значительно меньше, чем это было ранее.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3.</w:t>
      </w:r>
      <w:r w:rsidR="00F5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проекта бюджета округа на 2025 год и плановый период 2026-2027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 годов установление следующие нарушения и недостатки: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расчет  по прогнозируемым поступлениям по неналоговым доходам  подготовлен  управлением финансов администрации  округа, однако главным администратором  неналоговых доходов бюджета округа является адми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нистрация округа (отдел имущественных отношений),</w:t>
      </w:r>
    </w:p>
    <w:p w:rsidR="001A6ADB" w:rsidRPr="00D07D96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sz w:val="28"/>
          <w:szCs w:val="28"/>
        </w:rPr>
        <w:t>- допущена опечатка в одном приложении.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6924"/>
        <w:gridCol w:w="1723"/>
      </w:tblGrid>
      <w:tr w:rsidR="00C47D01" w:rsidRPr="005B3509" w:rsidTr="00D07D96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1A6ADB" w:rsidRDefault="00D7371C" w:rsidP="001A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Основные показатели деятельности контрольно-счетной  комиссии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47D01" w:rsidRPr="005B3509" w:rsidTr="00D07D96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1. Контрольные мероприятия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B3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проведенных контрольных мероприятий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финансовых нарушений на сумму (тыс. руб.), в том числе: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543,0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формировании и исполнении бюджетов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63,8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478,6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управления и распоряжения муниципальной собственностью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осуществлении муниципальных закупок и закупок отдельными видами юридических лиц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нарушения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Нецелевое использование средств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D01" w:rsidRPr="005B3509" w:rsidTr="00D07D96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B3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экспертно-</w:t>
            </w:r>
          </w:p>
          <w:p w:rsidR="00C47D01" w:rsidRPr="005B3509" w:rsidRDefault="00D7371C">
            <w:pPr>
              <w:spacing w:after="0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аналитических мероприятий, из них: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заключений по проектам муниципальных правовых актов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заключений по проектам решений о местном бюджете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1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финансовых нарушений (тыс. руб.), в том числе: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tabs>
                <w:tab w:val="left" w:pos="8562"/>
                <w:tab w:val="left" w:pos="8631"/>
                <w:tab w:val="left" w:pos="9954"/>
              </w:tabs>
              <w:spacing w:after="0" w:line="260" w:lineRule="auto"/>
              <w:ind w:right="-1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формировании и исполнении бюджетов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7D01" w:rsidRPr="005B3509" w:rsidTr="00D07D96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3. Реализация результатов контрольных и экспертно-аналитических</w:t>
            </w:r>
          </w:p>
          <w:p w:rsidR="00C47D01" w:rsidRPr="005B3509" w:rsidRDefault="00D737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lastRenderedPageBreak/>
              <w:t>мероприятий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B3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представлений (ед.)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предложений (ед.)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49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4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C47D01" w:rsidRPr="005B3509" w:rsidRDefault="00D73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выполнено предложений по устранению нарушений,   (включая принятые к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C47D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сведению) (ед.)</w:t>
            </w:r>
          </w:p>
        </w:tc>
        <w:tc>
          <w:tcPr>
            <w:tcW w:w="17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C47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Предложено к отражению в учете (в решении о бюджете округа) в представлениях и заключениях контрольно-счетной  комиссии (тыс. руб.)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543,0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Отражено в решениях о бюджете округа (восстановлено в бюджет) (тыс. руб.)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543,0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Направлено предложений по результатам экспертно-аналитических мероприятий (ед.)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25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Принято решений органов местного самоуправления по результатам проведенных мероприятий (ед.)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 материалов, направленных в прокуратуру района по итогам контрольных мероприятий контрольно-счетной  комиссией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</w:tr>
      <w:tr w:rsidR="00C47D01" w:rsidRPr="005B3509" w:rsidTr="001A6ADB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7D01" w:rsidRPr="005B3509" w:rsidRDefault="00D7371C">
            <w:pPr>
              <w:spacing w:after="0" w:line="2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C47D01" w:rsidRPr="005B3509" w:rsidRDefault="00D7371C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Число лиц, привлеченных к дисциплинарной ответственности (чел.)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47D01" w:rsidRPr="005B3509" w:rsidRDefault="00D7371C">
            <w:pPr>
              <w:spacing w:after="0" w:line="260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50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</w:p>
        </w:tc>
      </w:tr>
    </w:tbl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bookmarkStart w:id="0" w:name="_GoBack"/>
      <w:bookmarkEnd w:id="0"/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совершенствования своей деятельности, обмена опытом и получения информационных материалов контрольно-счетная комиссия взаимодействовала с Контрольно-счетной палатой Вологодской области и с органами внешнего финансового контроля муниципальных образо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ваний области. В рамках взаимодействия с органами финансового контроля в 2023 году заключено Соглашение с Управлением Федерального казначейства по Вологодской области по обмену информацией. В 2023 году заключены Соглашения о взаимодействии с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прокуратурой р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айона  и МО МВД России «</w:t>
      </w:r>
      <w:proofErr w:type="spellStart"/>
      <w:r w:rsidRPr="005B3509">
        <w:rPr>
          <w:rFonts w:ascii="Times New Roman" w:eastAsia="Times New Roman" w:hAnsi="Times New Roman" w:cs="Times New Roman"/>
          <w:sz w:val="28"/>
          <w:szCs w:val="28"/>
        </w:rPr>
        <w:t>Грязовецкий</w:t>
      </w:r>
      <w:proofErr w:type="spellEnd"/>
      <w:r w:rsidRPr="005B350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 xml:space="preserve">      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>В отчетном периоде контрольно-счетной комиссией ведется работа с ресурсами электронной почты, официальным  сайтом Междуреченского муниципального округа в сети Интернет, размещается информация в социальной сети «В</w:t>
      </w:r>
      <w:r w:rsidRPr="005B3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контакте».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На официальном   сайте  в разделе «Контрольно-счетный орган»  в течение 2024 года размещалась информация о проведенных контрольных мероприятиях (10 публикаций), заключения о проведенных экспертно-аналитических мероприятиях  (11 заключений), отч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>ет о работе контрольно</w:t>
      </w:r>
      <w:r w:rsidR="007B7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09">
        <w:rPr>
          <w:rFonts w:ascii="Times New Roman" w:eastAsia="Times New Roman" w:hAnsi="Times New Roman" w:cs="Times New Roman"/>
          <w:sz w:val="28"/>
          <w:szCs w:val="28"/>
        </w:rPr>
        <w:t xml:space="preserve">- счетной комиссии за 2023 год, план работы на 2024 год. </w:t>
      </w:r>
    </w:p>
    <w:p w:rsidR="00C47D01" w:rsidRPr="005B3509" w:rsidRDefault="00D7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B350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C47D01" w:rsidRPr="005B3509" w:rsidRDefault="00C47D01" w:rsidP="005B3509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sectPr w:rsidR="00C47D01" w:rsidRPr="005B3509" w:rsidSect="00AB4319">
      <w:footerReference w:type="default" r:id="rId2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1C" w:rsidRDefault="00D7371C" w:rsidP="005B3509">
      <w:pPr>
        <w:spacing w:after="0" w:line="240" w:lineRule="auto"/>
      </w:pPr>
      <w:r>
        <w:separator/>
      </w:r>
    </w:p>
  </w:endnote>
  <w:endnote w:type="continuationSeparator" w:id="0">
    <w:p w:rsidR="00D7371C" w:rsidRDefault="00D7371C" w:rsidP="005B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5643"/>
      <w:docPartObj>
        <w:docPartGallery w:val="Page Numbers (Bottom of Page)"/>
        <w:docPartUnique/>
      </w:docPartObj>
    </w:sdtPr>
    <w:sdtContent>
      <w:p w:rsidR="005B3509" w:rsidRDefault="005B35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ED">
          <w:rPr>
            <w:noProof/>
          </w:rPr>
          <w:t>24</w:t>
        </w:r>
        <w:r>
          <w:fldChar w:fldCharType="end"/>
        </w:r>
      </w:p>
    </w:sdtContent>
  </w:sdt>
  <w:p w:rsidR="005B3509" w:rsidRDefault="005B35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1C" w:rsidRDefault="00D7371C" w:rsidP="005B3509">
      <w:pPr>
        <w:spacing w:after="0" w:line="240" w:lineRule="auto"/>
      </w:pPr>
      <w:r>
        <w:separator/>
      </w:r>
    </w:p>
  </w:footnote>
  <w:footnote w:type="continuationSeparator" w:id="0">
    <w:p w:rsidR="00D7371C" w:rsidRDefault="00D7371C" w:rsidP="005B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5958"/>
    <w:multiLevelType w:val="multilevel"/>
    <w:tmpl w:val="C1F8F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1A6069"/>
    <w:multiLevelType w:val="multilevel"/>
    <w:tmpl w:val="CEAC4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D01"/>
    <w:rsid w:val="001A6ADB"/>
    <w:rsid w:val="003D3610"/>
    <w:rsid w:val="005B3509"/>
    <w:rsid w:val="007B7332"/>
    <w:rsid w:val="00916714"/>
    <w:rsid w:val="00AB4319"/>
    <w:rsid w:val="00C47D01"/>
    <w:rsid w:val="00D07D96"/>
    <w:rsid w:val="00D7371C"/>
    <w:rsid w:val="00DE1EF8"/>
    <w:rsid w:val="00F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509"/>
  </w:style>
  <w:style w:type="paragraph" w:styleId="a5">
    <w:name w:val="footer"/>
    <w:basedOn w:val="a"/>
    <w:link w:val="a6"/>
    <w:uiPriority w:val="99"/>
    <w:unhideWhenUsed/>
    <w:rsid w:val="005B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509"/>
  </w:style>
  <w:style w:type="paragraph" w:styleId="a7">
    <w:name w:val="Balloon Text"/>
    <w:basedOn w:val="a"/>
    <w:link w:val="a8"/>
    <w:uiPriority w:val="99"/>
    <w:semiHidden/>
    <w:unhideWhenUsed/>
    <w:rsid w:val="00AB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login.consultant.ru/link/?req=doc&amp;base=LAW&amp;n=465808&amp;dst=103430" TargetMode="External"/><Relationship Id="rId18" Type="http://schemas.openxmlformats.org/officeDocument/2006/relationships/hyperlink" Target="consultantplus://offline/ref=BDD99139ACF48D3D9B10CA0E5FAD9D87447576024E379906BC489714ED2062CFF348BD821588F64AE913003BC55E3782F7507CL9E1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808&amp;dst=103430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20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103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707&amp;dst=1355" TargetMode="External"/><Relationship Id="rId19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103430" TargetMode="External"/><Relationship Id="rId14" Type="http://schemas.openxmlformats.org/officeDocument/2006/relationships/hyperlink" Target="consultantplus://offline/ref=BDD99139ACF48D3D9B10CA0E5FAD9D87447576024E379906BC489714ED2062CFF348BD821588F64AE913003BC55E3782F7507CL9E1M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Нарушения при</a:t>
                    </a:r>
                    <a:r>
                      <a:rPr lang="ru-RU" baseline="0"/>
                      <a:t> формировании и исполнении бюджета </a:t>
                    </a:r>
                    <a:r>
                      <a:rPr lang="ru-RU"/>
                      <a:t>- </a:t>
                    </a:r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291666666666665E-2"/>
                  <c:y val="1.00393700787401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Нарушения</a:t>
                    </a:r>
                    <a:r>
                      <a:rPr lang="ru-RU" baseline="0"/>
                      <a:t> при ведении бух. учета - </a:t>
                    </a:r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Нарушения при осуществлении муниц. закупок - </a:t>
                    </a:r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Нарушения в сфере управления и распоряжения мун. собственностью - </a:t>
                    </a:r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Иные нарушения -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Лист3!$B$7:$B$11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  <c:pt idx="2">
                  <c:v>40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9800</Words>
  <Characters>55861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8</cp:revision>
  <dcterms:created xsi:type="dcterms:W3CDTF">2025-05-06T05:45:00Z</dcterms:created>
  <dcterms:modified xsi:type="dcterms:W3CDTF">2025-05-06T06:31:00Z</dcterms:modified>
</cp:coreProperties>
</file>