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9D" w:rsidRPr="00C91137" w:rsidRDefault="000013D1" w:rsidP="0098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983A9D" w:rsidRPr="00C91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A891F" wp14:editId="676B43B9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A9D" w:rsidRPr="00C91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983A9D"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983A9D" w:rsidRPr="00C91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983A9D" w:rsidRPr="00C91137" w:rsidRDefault="00983A9D" w:rsidP="0098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83A9D" w:rsidRPr="00C91137" w:rsidRDefault="00983A9D" w:rsidP="0098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A9D" w:rsidRPr="00C91137" w:rsidRDefault="00983A9D" w:rsidP="0098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983A9D" w:rsidRPr="00C91137" w:rsidRDefault="00983A9D" w:rsidP="0098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983A9D" w:rsidRPr="00C91137" w:rsidRDefault="00983A9D" w:rsidP="0098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983A9D" w:rsidRPr="00C91137" w:rsidRDefault="00983A9D" w:rsidP="0098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83A9D" w:rsidRPr="00C91137" w:rsidRDefault="00983A9D" w:rsidP="00983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C91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20BC4" wp14:editId="645A25D5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28575" t="34925" r="31115" b="317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p2Hw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951FEB" w:rsidRDefault="00951FEB" w:rsidP="00951FEB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FEB" w:rsidRPr="00951FEB" w:rsidRDefault="00951FEB" w:rsidP="00951FEB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951FEB" w:rsidRPr="00951FEB" w:rsidRDefault="00951FEB" w:rsidP="00951FEB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951FEB" w:rsidRPr="00951FEB" w:rsidRDefault="00951FEB" w:rsidP="00951FEB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комиссии</w:t>
      </w:r>
    </w:p>
    <w:p w:rsidR="00951FEB" w:rsidRDefault="00951FEB" w:rsidP="00951FEB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51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О.А.</w:t>
      </w:r>
      <w:r w:rsidR="009D7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1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Дудина</w:t>
      </w:r>
    </w:p>
    <w:p w:rsidR="00951FEB" w:rsidRDefault="00951FEB" w:rsidP="00983A9D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A9D" w:rsidRPr="00C91137" w:rsidRDefault="00983A9D" w:rsidP="00983A9D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</w:t>
      </w:r>
      <w:r w:rsidR="000F0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983A9D" w:rsidRDefault="00983A9D" w:rsidP="00983A9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3A9D" w:rsidRDefault="00983A9D" w:rsidP="00983A9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2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проект  решения «Об исполнении бюджета поселения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Туровецкое </w:t>
      </w:r>
      <w:r w:rsidRPr="00672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672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983A9D" w:rsidRPr="00656125" w:rsidRDefault="00656125" w:rsidP="00983A9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 </w:t>
      </w:r>
      <w:r w:rsidR="00983A9D" w:rsidRPr="0065612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                                                                                 с.  Шуйское</w:t>
      </w:r>
    </w:p>
    <w:p w:rsidR="00387B85" w:rsidRPr="00387B85" w:rsidRDefault="00387B85" w:rsidP="003D2DDC">
      <w:pPr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B85" w:rsidRPr="00234B74" w:rsidRDefault="00387B85" w:rsidP="00387B8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B85" w:rsidRPr="00234B74" w:rsidRDefault="00387B85" w:rsidP="00387B8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387B85" w:rsidRPr="00234B74" w:rsidRDefault="00387B85" w:rsidP="00387B8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положения.........................................................................................2</w:t>
      </w:r>
    </w:p>
    <w:p w:rsidR="00387B85" w:rsidRPr="00234B74" w:rsidRDefault="00387B85" w:rsidP="00387B8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202</w:t>
      </w:r>
      <w:r w:rsidR="00234B74"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202</w:t>
      </w:r>
      <w:r w:rsidR="00234B74"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годы……………………………………………….</w:t>
      </w:r>
      <w:r w:rsidR="003D2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387B85" w:rsidRPr="00234B74" w:rsidRDefault="00387B85" w:rsidP="00387B8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202</w:t>
      </w:r>
      <w:r w:rsidR="00234B74"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год………………………………. </w:t>
      </w:r>
      <w:r w:rsidR="003D2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387B85" w:rsidRPr="00234B74" w:rsidRDefault="00387B85" w:rsidP="00387B8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202</w:t>
      </w:r>
      <w:r w:rsidR="00234B74"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год………………..…11</w:t>
      </w:r>
    </w:p>
    <w:p w:rsidR="00387B85" w:rsidRPr="00234B74" w:rsidRDefault="00387B85" w:rsidP="00387B8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«Общегосударственные вопросы»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 .. . 14</w:t>
      </w:r>
    </w:p>
    <w:p w:rsidR="00387B85" w:rsidRPr="00234B74" w:rsidRDefault="00387B85" w:rsidP="00387B8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оборона»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 .15</w:t>
      </w:r>
    </w:p>
    <w:p w:rsidR="00387B85" w:rsidRPr="00234B74" w:rsidRDefault="00387B85" w:rsidP="00387B8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Раздел «Национальная безопасность и правоохранительная деятельность…………………………………………………………………… ….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</w:p>
    <w:p w:rsidR="00387B85" w:rsidRPr="00234B74" w:rsidRDefault="00387B85" w:rsidP="00387B8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 . .15</w:t>
      </w:r>
      <w:r w:rsidRPr="00234B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</w:t>
      </w:r>
      <w:r w:rsidR="003D2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 .....16</w:t>
      </w:r>
      <w:r w:rsidRPr="00234B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...................................................................................16</w:t>
      </w:r>
    </w:p>
    <w:p w:rsidR="00387B85" w:rsidRPr="00234B74" w:rsidRDefault="00387B85" w:rsidP="00387B8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«Культура, кинематография»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…………………………………….16</w:t>
      </w:r>
    </w:p>
    <w:p w:rsidR="00387B85" w:rsidRPr="00234B74" w:rsidRDefault="00387B85" w:rsidP="00387B8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....................................................................16</w:t>
      </w:r>
    </w:p>
    <w:p w:rsidR="00387B85" w:rsidRPr="00234B74" w:rsidRDefault="00387B85" w:rsidP="00387B8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</w:t>
      </w:r>
      <w:r w:rsidR="003D2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 …17</w:t>
      </w:r>
    </w:p>
    <w:p w:rsidR="00387B85" w:rsidRPr="00234B74" w:rsidRDefault="00387B85" w:rsidP="00387B8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покрытия……………….</w:t>
      </w:r>
      <w:r w:rsidR="003D2D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17</w:t>
      </w:r>
    </w:p>
    <w:p w:rsidR="00387B85" w:rsidRPr="00234B74" w:rsidRDefault="00387B85" w:rsidP="00387B8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долг…………………………………………………….17</w:t>
      </w:r>
    </w:p>
    <w:p w:rsidR="00387B85" w:rsidRPr="00234B74" w:rsidRDefault="00387B85" w:rsidP="00387B8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Кредиторская и дебиторс</w:t>
      </w:r>
      <w:r w:rsidR="003D2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кая задолженность…………………………...18</w:t>
      </w:r>
    </w:p>
    <w:p w:rsidR="00387B85" w:rsidRPr="00234B74" w:rsidRDefault="00387B85" w:rsidP="00387B8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Резервный фонд…………………………………………………………...18</w:t>
      </w:r>
    </w:p>
    <w:p w:rsidR="00387B85" w:rsidRPr="003D2DDC" w:rsidRDefault="00387B85" w:rsidP="003D2DDC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9. Выводы и предложения…………………………………………………..18</w:t>
      </w:r>
    </w:p>
    <w:p w:rsidR="00387B85" w:rsidRPr="00234B74" w:rsidRDefault="00387B85" w:rsidP="00387B8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4B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387B85" w:rsidRPr="00983A9D" w:rsidRDefault="00387B85" w:rsidP="00387B85">
      <w:pPr>
        <w:autoSpaceDE w:val="0"/>
        <w:autoSpaceDN w:val="0"/>
        <w:adjustRightInd w:val="0"/>
        <w:spacing w:after="0" w:line="240" w:lineRule="auto"/>
        <w:ind w:left="-284" w:right="15" w:hanging="142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387B85" w:rsidRPr="00234B74" w:rsidRDefault="00234B74" w:rsidP="00234B74">
      <w:pPr>
        <w:keepLines/>
        <w:spacing w:before="100" w:beforeAutospacing="1" w:after="100" w:afterAutospacing="1" w:line="240" w:lineRule="atLeast"/>
        <w:ind w:left="-284"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 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 об исполнении бюджета поселения 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статьи 264.4 Бюджетного кодекса Российской Федерации, решения поселения 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Туровецкое 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бюджетном процессе 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Представительного Собрания округа «О контрольно-счетной комиссии  Междуре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ченского муниципального округа».</w:t>
      </w:r>
      <w:r w:rsidR="00387B85"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</w:t>
      </w:r>
    </w:p>
    <w:p w:rsidR="00387B85" w:rsidRPr="00983A9D" w:rsidRDefault="00387B85" w:rsidP="00387B85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234B74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202</w:t>
      </w:r>
      <w:r w:rsidR="00234B74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B74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должен предоставляться </w:t>
      </w:r>
      <w:r w:rsidR="00234B74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 развитию территорий администрации Междуреченского муниципального округа</w:t>
      </w:r>
      <w:r w:rsid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правопреемником 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4B74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74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34B74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</w:t>
      </w:r>
      <w:r w:rsid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4B74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</w:t>
      </w:r>
      <w:r w:rsidR="00234B74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требованиями, установленными  статьей 264.6. «Закон (решение) об исполнении бюджета» Бюджетного кодекса РФ и статьями 41 «Внешняя проверка годового отчета об исполнении бюджета»,  42 «Заключение о внешней проверке»  и 43 «Предоставление годового отчета об исполнении бюджета  на рассмотрения Советом поселения»</w:t>
      </w:r>
      <w:r w:rsid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 о бюджетном процессе,  утвержденного решением Совета поселения Туровецкое от 05 декабря 2014  года № 37.</w:t>
      </w:r>
      <w:r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Годовой отчет об исполнении бюджета поселения 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34B74"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</w:t>
      </w:r>
      <w:r w:rsidR="00234B74"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34B74"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234B74"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</w:t>
      </w:r>
      <w:r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 нарушения установленного срока.</w:t>
      </w:r>
      <w:r w:rsidRPr="00234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B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387B85" w:rsidRPr="00234B74" w:rsidRDefault="00387B85" w:rsidP="00387B85">
      <w:pPr>
        <w:keepLines/>
        <w:spacing w:before="100" w:beforeAutospacing="1"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264.6 Бюджетного кодекса Российской Федерации представляются следующие документы:</w:t>
      </w:r>
    </w:p>
    <w:p w:rsidR="00387B85" w:rsidRPr="00234B74" w:rsidRDefault="00387B85" w:rsidP="00387B8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4B74">
        <w:rPr>
          <w:rFonts w:ascii="Times New Roman" w:hAnsi="Times New Roman" w:cs="Times New Roman"/>
          <w:iCs/>
          <w:sz w:val="28"/>
          <w:szCs w:val="28"/>
        </w:rPr>
        <w:t xml:space="preserve">      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387B85" w:rsidRPr="00234B74" w:rsidRDefault="00387B85" w:rsidP="00387B8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3A9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</w:t>
      </w:r>
      <w:r w:rsidRPr="00234B74">
        <w:rPr>
          <w:rFonts w:ascii="Times New Roman" w:hAnsi="Times New Roman" w:cs="Times New Roman"/>
          <w:iCs/>
          <w:sz w:val="28"/>
          <w:szCs w:val="28"/>
        </w:rPr>
        <w:t>Отдельными приложениями к закону (решению) об исполнении бюджета за отчетный финансовый год утверждаются показатели:</w:t>
      </w:r>
    </w:p>
    <w:p w:rsidR="00387B85" w:rsidRPr="00234B74" w:rsidRDefault="00387B85" w:rsidP="00387B8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4B74">
        <w:rPr>
          <w:rFonts w:ascii="Times New Roman" w:hAnsi="Times New Roman" w:cs="Times New Roman"/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387B85" w:rsidRPr="00234B74" w:rsidRDefault="00387B85" w:rsidP="00387B8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4B74">
        <w:rPr>
          <w:rFonts w:ascii="Times New Roman" w:hAnsi="Times New Roman" w:cs="Times New Roman"/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387B85" w:rsidRPr="00234B74" w:rsidRDefault="00387B85" w:rsidP="00387B8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4B74">
        <w:rPr>
          <w:rFonts w:ascii="Times New Roman" w:hAnsi="Times New Roman" w:cs="Times New Roman"/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387B85" w:rsidRPr="00234B74" w:rsidRDefault="00387B85" w:rsidP="00387B8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4B74">
        <w:rPr>
          <w:rFonts w:ascii="Times New Roman" w:hAnsi="Times New Roman" w:cs="Times New Roman"/>
          <w:iCs/>
          <w:sz w:val="28"/>
          <w:szCs w:val="28"/>
        </w:rPr>
        <w:t xml:space="preserve">         источников финансирования дефицита бюджета по кодам </w:t>
      </w:r>
      <w:proofErr w:type="gramStart"/>
      <w:r w:rsidRPr="00234B74">
        <w:rPr>
          <w:rFonts w:ascii="Times New Roman" w:hAnsi="Times New Roman" w:cs="Times New Roman"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234B74">
        <w:rPr>
          <w:rFonts w:ascii="Times New Roman" w:hAnsi="Times New Roman" w:cs="Times New Roman"/>
          <w:iCs/>
          <w:sz w:val="28"/>
          <w:szCs w:val="28"/>
        </w:rPr>
        <w:t>.</w:t>
      </w:r>
    </w:p>
    <w:p w:rsidR="00387B85" w:rsidRPr="00983A9D" w:rsidRDefault="00387B85" w:rsidP="00387B85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    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предоставленных документов и материалов к отчету об исполнении бюджета поселения за 202</w:t>
      </w:r>
      <w:r w:rsidR="00234B74"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соответствует перечню, установленному статьей  43 Положения о бюджетном процессе, утвержденного решением Совета поселения от 05 декабря 2014 года №37</w:t>
      </w:r>
      <w:r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нормам статьи 264.6 Бюджетного кодекса Российской Федерации</w:t>
      </w:r>
      <w:r w:rsidRPr="00234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87B85" w:rsidRPr="00983A9D" w:rsidRDefault="00387B85" w:rsidP="00387B85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87B85" w:rsidRPr="00983A9D" w:rsidRDefault="00387B85" w:rsidP="0038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B85" w:rsidRPr="00063D0D" w:rsidRDefault="00387B85" w:rsidP="00387B85">
      <w:pPr>
        <w:keepLines/>
        <w:spacing w:before="100" w:beforeAutospacing="1" w:after="0" w:line="240" w:lineRule="auto"/>
        <w:ind w:left="426" w:right="15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202</w:t>
      </w:r>
      <w:r w:rsidR="00063D0D" w:rsidRPr="0006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06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</w:t>
      </w:r>
      <w:r w:rsidR="00063D0D" w:rsidRPr="0006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6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387B85" w:rsidRPr="00063D0D" w:rsidRDefault="00387B85" w:rsidP="00387B85">
      <w:pPr>
        <w:keepLines/>
        <w:spacing w:before="100" w:beforeAutospacing="1" w:after="0" w:line="240" w:lineRule="auto"/>
        <w:ind w:left="426" w:right="15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B85" w:rsidRPr="00063D0D" w:rsidRDefault="00387B85" w:rsidP="00387B85">
      <w:pPr>
        <w:spacing w:after="0" w:line="240" w:lineRule="auto"/>
        <w:ind w:left="426" w:firstLine="351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63D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Динамика исполнения бюджета поселения за 202</w:t>
      </w:r>
      <w:r w:rsidR="00063D0D" w:rsidRPr="00063D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063D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- 202</w:t>
      </w:r>
      <w:r w:rsidR="00063D0D" w:rsidRPr="00063D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063D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  <w:r w:rsidRPr="00063D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63D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63D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63D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63D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63D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63D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63D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134"/>
        <w:gridCol w:w="1134"/>
        <w:gridCol w:w="1276"/>
        <w:gridCol w:w="1276"/>
      </w:tblGrid>
      <w:tr w:rsidR="00063D0D" w:rsidRPr="00063D0D" w:rsidTr="00063D0D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063D0D" w:rsidRDefault="00387B85" w:rsidP="00387B8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3B5A30" w:rsidRDefault="00387B85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B85" w:rsidRPr="003B5A30" w:rsidRDefault="00387B85" w:rsidP="00063D0D">
            <w:pPr>
              <w:spacing w:after="0" w:line="240" w:lineRule="auto"/>
              <w:ind w:left="-108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202</w:t>
            </w:r>
            <w:r w:rsidR="00063D0D"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B85" w:rsidRPr="003B5A30" w:rsidRDefault="00387B85" w:rsidP="00063D0D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202</w:t>
            </w:r>
            <w:r w:rsidR="00063D0D"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7B85" w:rsidRPr="003B5A30" w:rsidRDefault="00387B85" w:rsidP="00063D0D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Отклонение показателей исполнения бюджета поселения 202</w:t>
            </w:r>
            <w:r w:rsidR="00063D0D"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к 202</w:t>
            </w:r>
            <w:r w:rsidR="00063D0D"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063D0D" w:rsidRPr="00063D0D" w:rsidTr="00063D0D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063D0D" w:rsidRDefault="00387B85" w:rsidP="00387B8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7B85" w:rsidRPr="003B5A30" w:rsidRDefault="00387B85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3B5A30" w:rsidRDefault="00387B85" w:rsidP="00387B85">
            <w:pPr>
              <w:spacing w:after="0" w:line="240" w:lineRule="auto"/>
              <w:ind w:left="-108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3B5A30" w:rsidRDefault="00387B85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3B5A30" w:rsidRDefault="00387B85" w:rsidP="00387B85">
            <w:pPr>
              <w:tabs>
                <w:tab w:val="left" w:pos="34"/>
              </w:tabs>
              <w:spacing w:after="0" w:line="240" w:lineRule="auto"/>
              <w:ind w:left="175" w:right="-108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3B5A30" w:rsidRDefault="00387B85" w:rsidP="00387B8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63D0D" w:rsidRPr="00063D0D" w:rsidTr="00063D0D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110,8</w:t>
            </w:r>
          </w:p>
        </w:tc>
      </w:tr>
      <w:tr w:rsidR="00063D0D" w:rsidRPr="00063D0D" w:rsidTr="00063D0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063D0D" w:rsidRPr="00063D0D" w:rsidTr="00063D0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130,1</w:t>
            </w:r>
          </w:p>
        </w:tc>
      </w:tr>
      <w:tr w:rsidR="00063D0D" w:rsidRPr="00063D0D" w:rsidTr="00063D0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109,8</w:t>
            </w:r>
          </w:p>
        </w:tc>
      </w:tr>
      <w:tr w:rsidR="00063D0D" w:rsidRPr="00063D0D" w:rsidTr="00063D0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18,9</w:t>
            </w:r>
          </w:p>
        </w:tc>
      </w:tr>
      <w:tr w:rsidR="00063D0D" w:rsidRPr="00063D0D" w:rsidTr="00063D0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Задолженность и перерасчеты по отмененным налогам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3D0D" w:rsidRPr="00063D0D" w:rsidTr="00063D0D">
        <w:trPr>
          <w:trHeight w:val="2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A559C5" w:rsidP="00A559C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 11,9 раза</w:t>
            </w:r>
          </w:p>
        </w:tc>
      </w:tr>
      <w:tr w:rsidR="00063D0D" w:rsidRPr="00063D0D" w:rsidTr="00063D0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A559C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</w:t>
            </w:r>
            <w:r w:rsidR="00A559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3D0D" w:rsidRPr="00063D0D" w:rsidTr="00063D0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3D0D" w:rsidRPr="00063D0D" w:rsidTr="00063D0D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122,7</w:t>
            </w:r>
          </w:p>
        </w:tc>
      </w:tr>
      <w:tr w:rsidR="00063D0D" w:rsidRPr="00063D0D" w:rsidTr="00063D0D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5092,6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5631,3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110,6</w:t>
            </w:r>
          </w:p>
        </w:tc>
      </w:tr>
      <w:tr w:rsidR="00063D0D" w:rsidRPr="00063D0D" w:rsidTr="00063D0D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108,3</w:t>
            </w:r>
          </w:p>
        </w:tc>
      </w:tr>
      <w:tr w:rsidR="00063D0D" w:rsidRPr="00063D0D" w:rsidTr="00063D0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118,2</w:t>
            </w:r>
          </w:p>
        </w:tc>
      </w:tr>
      <w:tr w:rsidR="00063D0D" w:rsidRPr="00063D0D" w:rsidTr="00063D0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Субвенции бюджетам поселений на осуществление первичного воинского учета и </w:t>
            </w: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передаваемых полномочий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108,3</w:t>
            </w:r>
          </w:p>
        </w:tc>
      </w:tr>
      <w:tr w:rsidR="00063D0D" w:rsidRPr="00063D0D" w:rsidTr="00063D0D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110,3</w:t>
            </w:r>
          </w:p>
        </w:tc>
      </w:tr>
      <w:tr w:rsidR="00063D0D" w:rsidRPr="00063D0D" w:rsidTr="00063D0D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предоставляемые физическими и юридическими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063D0D" w:rsidRPr="00063D0D" w:rsidTr="00063D0D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 w:hanging="34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5429,3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A559C5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9F7682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111,3</w:t>
            </w:r>
          </w:p>
        </w:tc>
      </w:tr>
      <w:tr w:rsidR="00063D0D" w:rsidRPr="00063D0D" w:rsidTr="00063D0D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17" w:right="-108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63D0D" w:rsidRPr="00063D0D" w:rsidTr="00063D0D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063D0D" w:rsidRPr="00063D0D" w:rsidTr="00063D0D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063D0D" w:rsidRPr="00063D0D" w:rsidTr="00063D0D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53,2</w:t>
            </w:r>
          </w:p>
        </w:tc>
      </w:tr>
      <w:tr w:rsidR="00063D0D" w:rsidRPr="00063D0D" w:rsidTr="00063D0D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89,5</w:t>
            </w:r>
          </w:p>
        </w:tc>
      </w:tr>
      <w:tr w:rsidR="00063D0D" w:rsidRPr="00063D0D" w:rsidTr="00063D0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063D0D" w:rsidRPr="00063D0D" w:rsidTr="00063D0D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063D0D" w:rsidRPr="00063D0D" w:rsidTr="00063D0D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063D0D" w:rsidRPr="00063D0D" w:rsidTr="00063D0D">
        <w:trPr>
          <w:trHeight w:val="2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106,1</w:t>
            </w:r>
          </w:p>
        </w:tc>
      </w:tr>
      <w:tr w:rsidR="00063D0D" w:rsidRPr="00063D0D" w:rsidTr="00063D0D">
        <w:trPr>
          <w:trHeight w:val="2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106,9</w:t>
            </w:r>
          </w:p>
        </w:tc>
      </w:tr>
      <w:tr w:rsidR="00063D0D" w:rsidRPr="00063D0D" w:rsidTr="00063D0D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063D0D" w:rsidRDefault="00063D0D" w:rsidP="00387B8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3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0D" w:rsidRPr="003B5A30" w:rsidRDefault="00063D0D" w:rsidP="00387B85">
            <w:pPr>
              <w:spacing w:after="0" w:line="240" w:lineRule="auto"/>
              <w:ind w:left="-391" w:firstLine="391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063D0D" w:rsidP="00063D0D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A3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5545,7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D0D" w:rsidRPr="003B5A30" w:rsidRDefault="00C02884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109,3</w:t>
            </w:r>
          </w:p>
        </w:tc>
      </w:tr>
    </w:tbl>
    <w:p w:rsidR="00387B85" w:rsidRPr="00063D0D" w:rsidRDefault="00387B85" w:rsidP="00387B85">
      <w:pPr>
        <w:spacing w:after="0" w:line="240" w:lineRule="auto"/>
        <w:ind w:left="426" w:firstLine="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7B85" w:rsidRPr="00983A9D" w:rsidRDefault="00387B85" w:rsidP="00387B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ab/>
        <w:t xml:space="preserve"> </w:t>
      </w:r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поселения за</w:t>
      </w:r>
      <w:r w:rsidRPr="00D12C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12C66"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D12C66"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12C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годы необходимо отметить, что доходная часть в целом в 202</w:t>
      </w:r>
      <w:r w:rsidR="00D12C66"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увеличилась по сравнению с 202</w:t>
      </w:r>
      <w:r w:rsidR="00D12C66"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годом на 615,0 </w:t>
      </w:r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D12C66"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 в части собственных доходов у</w:t>
      </w:r>
      <w:r w:rsidR="00D12C66"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величились </w:t>
      </w:r>
      <w:proofErr w:type="gramStart"/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</w:t>
      </w:r>
      <w:r w:rsidR="00D12C66"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6,3 </w:t>
      </w:r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D12C66"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22,7</w:t>
      </w:r>
      <w:r w:rsidRPr="00D12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387B85" w:rsidRPr="00983A9D" w:rsidRDefault="00387B85" w:rsidP="00387B85">
      <w:pPr>
        <w:spacing w:after="0" w:line="240" w:lineRule="auto"/>
        <w:ind w:firstLine="3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7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7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безвозмездных поступлений произошло увеличение на </w:t>
      </w:r>
      <w:r w:rsidR="0067195E" w:rsidRPr="0067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538,7</w:t>
      </w:r>
      <w:r w:rsidRPr="0067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7195E" w:rsidRPr="0067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10,6</w:t>
      </w:r>
      <w:r w:rsidRPr="0067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что связано с увеличением  в 202</w:t>
      </w:r>
      <w:r w:rsidR="0067195E" w:rsidRPr="0067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7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 дотаций бюджетам  сельских поселений в сумме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234,5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субсидий бюджетам поселений в сумме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88,1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18,2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субвенций бюджетам поселений на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межбюджетных трансфертов, передаваемые бюджетам муниципальных 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образований  на</w:t>
      </w:r>
      <w:proofErr w:type="gramEnd"/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осуществление части полномочий по решению вопросов местного значения в соответствии с заключенными соглашениями на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169,2 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10,3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поступлений от денежных пожертвований, предоставляемых физическими и юридическими лицами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 сумме 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38,0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95,0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CC03B7"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CC03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Расходная часть бюджета  поселения в 202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202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также увеличилась на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515,0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9,3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общегосударственным вопросам на 421,9 тыс. рублей (на 17,7%), 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национальной  обороне на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8,5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жилищно-коммунальному хозяйству на 7,1 тыс. рублей (на 0,8%),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культуре и кинематографии  на </w:t>
      </w:r>
      <w:r w:rsid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proofErr w:type="gramEnd"/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 </w:t>
      </w:r>
      <w:r w:rsid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,0%),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социальной политике на 10,1 тыс. рублей (на 6,1%), 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физической  культуре и спорту на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109,1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6,9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наблюдается 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ациональной  безопасность и правоохранительн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ь» 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11,5 тыс. рублей (на 87,8%), по 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ациональной экономике на 39,4 тыс. рублей (на 11,7%), по 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бразованию на 1,2 тыс. рублей  </w:t>
      </w:r>
      <w:proofErr w:type="gramStart"/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0019D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2,5 раза)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87B85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04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Структура исполнения бюджета поселения в динамике за 202</w:t>
      </w:r>
      <w:r w:rsidR="00A66044" w:rsidRPr="00A660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660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A66044" w:rsidRPr="00A660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660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553B7A" w:rsidRPr="00A66044" w:rsidRDefault="00553B7A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B85" w:rsidRPr="00553B7A" w:rsidRDefault="00387B85" w:rsidP="00553B7A">
      <w:pPr>
        <w:spacing w:after="0" w:line="240" w:lineRule="auto"/>
        <w:ind w:left="426" w:firstLine="3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60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 бюджета поселения за 202</w:t>
      </w:r>
      <w:r w:rsidR="00A66044" w:rsidRPr="00A660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A660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- 202</w:t>
      </w:r>
      <w:r w:rsidR="00A66044" w:rsidRPr="00A660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553B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86"/>
        <w:gridCol w:w="1331"/>
        <w:gridCol w:w="1020"/>
        <w:gridCol w:w="114"/>
        <w:gridCol w:w="122"/>
        <w:gridCol w:w="1296"/>
        <w:gridCol w:w="1071"/>
      </w:tblGrid>
      <w:tr w:rsidR="00983A9D" w:rsidRPr="00983A9D" w:rsidTr="00063D0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983A9D" w:rsidRDefault="00387B85" w:rsidP="00387B8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983A9D" w:rsidRPr="00983A9D" w:rsidTr="00063D0D">
        <w:trPr>
          <w:gridAfter w:val="1"/>
          <w:wAfter w:w="1071" w:type="dxa"/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426" w:hanging="5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7B85" w:rsidRPr="00A66044" w:rsidRDefault="00387B85" w:rsidP="00A66044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       202</w:t>
            </w:r>
            <w:r w:rsidR="00A66044"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7B85" w:rsidRPr="00A66044" w:rsidRDefault="00387B85" w:rsidP="00A66044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       202</w:t>
            </w:r>
            <w:r w:rsidR="00A66044"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83A9D" w:rsidRPr="00983A9D" w:rsidTr="00063D0D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426" w:hanging="5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в структуре доходов, расходов</w:t>
            </w:r>
          </w:p>
          <w:p w:rsidR="00387B85" w:rsidRPr="00A66044" w:rsidRDefault="00387B85" w:rsidP="00387B85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A66044" w:rsidRDefault="00387B85" w:rsidP="00387B8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в структуре доходов, расходов</w:t>
            </w:r>
          </w:p>
          <w:p w:rsidR="00387B85" w:rsidRPr="00A66044" w:rsidRDefault="00387B85" w:rsidP="00387B85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%)</w:t>
            </w:r>
          </w:p>
        </w:tc>
      </w:tr>
      <w:tr w:rsidR="00F75E0D" w:rsidRPr="00983A9D" w:rsidTr="00063D0D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</w:tr>
      <w:tr w:rsidR="00F75E0D" w:rsidRPr="00983A9D" w:rsidTr="00063D0D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75E0D" w:rsidRPr="00983A9D" w:rsidTr="00063D0D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75E0D" w:rsidRPr="00983A9D" w:rsidTr="00063D0D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F75E0D" w:rsidRPr="00983A9D" w:rsidTr="00063D0D">
        <w:trPr>
          <w:gridAfter w:val="1"/>
          <w:wAfter w:w="1071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F75E0D" w:rsidRPr="00983A9D" w:rsidTr="00063D0D">
        <w:trPr>
          <w:gridAfter w:val="1"/>
          <w:wAfter w:w="1071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5E0D" w:rsidRPr="00983A9D" w:rsidTr="00063D0D">
        <w:trPr>
          <w:gridAfter w:val="1"/>
          <w:wAfter w:w="1071" w:type="dxa"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</w:tr>
      <w:tr w:rsidR="00F75E0D" w:rsidRPr="00983A9D" w:rsidTr="00063D0D">
        <w:trPr>
          <w:gridAfter w:val="1"/>
          <w:wAfter w:w="1071" w:type="dxa"/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6262D7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r w:rsidR="006262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аренды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75E0D" w:rsidRPr="00983A9D" w:rsidTr="00063D0D">
        <w:trPr>
          <w:gridAfter w:val="1"/>
          <w:wAfter w:w="1071" w:type="dxa"/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5E0D" w:rsidRPr="00983A9D" w:rsidTr="00063D0D">
        <w:trPr>
          <w:gridAfter w:val="1"/>
          <w:wAfter w:w="1071" w:type="dxa"/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F75E0D" w:rsidRPr="00983A9D" w:rsidTr="00063D0D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5092,6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5631,3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</w:tr>
      <w:tr w:rsidR="00F75E0D" w:rsidRPr="00983A9D" w:rsidTr="00063D0D">
        <w:trPr>
          <w:gridAfter w:val="1"/>
          <w:wAfter w:w="1071" w:type="dxa"/>
          <w:trHeight w:val="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F75E0D" w:rsidRPr="00983A9D" w:rsidTr="00063D0D">
        <w:trPr>
          <w:gridAfter w:val="1"/>
          <w:wAfter w:w="1071" w:type="dxa"/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F75E0D" w:rsidRPr="00983A9D" w:rsidTr="00063D0D">
        <w:trPr>
          <w:gridAfter w:val="1"/>
          <w:wAfter w:w="1071" w:type="dxa"/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75E0D" w:rsidRPr="00983A9D" w:rsidTr="00063D0D">
        <w:trPr>
          <w:gridAfter w:val="1"/>
          <w:wAfter w:w="1071" w:type="dxa"/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75E0D" w:rsidRPr="00983A9D" w:rsidTr="00063D0D">
        <w:trPr>
          <w:gridAfter w:val="1"/>
          <w:wAfter w:w="1071" w:type="dxa"/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предоставляемые физическими и юридическими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75E0D" w:rsidRPr="00983A9D" w:rsidTr="00063D0D">
        <w:trPr>
          <w:gridAfter w:val="1"/>
          <w:wAfter w:w="1071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17.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5429,3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6044,3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5E0D" w:rsidRPr="00983A9D" w:rsidTr="00063D0D">
        <w:trPr>
          <w:gridAfter w:val="1"/>
          <w:wAfter w:w="1071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75E0D" w:rsidRPr="00983A9D" w:rsidTr="00D4337E">
        <w:trPr>
          <w:gridAfter w:val="1"/>
          <w:wAfter w:w="1071" w:type="dxa"/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2805,7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F75E0D" w:rsidRPr="00983A9D" w:rsidTr="00063D0D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75E0D" w:rsidRPr="00983A9D" w:rsidTr="00063D0D">
        <w:trPr>
          <w:gridAfter w:val="1"/>
          <w:wAfter w:w="1071" w:type="dxa"/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75E0D" w:rsidRPr="00983A9D" w:rsidTr="00063D0D">
        <w:trPr>
          <w:gridAfter w:val="1"/>
          <w:wAfter w:w="1071" w:type="dxa"/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F75E0D" w:rsidRPr="00983A9D" w:rsidTr="00063D0D">
        <w:trPr>
          <w:gridAfter w:val="1"/>
          <w:wAfter w:w="1071" w:type="dxa"/>
          <w:trHeight w:val="4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254C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868,</w:t>
            </w:r>
            <w:r w:rsidR="00254CA3"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75E0D" w:rsidRPr="00983A9D" w:rsidTr="00063D0D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F75E0D" w:rsidRPr="00983A9D" w:rsidTr="00063D0D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F75E0D" w:rsidRPr="00983A9D" w:rsidTr="00063D0D">
        <w:trPr>
          <w:gridAfter w:val="1"/>
          <w:wAfter w:w="1071" w:type="dxa"/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75E0D" w:rsidRPr="00983A9D" w:rsidTr="00063D0D">
        <w:trPr>
          <w:gridAfter w:val="1"/>
          <w:wAfter w:w="1071" w:type="dxa"/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E0D" w:rsidRPr="00A66044" w:rsidRDefault="00F75E0D" w:rsidP="00387B8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254C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1688,</w:t>
            </w:r>
            <w:r w:rsidR="00254CA3"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F75E0D" w:rsidRPr="00983A9D" w:rsidTr="00063D0D">
        <w:trPr>
          <w:gridAfter w:val="1"/>
          <w:wAfter w:w="1071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F75E0D" w:rsidRPr="00A66044" w:rsidRDefault="00F75E0D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F75E0D" w:rsidRPr="00A66044" w:rsidRDefault="00F75E0D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5E0D" w:rsidRPr="00A66044" w:rsidRDefault="00F75E0D" w:rsidP="00387B8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04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5545,7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F75E0D" w:rsidRPr="00D4337E" w:rsidRDefault="00F75E0D" w:rsidP="00C72036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6060,7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F75E0D" w:rsidRPr="00D4337E" w:rsidRDefault="00F75E0D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4337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387B85" w:rsidRPr="00983A9D" w:rsidRDefault="00387B85" w:rsidP="00387B85">
      <w:pPr>
        <w:spacing w:after="0" w:line="240" w:lineRule="auto"/>
        <w:ind w:left="426" w:firstLine="3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Удельный вес собственных доходов в общей сумме доходов составил в 202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 6,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ab/>
        <w:t xml:space="preserve">   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Удельный вес безвозмездных поступлений в общей сумме доходов составил в 202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93,8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93,2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  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показатели  исполнения бюджета поселения  за 202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</w:p>
    <w:p w:rsidR="00387B85" w:rsidRPr="00D33F6D" w:rsidRDefault="00387B85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доходы физических лиц – 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45,2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процента;</w:t>
      </w:r>
    </w:p>
    <w:p w:rsidR="00387B85" w:rsidRPr="00D33F6D" w:rsidRDefault="00387B85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имущество физических лиц – 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22,6 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D33F6D" w:rsidRPr="00D33F6D" w:rsidRDefault="00387B85" w:rsidP="00D33F6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D33F6D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земельный налог – 21,2  процента;</w:t>
      </w:r>
    </w:p>
    <w:p w:rsidR="00D33F6D" w:rsidRPr="00D33F6D" w:rsidRDefault="00D33F6D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 от аренды муниципального имущества – 10,7 процента;</w:t>
      </w:r>
    </w:p>
    <w:p w:rsidR="00387B85" w:rsidRPr="00D33F6D" w:rsidRDefault="00D33F6D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387B85"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государственная пошлина – </w:t>
      </w:r>
      <w:r w:rsidRPr="00D3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 процента.</w:t>
      </w:r>
    </w:p>
    <w:p w:rsidR="00387B85" w:rsidRPr="00521595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безвозмездных поступлений наибольший удельный вес  занимают:</w:t>
      </w:r>
    </w:p>
    <w:p w:rsidR="00387B85" w:rsidRPr="00521595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дотации  на выравнивание бюджетной обеспеченности и сбалансированности бюджета поселения – </w:t>
      </w:r>
      <w:r w:rsidR="00521595"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54,3</w:t>
      </w: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87B85" w:rsidRPr="00521595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r w:rsidRPr="005215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– 32,2 процента;</w:t>
      </w:r>
    </w:p>
    <w:p w:rsidR="00387B85" w:rsidRPr="00521595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субсидии бюджетам сельских поселений – </w:t>
      </w:r>
      <w:r w:rsidR="00521595"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процентов;</w:t>
      </w:r>
    </w:p>
    <w:p w:rsidR="00387B85" w:rsidRPr="00521595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суб</w:t>
      </w:r>
      <w:r w:rsidR="00521595"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венции</w:t>
      </w: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бюджетам сельских поселений – 2,</w:t>
      </w:r>
      <w:r w:rsidR="00521595"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52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 </w:t>
      </w:r>
    </w:p>
    <w:p w:rsidR="00387B85" w:rsidRPr="00E842F6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поступлений от денежных пожертвований – </w:t>
      </w:r>
      <w:r w:rsidR="00521595"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  <w:r w:rsidR="00E842F6"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2F6"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расходов бюджета поселения в 202</w:t>
      </w:r>
      <w:r w:rsidR="00E842F6"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расходы на  социальную сферу составили </w:t>
      </w:r>
      <w:r w:rsidR="00E842F6"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1924,9</w:t>
      </w: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842F6"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31,8</w:t>
      </w: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общего объема расходов  (в 202</w:t>
      </w:r>
      <w:r w:rsidR="00E842F6"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E842F6"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1796,9</w:t>
      </w: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32,</w:t>
      </w:r>
      <w:r w:rsidR="00E842F6"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8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387B85" w:rsidRPr="00CA1FF6" w:rsidRDefault="00387B85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долю расходов в социальной сфере составили расходы </w:t>
      </w:r>
      <w:proofErr w:type="gramStart"/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87B85" w:rsidRPr="00CA1FF6" w:rsidRDefault="00387B85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физическую культуру и спорт   - </w:t>
      </w:r>
      <w:r w:rsidR="00CA1FF6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</w:t>
      </w: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7,</w:t>
      </w:r>
      <w:r w:rsidR="00CA1FF6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</w:t>
      </w: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процента;</w:t>
      </w:r>
    </w:p>
    <w:p w:rsidR="00387B85" w:rsidRPr="00CA1FF6" w:rsidRDefault="00387B85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социальную политику – 9,</w:t>
      </w:r>
      <w:r w:rsidR="00CA1FF6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процента;</w:t>
      </w:r>
    </w:p>
    <w:p w:rsidR="00CA1FF6" w:rsidRPr="00CA1FF6" w:rsidRDefault="00CA1FF6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культуру, кинематографию – 3,1 процента;</w:t>
      </w:r>
    </w:p>
    <w:p w:rsidR="00CA1FF6" w:rsidRPr="00CA1FF6" w:rsidRDefault="00CA1FF6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образование – 0,1 процента.</w:t>
      </w:r>
    </w:p>
    <w:p w:rsidR="00387B85" w:rsidRPr="00983A9D" w:rsidRDefault="00CA1FF6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387B85"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87B85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анализе исполнения бюджета поселения за 202</w:t>
      </w: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87B85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87B85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наблюдается тенденция увеличение расходов на социальную сферу в процентном соотношении на </w:t>
      </w: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7,1</w:t>
      </w:r>
      <w:r w:rsidR="00387B85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абсолютном выражении увеличение на </w:t>
      </w: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128,0</w:t>
      </w:r>
      <w:r w:rsidR="00387B85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 </w:t>
      </w:r>
    </w:p>
    <w:p w:rsidR="00CA1FF6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удельного веса в общем объеме расходов  бюджета за анализируемый период наблюдается в части расходов по </w:t>
      </w:r>
      <w:r w:rsidR="00CA1FF6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разделам бюджетной классификации: </w:t>
      </w:r>
      <w:r w:rsidR="00CA1FF6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«Общегосударственные вопросы» на  3,3% и «Культура, кинематография» на 0,09</w:t>
      </w:r>
      <w:r w:rsid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CA1FF6" w:rsidRPr="00CA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7B85" w:rsidRPr="00983A9D" w:rsidRDefault="00387B85" w:rsidP="00387B8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 расходов связан с  получением  дополнительных средств  на</w:t>
      </w:r>
      <w:r w:rsidR="008910B6"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заработной платы работникам администрации поселения.</w:t>
      </w:r>
      <w:r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удельного веса в общем объеме расходов наблюдается по  </w:t>
      </w:r>
      <w:r w:rsidR="008910B6"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шести </w:t>
      </w:r>
      <w:r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классификации:</w:t>
      </w:r>
      <w:r w:rsidR="008910B6"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10B6" w:rsidRPr="008910B6">
        <w:rPr>
          <w:rFonts w:ascii="Times New Roman" w:hAnsi="Times New Roman" w:cs="Times New Roman"/>
          <w:sz w:val="28"/>
          <w:szCs w:val="28"/>
          <w:lang w:eastAsia="ru-RU"/>
        </w:rPr>
        <w:t>«Национальная  безопасность и правоохранительная деятельность»</w:t>
      </w:r>
      <w:r w:rsidR="008910B6"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1,3%, 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10B6"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экономика» на 1,3%, «Жилищно-коммунальное хозяйство» на 1,2%,  «Образование» на </w:t>
      </w:r>
      <w:r w:rsidR="008910B6"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0,03%, «Физическая культура и спорт» на 0,56 %,  </w:t>
      </w:r>
      <w:r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политика» </w:t>
      </w:r>
      <w:proofErr w:type="gramStart"/>
      <w:r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</w:t>
      </w:r>
      <w:r w:rsidR="008910B6"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10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87B85" w:rsidRPr="0043114D" w:rsidRDefault="00387B85" w:rsidP="00387B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Удельный вес</w:t>
      </w:r>
      <w:r w:rsidRPr="0043114D">
        <w:rPr>
          <w:rFonts w:ascii="Times New Roman" w:hAnsi="Times New Roman" w:cs="Times New Roman"/>
          <w:sz w:val="28"/>
          <w:szCs w:val="28"/>
          <w:lang w:eastAsia="ru-RU"/>
        </w:rPr>
        <w:t xml:space="preserve"> в общем объеме расходов остался н</w:t>
      </w:r>
      <w:r w:rsidRPr="004311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уровне 202</w:t>
      </w:r>
      <w:r w:rsidR="0043114D" w:rsidRPr="004311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 раздел</w:t>
      </w:r>
      <w:r w:rsidR="0043114D" w:rsidRPr="0043114D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«Национальная оборона».</w:t>
      </w:r>
    </w:p>
    <w:p w:rsidR="00387B85" w:rsidRPr="0043114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B85" w:rsidRPr="0043114D" w:rsidRDefault="00387B85" w:rsidP="00387B8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11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202</w:t>
      </w:r>
      <w:r w:rsidR="0043114D" w:rsidRPr="004311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4311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387B85" w:rsidRPr="006A69E7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Первоначальный бюджет поселения на 202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2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  года № 9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7  со следующими основными параметрами:</w:t>
      </w:r>
    </w:p>
    <w:p w:rsidR="00387B85" w:rsidRPr="006A69E7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по доходам в сумме  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5493,7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6A69E7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по расходам  в сумме 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5493,7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87B85" w:rsidRPr="00983A9D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202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  раз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Совета поселения от 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Представительного Собрания округа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48, от 29. 11. 2022 года №60 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от 2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№78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B85" w:rsidRPr="00983A9D" w:rsidRDefault="00387B85" w:rsidP="00387B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бюджет  поселения  на 202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решением 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округа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20 декабря  2022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решение от 2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 года  №9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7». С учетом изменений доходная часть </w:t>
      </w:r>
      <w:r w:rsidR="00D43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6069,1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расходная -  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6213,5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6C6A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="006C6A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6A69E7"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144,4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A69E7"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Pr="006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6A69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77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средств бюджета поселения на 01.01.202</w:t>
      </w:r>
      <w:r w:rsidR="00777B6B" w:rsidRPr="00777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77B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6C6A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</w:t>
      </w:r>
      <w:r w:rsidRPr="00777B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7B6B" w:rsidRPr="00777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141,0 тыс.</w:t>
      </w:r>
      <w:r w:rsidRPr="00777B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387B85" w:rsidRPr="00777B6B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87B85" w:rsidRPr="00777B6B" w:rsidRDefault="00387B85" w:rsidP="00387B8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7B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202</w:t>
      </w:r>
      <w:r w:rsidR="00777B6B" w:rsidRPr="00777B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777B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016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3686"/>
        <w:gridCol w:w="142"/>
        <w:gridCol w:w="992"/>
        <w:gridCol w:w="1134"/>
        <w:gridCol w:w="1134"/>
        <w:gridCol w:w="378"/>
        <w:gridCol w:w="756"/>
        <w:gridCol w:w="949"/>
      </w:tblGrid>
      <w:tr w:rsidR="00777B6B" w:rsidRPr="00777B6B" w:rsidTr="00063D0D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777B6B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777B6B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777B6B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777B6B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777B6B" w:rsidRDefault="00387B85" w:rsidP="00387B85">
            <w:pPr>
              <w:spacing w:after="0" w:line="240" w:lineRule="auto"/>
              <w:ind w:right="-13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777B6B" w:rsidRDefault="00387B85" w:rsidP="00777B6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7B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983A9D" w:rsidRPr="006A3563" w:rsidTr="00063D0D">
        <w:trPr>
          <w:gridAfter w:val="1"/>
          <w:wAfter w:w="949" w:type="dxa"/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Первоначальный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бюджет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A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</w:t>
            </w:r>
          </w:p>
        </w:tc>
      </w:tr>
      <w:tr w:rsidR="00983A9D" w:rsidRPr="006A3563" w:rsidTr="00063D0D">
        <w:trPr>
          <w:gridAfter w:val="1"/>
          <w:wAfter w:w="949" w:type="dxa"/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83A9D" w:rsidRPr="006A3563" w:rsidTr="00063D0D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7B85" w:rsidRPr="006A3563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7B85" w:rsidRPr="006A3563" w:rsidRDefault="0052321A" w:rsidP="0077095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77095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7B85" w:rsidRPr="006A3563" w:rsidRDefault="00675767" w:rsidP="0077095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  <w:r w:rsidR="0077095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7B85" w:rsidRPr="006A3563" w:rsidRDefault="0077095C" w:rsidP="0077095C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87B85" w:rsidRPr="006A3563" w:rsidRDefault="0077095C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103,1</w:t>
            </w:r>
          </w:p>
        </w:tc>
      </w:tr>
      <w:tr w:rsidR="004914AA" w:rsidRPr="006A3563" w:rsidTr="00C72036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14AA" w:rsidRPr="006A3563" w:rsidTr="00C72036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51A" w:rsidRDefault="0065651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51A" w:rsidRDefault="0065651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51A" w:rsidRDefault="0065651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65651A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</w:tr>
      <w:tr w:rsidR="004914AA" w:rsidRPr="006A3563" w:rsidTr="00C72036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4AA" w:rsidRPr="009A095F" w:rsidRDefault="004914AA" w:rsidP="004914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65651A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4914AA" w:rsidRPr="006A3563" w:rsidTr="00C72036">
        <w:trPr>
          <w:gridAfter w:val="1"/>
          <w:wAfter w:w="949" w:type="dxa"/>
          <w:trHeight w:val="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65651A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914AA" w:rsidRPr="006A3563" w:rsidTr="00C72036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914AA" w:rsidRPr="006A3563" w:rsidRDefault="0065651A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4914AA" w:rsidRPr="006A3563" w:rsidTr="00C72036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Аренда муниципального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51A" w:rsidRDefault="0065651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14AA" w:rsidRPr="009A095F" w:rsidRDefault="0065651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51A" w:rsidRDefault="0065651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51A" w:rsidRDefault="0065651A" w:rsidP="00656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914AA" w:rsidRPr="009A095F" w:rsidRDefault="004914AA" w:rsidP="00656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A095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AA" w:rsidRPr="006A3563" w:rsidRDefault="0065651A" w:rsidP="0065651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14AA" w:rsidRPr="00675767" w:rsidTr="0065651A">
        <w:trPr>
          <w:gridAfter w:val="1"/>
          <w:wAfter w:w="949" w:type="dxa"/>
          <w:trHeight w:val="5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914AA" w:rsidRPr="006A3563" w:rsidRDefault="004914AA" w:rsidP="0077095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3</w:t>
            </w:r>
            <w:r w:rsidR="0077095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914AA" w:rsidRPr="00675767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5651A" w:rsidRDefault="0065651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4914AA" w:rsidRPr="00675767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75767">
              <w:rPr>
                <w:rFonts w:ascii="Times New Roman" w:eastAsia="Times New Roman" w:hAnsi="Times New Roman" w:cs="Times New Roman"/>
                <w:b/>
                <w:i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65651A" w:rsidRDefault="0065651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651A" w:rsidRDefault="0065651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914AA" w:rsidRPr="009A095F" w:rsidRDefault="004914AA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914AA" w:rsidRPr="00675767" w:rsidRDefault="0065651A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102,8</w:t>
            </w:r>
          </w:p>
        </w:tc>
      </w:tr>
      <w:tr w:rsidR="004914AA" w:rsidRPr="006A3563" w:rsidTr="00063D0D">
        <w:trPr>
          <w:gridAfter w:val="1"/>
          <w:wAfter w:w="949" w:type="dxa"/>
          <w:trHeight w:val="3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914AA" w:rsidRPr="006A3563" w:rsidRDefault="004914AA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914AA" w:rsidRPr="006A3563" w:rsidRDefault="00170C19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8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914AA" w:rsidRPr="006A3563" w:rsidRDefault="00170C19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914AA" w:rsidRPr="006A3563" w:rsidRDefault="00170C19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914AA" w:rsidRPr="006A3563" w:rsidRDefault="00170C19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110,2</w:t>
            </w:r>
          </w:p>
        </w:tc>
      </w:tr>
      <w:tr w:rsidR="00170C19" w:rsidRPr="006A3563" w:rsidTr="00C72036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3056,1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170C19" w:rsidRPr="006A3563" w:rsidTr="00C72036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333,3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2,2 раза</w:t>
            </w:r>
          </w:p>
        </w:tc>
      </w:tr>
      <w:tr w:rsidR="00170C19" w:rsidRPr="006A3563" w:rsidTr="00C72036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170C19" w:rsidRPr="006A3563" w:rsidTr="00C72036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1810,9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170C19" w:rsidRPr="006A3563" w:rsidTr="00C72036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Пожертвования от физических и юридических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F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19" w:rsidRPr="00C82BFF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0C19" w:rsidRPr="006A3563" w:rsidTr="00170C19">
        <w:trPr>
          <w:gridAfter w:val="1"/>
          <w:wAfter w:w="949" w:type="dxa"/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</w:tcPr>
          <w:p w:rsidR="00170C19" w:rsidRDefault="00170C19" w:rsidP="00170C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0C19" w:rsidRPr="00170C19" w:rsidRDefault="00170C19" w:rsidP="00170C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70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</w:tcPr>
          <w:p w:rsid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0C19" w:rsidRPr="00170C19" w:rsidRDefault="00170C19" w:rsidP="00C7203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70C19" w:rsidRPr="00170C19" w:rsidRDefault="00170C19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70C19" w:rsidRPr="00170C19" w:rsidRDefault="00170C19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110,5</w:t>
            </w:r>
          </w:p>
        </w:tc>
      </w:tr>
      <w:tr w:rsidR="00170C19" w:rsidRPr="006A3563" w:rsidTr="00063D0D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70C19" w:rsidRPr="006A3563" w:rsidTr="00063D0D">
        <w:trPr>
          <w:gridAfter w:val="1"/>
          <w:wAfter w:w="949" w:type="dxa"/>
          <w:trHeight w:val="5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170C19" w:rsidRPr="006A3563" w:rsidTr="00063D0D">
        <w:trPr>
          <w:gridAfter w:val="1"/>
          <w:wAfter w:w="949" w:type="dxa"/>
          <w:trHeight w:val="42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170C19" w:rsidRPr="006A3563" w:rsidTr="00063D0D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0C19" w:rsidRPr="006A3563" w:rsidTr="00063D0D">
        <w:trPr>
          <w:gridAfter w:val="1"/>
          <w:wAfter w:w="949" w:type="dxa"/>
          <w:trHeight w:val="2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0C19" w:rsidRPr="006A3563" w:rsidTr="00063D0D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192,6</w:t>
            </w:r>
          </w:p>
        </w:tc>
      </w:tr>
      <w:tr w:rsidR="00170C19" w:rsidRPr="006A3563" w:rsidTr="00063D0D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170C19" w:rsidRPr="006A3563" w:rsidTr="00063D0D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0C19" w:rsidRPr="006A3563" w:rsidTr="00063D0D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170C19" w:rsidRPr="006A3563" w:rsidTr="00063D0D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170C19" w:rsidRPr="006A3563" w:rsidTr="00063D0D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170C19" w:rsidRPr="006A3563" w:rsidRDefault="00170C19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5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70C19" w:rsidRPr="006A3563" w:rsidRDefault="002B66F7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70C19" w:rsidRPr="006A3563" w:rsidRDefault="002B66F7" w:rsidP="00387B8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70C19" w:rsidRPr="006A3563" w:rsidRDefault="00353751" w:rsidP="00387B8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113,1</w:t>
            </w:r>
          </w:p>
        </w:tc>
      </w:tr>
    </w:tbl>
    <w:p w:rsidR="00387B85" w:rsidRPr="00254CA3" w:rsidRDefault="00387B85" w:rsidP="00387B85">
      <w:pPr>
        <w:spacing w:after="0" w:line="240" w:lineRule="auto"/>
        <w:ind w:left="426" w:firstLine="3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7B85" w:rsidRPr="00254CA3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рамках  вышеприведенного анализа наблюдается тенденция   увеличения доходов в отчетном периоде на </w:t>
      </w:r>
      <w:r w:rsidR="00254CA3"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t>575,4</w:t>
      </w:r>
      <w:r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4CA3"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также на </w:t>
      </w:r>
      <w:r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4CA3"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t>719,8</w:t>
      </w:r>
      <w:r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54CA3"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25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387B85" w:rsidRPr="00254CA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CA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По собственным доходам наблюдается </w:t>
      </w:r>
      <w:r w:rsidR="00254CA3" w:rsidRPr="0025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увеличение </w:t>
      </w:r>
      <w:r w:rsidRPr="0025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 сравнению с первоначально утвержденными назначениями – </w:t>
      </w:r>
      <w:r w:rsidR="00254CA3" w:rsidRPr="0025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51,0</w:t>
      </w:r>
      <w:r w:rsidRPr="0025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54CA3" w:rsidRPr="0025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254C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87B85" w:rsidRPr="00183097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0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разрезе источников налоговых </w:t>
      </w:r>
      <w:r w:rsidR="006C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произошло  </w:t>
      </w:r>
      <w:r w:rsidRPr="00183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83097"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87B85" w:rsidRPr="00183097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земельному налогу на </w:t>
      </w:r>
      <w:r w:rsid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387B85" w:rsidRPr="00183097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государственной пошлине на </w:t>
      </w:r>
      <w:r w:rsid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2,9 раза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B85" w:rsidRPr="00983A9D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</w:p>
    <w:p w:rsidR="00183097" w:rsidRDefault="00553B7A" w:rsidP="001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87B85"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по </w:t>
      </w:r>
      <w:r w:rsidR="006C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B85"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="006C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неналоговым </w:t>
      </w:r>
      <w:r w:rsidR="00387B85"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</w:t>
      </w:r>
      <w:r w:rsidR="00387B85" w:rsidRPr="001830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увеличились </w:t>
      </w:r>
      <w:r w:rsidR="00387B85"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83097"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59,5</w:t>
      </w:r>
      <w:r w:rsidR="00387B85"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83097" w:rsidRPr="00183097" w:rsidRDefault="00183097" w:rsidP="001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налогу на имущество физических лиц на 19,5 тыс. рублей, или на 27,1 процента;</w:t>
      </w:r>
    </w:p>
    <w:p w:rsidR="00387B85" w:rsidRDefault="00183097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аренде муниципального имущества</w:t>
      </w:r>
      <w:r w:rsidR="00387B85"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="00387B85" w:rsidRPr="001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процентов.</w:t>
      </w:r>
    </w:p>
    <w:p w:rsidR="00183097" w:rsidRPr="00183097" w:rsidRDefault="00553B7A" w:rsidP="0018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B6CC3"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Остался без изменений </w:t>
      </w:r>
      <w:r w:rsidR="00BB6CC3" w:rsidRPr="00BB6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183097" w:rsidRPr="00BB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 лиц.</w:t>
      </w:r>
    </w:p>
    <w:p w:rsidR="00387B85" w:rsidRPr="00983A9D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1830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Объем безвозмездных поступлений увеличивается  по сравнению с первоначально утвержденными показателями бюджета на </w:t>
      </w:r>
      <w:r w:rsidR="00183097" w:rsidRPr="00183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524,4</w:t>
      </w:r>
      <w:r w:rsidRPr="001830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на </w:t>
      </w:r>
      <w:r w:rsidR="00183097" w:rsidRPr="00183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10,2</w:t>
      </w:r>
      <w:r w:rsidRPr="001830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процентов, в том числе:</w:t>
      </w:r>
    </w:p>
    <w:p w:rsidR="00387B85" w:rsidRPr="0019415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19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бюджетам поселений на выравнивание бюджетной обеспеченности и сбалансированности бюджета на </w:t>
      </w:r>
      <w:r w:rsidR="0019415D" w:rsidRPr="0019415D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19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9415D" w:rsidRPr="0019415D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19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387B85" w:rsidRPr="00BB6CC3" w:rsidRDefault="0019415D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1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387B85" w:rsidRPr="001941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субсидий бюджетам сельских поселений на </w:t>
      </w:r>
      <w:r w:rsidRPr="00194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333,3</w:t>
      </w:r>
      <w:r w:rsidR="00387B85" w:rsidRPr="001941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Pr="00194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2,2 раза</w:t>
      </w:r>
      <w:r w:rsidR="00387B85" w:rsidRPr="00194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B6CC3" w:rsidRPr="00BB6CC3" w:rsidRDefault="00387B85" w:rsidP="00BB6CC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BB6CC3"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субвенции бюджетам поселений</w:t>
      </w:r>
      <w:r w:rsidR="00BB6CC3" w:rsidRPr="00BB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6,3 тыс. рублей, или на 5,8 процента;</w:t>
      </w:r>
    </w:p>
    <w:p w:rsidR="00387B85" w:rsidRPr="00BB6CC3" w:rsidRDefault="00BB6CC3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387B85"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на </w:t>
      </w: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56,8</w:t>
      </w:r>
      <w:r w:rsidR="00387B85"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</w:t>
      </w:r>
      <w:r w:rsidR="00387B85"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87B85" w:rsidRPr="00BB6CC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прочие поступления (пожертвование от физических и юридических лиц)  на </w:t>
      </w:r>
      <w:r w:rsidR="00BB6CC3"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78,0</w:t>
      </w: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процентов.   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87B85" w:rsidRPr="00BB6CC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связи с увеличением  объема доходной части бюджета соответственно произошло увеличение и расходной части бюджета.</w:t>
      </w:r>
    </w:p>
    <w:p w:rsidR="00387B85" w:rsidRPr="00BB6CC3" w:rsidRDefault="00387B85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BB6C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первоначально утвержденными показателями бюджета произошло по разделам: </w:t>
      </w:r>
    </w:p>
    <w:p w:rsidR="00BB6CC3" w:rsidRPr="00BB6CC3" w:rsidRDefault="00BB6CC3" w:rsidP="00BB6CC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6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Общегосударственные вопросы  - на  66,0  тыс. рублей, или на 3,2  процента; </w:t>
      </w:r>
    </w:p>
    <w:p w:rsidR="00AF32DD" w:rsidRPr="00AF32DD" w:rsidRDefault="00AF32DD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32D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оборона»</w:t>
      </w:r>
      <w:r w:rsidRPr="00AF3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на 6,3 тыс. рублей, или на  5,9 процента;   </w:t>
      </w:r>
    </w:p>
    <w:p w:rsidR="00387B85" w:rsidRPr="00090A77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Жилищно-коммунальное хозяйство -  на </w:t>
      </w:r>
      <w:r w:rsidR="00090A77"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471,1</w:t>
      </w: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090A77"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92,6</w:t>
      </w: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   </w:t>
      </w:r>
    </w:p>
    <w:p w:rsidR="00387B85" w:rsidRPr="00090A77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«Культура и кинематография» - на </w:t>
      </w:r>
      <w:r w:rsidR="00090A77"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 тыс. рублей, или на 100,0 процентов;</w:t>
      </w:r>
    </w:p>
    <w:p w:rsidR="00387B85" w:rsidRPr="00090A77" w:rsidRDefault="00387B85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Социальная политика – на </w:t>
      </w:r>
      <w:r w:rsidR="00090A77"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090A77"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процента;   </w:t>
      </w:r>
    </w:p>
    <w:p w:rsidR="00387B85" w:rsidRPr="00090A77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- Физическая культура и спорт -  на  </w:t>
      </w:r>
      <w:r w:rsidR="00090A77"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108,3</w:t>
      </w: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090A77"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6,8</w:t>
      </w: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процентов.    </w:t>
      </w:r>
    </w:p>
    <w:p w:rsidR="00387B85" w:rsidRPr="00983A9D" w:rsidRDefault="00387B85" w:rsidP="004A226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090A7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27697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09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утвержденных назначений по сравнению с первоначальными показателями бюджета наблюдается по разделам:</w:t>
      </w:r>
    </w:p>
    <w:p w:rsidR="00387B85" w:rsidRPr="0027697C" w:rsidRDefault="00387B85" w:rsidP="004A226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на  </w:t>
      </w:r>
      <w:r w:rsidR="0027697C"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66,0</w:t>
      </w:r>
      <w:r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7697C"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2,4</w:t>
      </w:r>
      <w:r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4A2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выплаты премии за счет средств области (по гранту)</w:t>
      </w:r>
      <w:r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27697C" w:rsidRPr="0027697C" w:rsidRDefault="00387B85" w:rsidP="004A226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27697C"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«Национальная оборона» - на 6,3 тыс. рублей, или на 5,9 процента</w:t>
      </w:r>
      <w:r w:rsidR="004A22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увеличении субсидии на ведение воинского учета</w:t>
      </w:r>
      <w:r w:rsidR="0027697C"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7697C" w:rsidRPr="0027697C" w:rsidRDefault="0027697C" w:rsidP="004A22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Pr="002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 - на 471,1 тыс. рублей, или на 92,6 процента</w:t>
      </w:r>
      <w:r w:rsidR="004A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A2260" w:rsidRPr="004A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60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</w:t>
      </w:r>
      <w:r w:rsidR="004A226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 проекту «Народный бюджет»</w:t>
      </w:r>
      <w:r w:rsidRPr="002769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97C" w:rsidRDefault="0027697C" w:rsidP="004A226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769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97C">
        <w:rPr>
          <w:rFonts w:ascii="Times New Roman" w:eastAsia="Times New Roman" w:hAnsi="Times New Roman"/>
          <w:sz w:val="28"/>
          <w:szCs w:val="28"/>
          <w:lang w:eastAsia="ru-RU"/>
        </w:rPr>
        <w:t>«Культура,  кинематография» -  на 60,0 тыс. рублей, или на 100,0 проценто</w:t>
      </w:r>
      <w:r w:rsidR="004A22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2260" w:rsidRPr="004A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60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</w:t>
      </w:r>
      <w:r w:rsidR="004A226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 проекту «Народный бюджет»</w:t>
      </w:r>
      <w:r w:rsidRPr="002769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697C" w:rsidRPr="0027697C" w:rsidRDefault="0027697C" w:rsidP="004A22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7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 </w:t>
      </w:r>
      <w:r w:rsidRPr="002769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 -  на 10,1 тыс. рублей, или на 6,1 процента</w:t>
      </w:r>
      <w:r w:rsidR="00967FE0" w:rsidRP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доплату к пенсии бывшему работнику администрации поселения Туровецкое Сейидовой О.А.</w:t>
      </w:r>
      <w:r w:rsidRPr="002769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FE0" w:rsidRPr="00C1691E" w:rsidRDefault="0027697C" w:rsidP="00967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4A22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4A2260" w:rsidRP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60" w:rsidRPr="00967FE0">
        <w:rPr>
          <w:rFonts w:ascii="Times New Roman" w:eastAsia="Times New Roman" w:hAnsi="Times New Roman"/>
          <w:sz w:val="28"/>
          <w:szCs w:val="28"/>
          <w:lang w:eastAsia="ru-RU"/>
        </w:rPr>
        <w:t>«Физическая культура и спорт» - на 108,3 тыс. рублей, или на 6,8 процента</w:t>
      </w:r>
      <w:r w:rsidR="00967FE0" w:rsidRP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FE0"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МРОТ  за счет иных межбюджетных трансфертов</w:t>
      </w:r>
      <w:r w:rsid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4A2260" w:rsidRDefault="00967FE0" w:rsidP="00967FE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</w:p>
    <w:p w:rsidR="00387B85" w:rsidRPr="00983A9D" w:rsidRDefault="00387B85" w:rsidP="00387B8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67FE0" w:rsidRPr="00967FE0" w:rsidRDefault="00387B85" w:rsidP="0096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 расходам в сторону </w:t>
      </w:r>
      <w:r w:rsidRPr="00967F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A2260" w:rsidRPr="00967F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967FE0" w:rsidRP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оизошло по  разделу </w:t>
      </w:r>
      <w:r w:rsidR="00967FE0" w:rsidRPr="00967F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«Образование» – на 2,0 тыс. рублей, или в 3,0 раза, в связи с фактической потребностью.</w:t>
      </w:r>
    </w:p>
    <w:p w:rsidR="00967FE0" w:rsidRPr="00983A9D" w:rsidRDefault="00967FE0" w:rsidP="00967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Без изменений остались расходы по разделам </w:t>
      </w:r>
      <w:r w:rsidRPr="00967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9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«Национальная экономика».</w:t>
      </w:r>
    </w:p>
    <w:p w:rsidR="00387B85" w:rsidRPr="00983A9D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B85" w:rsidRPr="00967FE0" w:rsidRDefault="00387B85" w:rsidP="00387B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B85" w:rsidRPr="00967FE0" w:rsidRDefault="00387B85" w:rsidP="00387B8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7F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Анализ исполнения бюджета за 202</w:t>
      </w:r>
      <w:r w:rsidR="00967FE0" w:rsidRPr="00967F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967F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год.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79"/>
        <w:gridCol w:w="1806"/>
        <w:gridCol w:w="1385"/>
        <w:gridCol w:w="1167"/>
        <w:gridCol w:w="640"/>
        <w:gridCol w:w="494"/>
      </w:tblGrid>
      <w:tr w:rsidR="00983A9D" w:rsidRPr="00967FE0" w:rsidTr="00063D0D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967FE0" w:rsidRDefault="00387B85" w:rsidP="00967FE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67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ab/>
              <w:t>Анализ исполнения бюджета поселения за 202</w:t>
            </w:r>
            <w:r w:rsidR="00967FE0" w:rsidRPr="00967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67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 представлен следующими данными: </w:t>
            </w:r>
          </w:p>
        </w:tc>
      </w:tr>
      <w:tr w:rsidR="00983A9D" w:rsidRPr="00967FE0" w:rsidTr="00063D0D">
        <w:trPr>
          <w:trHeight w:val="25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967FE0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967FE0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967FE0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87B85" w:rsidRPr="00967FE0" w:rsidRDefault="00387B85" w:rsidP="00387B85">
            <w:pPr>
              <w:spacing w:after="0" w:line="240" w:lineRule="auto"/>
              <w:ind w:right="-14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967FE0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7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тыс. руб.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967FE0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7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2036" w:rsidRPr="00A5631A" w:rsidTr="00063D0D">
        <w:trPr>
          <w:trHeight w:val="62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B85" w:rsidRPr="00A5631A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7B85" w:rsidRPr="00A5631A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B85" w:rsidRPr="00A5631A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Исполнено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7B85" w:rsidRPr="00A5631A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C72036" w:rsidRPr="00A5631A" w:rsidTr="00063D0D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7B85" w:rsidRPr="00A5631A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7B85" w:rsidRPr="00A5631A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A5631A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A5631A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85" w:rsidRPr="00A5631A" w:rsidRDefault="00387B85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72036" w:rsidRPr="00A5631A" w:rsidTr="00063D0D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369,0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102,5</w:t>
            </w:r>
          </w:p>
        </w:tc>
      </w:tr>
      <w:tr w:rsidR="00C72036" w:rsidRPr="00A5631A" w:rsidTr="00C72036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A51" w:rsidRDefault="006C6A51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6C6A51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72036"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6C6A51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C72036"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C72036" w:rsidRPr="00A5631A" w:rsidTr="00C72036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C72036" w:rsidRPr="00A5631A" w:rsidTr="00C72036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C72036" w:rsidRPr="00A5631A" w:rsidTr="00C72036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C72036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Неналоговые доходы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110,0</w:t>
            </w:r>
          </w:p>
        </w:tc>
      </w:tr>
      <w:tr w:rsidR="00C72036" w:rsidRPr="00A5631A" w:rsidTr="00C72036">
        <w:trPr>
          <w:trHeight w:val="25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Аренда муниципального имущества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036" w:rsidRPr="00A5631A" w:rsidRDefault="00C72036" w:rsidP="00A563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3F085A" w:rsidP="00A563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C72036" w:rsidRPr="00A5631A" w:rsidTr="00063D0D">
        <w:trPr>
          <w:trHeight w:val="429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404,0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413,0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102,2</w:t>
            </w:r>
          </w:p>
        </w:tc>
      </w:tr>
      <w:tr w:rsidR="00C72036" w:rsidRPr="00A5631A" w:rsidTr="00C72036">
        <w:trPr>
          <w:trHeight w:val="25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5665,1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5631,3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99,4</w:t>
            </w:r>
          </w:p>
        </w:tc>
      </w:tr>
      <w:tr w:rsidR="00C72036" w:rsidRPr="00A5631A" w:rsidTr="00C72036">
        <w:trPr>
          <w:trHeight w:val="84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3056,1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3056,1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631A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631A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631A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72036" w:rsidRPr="00A5631A" w:rsidRDefault="00A5631A" w:rsidP="00A5631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     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631A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631A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631A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C72036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604,7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A5631A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C72036" w:rsidRPr="00A5631A" w:rsidTr="00C72036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115,4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3968D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3968D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C72036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8D3" w:rsidRDefault="003968D3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1810,9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3968D3" w:rsidP="003968D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72036"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1810,9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3968D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3968D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C72036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предоставляемые физическими и юридическими лицами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8D3" w:rsidRDefault="003968D3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8D3" w:rsidRDefault="003968D3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8D3" w:rsidRDefault="003968D3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3968D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3968D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C72036">
        <w:trPr>
          <w:trHeight w:val="37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6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6069,1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6044,3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72036" w:rsidRPr="00A5631A" w:rsidRDefault="003968D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72036" w:rsidRPr="00A5631A" w:rsidRDefault="00F41239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99,6</w:t>
            </w:r>
          </w:p>
        </w:tc>
      </w:tr>
      <w:tr w:rsidR="00C72036" w:rsidRPr="00A5631A" w:rsidTr="00063D0D">
        <w:trPr>
          <w:trHeight w:val="1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72036" w:rsidRPr="00A5631A" w:rsidTr="00063D0D">
        <w:trPr>
          <w:trHeight w:val="31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2839,6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2805,7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6171BD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254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C72036" w:rsidRPr="00A5631A" w:rsidTr="00063D0D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113,4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063D0D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6171BD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254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65,5</w:t>
            </w:r>
          </w:p>
        </w:tc>
      </w:tr>
      <w:tr w:rsidR="00C72036" w:rsidRPr="00A5631A" w:rsidTr="00063D0D">
        <w:trPr>
          <w:trHeight w:val="23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063D0D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254C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868,</w:t>
            </w:r>
            <w:r w:rsidR="00254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254CA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C72036" w:rsidRPr="00A5631A" w:rsidTr="00063D0D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C72036" w:rsidRPr="00A5631A" w:rsidTr="00063D0D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063D0D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175,3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175,3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063D0D">
        <w:trPr>
          <w:trHeight w:val="28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1688,7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C72036" w:rsidP="00254CA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1688,</w:t>
            </w:r>
            <w:r w:rsidR="00254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036" w:rsidRPr="00A5631A" w:rsidRDefault="00254CA3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72036" w:rsidRPr="00A5631A" w:rsidTr="00063D0D">
        <w:trPr>
          <w:trHeight w:val="42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C72036" w:rsidRPr="00A5631A" w:rsidRDefault="00C72036" w:rsidP="00387B8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 расходов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6213,5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72036" w:rsidRPr="00A5631A" w:rsidRDefault="00C72036" w:rsidP="00C720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3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6060,7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72036" w:rsidRPr="00A5631A" w:rsidRDefault="006171BD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-152,8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72036" w:rsidRPr="00A5631A" w:rsidRDefault="006171BD" w:rsidP="00A563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97,5</w:t>
            </w:r>
          </w:p>
        </w:tc>
      </w:tr>
    </w:tbl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</w:pPr>
    </w:p>
    <w:p w:rsidR="00387B85" w:rsidRPr="00E3635B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  <w:t xml:space="preserve">       </w:t>
      </w: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171B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202</w:t>
      </w:r>
      <w:r w:rsidR="006171BD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E3635B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6044,3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</w:p>
    <w:p w:rsidR="00387B85" w:rsidRPr="00E3635B" w:rsidRDefault="00E3635B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F41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,6</w:t>
      </w:r>
      <w:r w:rsidR="00387B85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– 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413,0</w:t>
      </w:r>
      <w:r w:rsidR="00387B85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387B85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5631,3</w:t>
      </w:r>
      <w:r w:rsidR="00387B85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99,4</w:t>
      </w:r>
      <w:r w:rsidR="00387B85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E3635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в бюджете поселения на 202</w:t>
      </w:r>
      <w:r w:rsidR="00E3635B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собственных доходов  в сумме  </w:t>
      </w:r>
      <w:r w:rsidR="00E3635B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353,0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 учетом изменений и дополнений в течение 202</w:t>
      </w:r>
      <w:r w:rsidR="00E3635B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объем  собственных доходов </w:t>
      </w:r>
      <w:r w:rsidR="00E3635B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E3635B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51,0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3635B"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E363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87B85" w:rsidRPr="004304DE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собственных доходов в отчетном периоде  </w:t>
      </w:r>
      <w:r w:rsidR="004304DE"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годовых назначений на </w:t>
      </w:r>
      <w:r w:rsidR="004304DE"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24,8</w:t>
      </w:r>
      <w:r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304DE"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4304DE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304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произошло по налогу на доходы физических лиц на </w:t>
      </w:r>
      <w:r w:rsidR="004304DE"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304DE"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="004304DE"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налогу на имущество  физических лиц на 1,8 тыс. рублей, или на 2,0 %, по земельному налогу  на 0,6 тыс. рублей, или 0,7%. П</w:t>
      </w:r>
      <w:r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государственной пошлине </w:t>
      </w:r>
      <w:r w:rsidR="004304DE" w:rsidRPr="00430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составило 100,0 процентов.</w:t>
      </w:r>
    </w:p>
    <w:p w:rsidR="00387B85" w:rsidRPr="00983A9D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исполнение составило </w:t>
      </w:r>
      <w:r w:rsidR="008C7BBB"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изменения в течение года по данному доходному источнику уточнялись по  дотациям, по  субсидиям,  </w:t>
      </w:r>
      <w:r w:rsidR="008C7BBB"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субвенциям,</w:t>
      </w: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межбюджетным трансфертам передаваемые из бюджета района в бюджет поселения и</w:t>
      </w:r>
      <w:r w:rsidRPr="008C7BB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C7BBB">
        <w:rPr>
          <w:rFonts w:ascii="Times New Roman" w:eastAsia="Times New Roman" w:hAnsi="Times New Roman"/>
          <w:sz w:val="28"/>
          <w:szCs w:val="28"/>
        </w:rPr>
        <w:t>поступлениям от денежных пожертвований, предоставляемых физическими  и юридическими лицами</w:t>
      </w: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7B85" w:rsidRPr="00983A9D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бюджету сельского поселения составили </w:t>
      </w:r>
      <w:r w:rsidR="008C7BBB"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>3056,1</w:t>
      </w: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(100,0%), из них:</w:t>
      </w:r>
    </w:p>
    <w:p w:rsidR="00387B85" w:rsidRPr="008C7BBB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8C7BBB"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>2837,1</w:t>
      </w: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– дотация на выравнивание бюджетной обеспеченности;</w:t>
      </w:r>
    </w:p>
    <w:p w:rsidR="00387B85" w:rsidRPr="008C7BBB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C7BBB"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>219,0</w:t>
      </w:r>
      <w:r w:rsidRPr="008C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дотация на поддержку мер по обеспечению сбалансированности бюджетов. </w:t>
      </w:r>
    </w:p>
    <w:p w:rsidR="00387B85" w:rsidRPr="00762703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Субвенции поступили в сумме </w:t>
      </w:r>
      <w:r w:rsidR="00762703" w:rsidRPr="00762703">
        <w:rPr>
          <w:rFonts w:ascii="Times New Roman" w:eastAsia="Times New Roman" w:hAnsi="Times New Roman" w:cs="Times New Roman"/>
          <w:sz w:val="28"/>
          <w:szCs w:val="28"/>
          <w:lang w:eastAsia="ru-RU"/>
        </w:rPr>
        <w:t>115,4</w:t>
      </w:r>
      <w:r w:rsidRPr="0076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(100,0%), в том числе:</w:t>
      </w:r>
    </w:p>
    <w:p w:rsidR="00387B85" w:rsidRPr="00762703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первичного воинского учета на территориях, где отсутствуют военные комиссариаты –</w:t>
      </w:r>
      <w:r w:rsidR="00762703" w:rsidRPr="00762703">
        <w:rPr>
          <w:rFonts w:ascii="Times New Roman" w:eastAsia="Times New Roman" w:hAnsi="Times New Roman" w:cs="Times New Roman"/>
          <w:sz w:val="28"/>
          <w:szCs w:val="28"/>
          <w:lang w:eastAsia="ru-RU"/>
        </w:rPr>
        <w:t>113,4</w:t>
      </w:r>
      <w:r w:rsidRPr="0076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762703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передаваемых  полномочий субъектов РФ – 2,0 тыс. рублей.</w:t>
      </w:r>
    </w:p>
    <w:p w:rsidR="00387B85" w:rsidRPr="00983A9D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сельских поселений составили 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>570,9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>%) , в том числе:</w:t>
      </w:r>
    </w:p>
    <w:p w:rsidR="00387B85" w:rsidRPr="00A549C2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организацию уличного освещения в рамках программы «Энергоэфективность и развитие газификации на территории Вологодской области на 2014-2020 годы» - 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>297,9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A549C2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 реализацию мероприятий по проектам «Народный бюджет»  - 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>273,0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87B85" w:rsidRPr="00A549C2" w:rsidRDefault="00387B85" w:rsidP="00387B8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поступили в бюджет поселения в сумме 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1810,9 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 на осуществление части полномочий по решению вопросов местного значения в соответствии с за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ключенными соглашениями – 1810,9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из них:</w:t>
      </w:r>
    </w:p>
    <w:p w:rsidR="00387B85" w:rsidRPr="00A549C2" w:rsidRDefault="00387B85" w:rsidP="00387B8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335,5 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направляется на содержание дорог;</w:t>
      </w:r>
    </w:p>
    <w:p w:rsidR="00387B85" w:rsidRPr="00A549C2" w:rsidRDefault="00387B85" w:rsidP="00387B8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>1475,4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реализацию расходных обязательств в части в</w:t>
      </w:r>
      <w:r w:rsidRPr="00A549C2">
        <w:rPr>
          <w:rFonts w:ascii="Times New Roman" w:hAnsi="Times New Roman" w:cs="Times New Roman"/>
          <w:sz w:val="28"/>
          <w:szCs w:val="28"/>
        </w:rPr>
        <w:t>ыплаты заработной платы.</w:t>
      </w:r>
    </w:p>
    <w:p w:rsidR="00387B85" w:rsidRPr="00A549C2" w:rsidRDefault="00387B85" w:rsidP="00387B8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денежных пожертвований, поступивших от физических и юридических лиц – 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реализацию  мероприятий по проектам «Народный бюджет».</w:t>
      </w:r>
    </w:p>
    <w:p w:rsidR="00387B85" w:rsidRPr="00A549C2" w:rsidRDefault="00387B85" w:rsidP="00387B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Возврат остатков субсидий, субвенций и ИМТ, имеющих  целевое назначение  из бюджета поселения в 202</w:t>
      </w:r>
      <w:r w:rsidR="00A549C2"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отсутствует. 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87B85" w:rsidRPr="00A549C2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4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Исполнение расходной части бюджета  составило </w:t>
      </w:r>
      <w:r w:rsidR="00A549C2" w:rsidRPr="00A54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6060,7</w:t>
      </w:r>
      <w:r w:rsidRPr="00A54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97,</w:t>
      </w:r>
      <w:r w:rsidR="00A549C2" w:rsidRPr="00A54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54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387B85" w:rsidRPr="00A549C2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B85" w:rsidRDefault="00387B85" w:rsidP="00387B85">
      <w:pPr>
        <w:spacing w:after="0" w:line="240" w:lineRule="auto"/>
        <w:ind w:left="426" w:firstLine="351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549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202</w:t>
      </w:r>
      <w:r w:rsidR="00A549C2" w:rsidRPr="00A549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</w:t>
      </w:r>
      <w:r w:rsidRPr="00A549C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год</w:t>
      </w:r>
    </w:p>
    <w:p w:rsidR="00DF7B2E" w:rsidRPr="00A549C2" w:rsidRDefault="00DF7B2E" w:rsidP="00387B85">
      <w:pPr>
        <w:spacing w:after="0" w:line="240" w:lineRule="auto"/>
        <w:ind w:left="426" w:firstLine="351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87B85" w:rsidRPr="00983A9D" w:rsidRDefault="00DF7B2E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8E2AB0" wp14:editId="428F86CF">
            <wp:extent cx="5943600" cy="4752975"/>
            <wp:effectExtent l="0" t="0" r="571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7B85" w:rsidRPr="00983A9D" w:rsidRDefault="00387B85" w:rsidP="00387B85">
      <w:pPr>
        <w:spacing w:after="0" w:line="240" w:lineRule="auto"/>
        <w:ind w:left="426" w:firstLine="360"/>
        <w:contextualSpacing/>
        <w:jc w:val="both"/>
        <w:rPr>
          <w:noProof/>
          <w:color w:val="FF0000"/>
          <w:lang w:eastAsia="ru-RU"/>
        </w:rPr>
      </w:pPr>
    </w:p>
    <w:p w:rsidR="00387B85" w:rsidRPr="00983A9D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DF7B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2805,7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98,8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годовых назначений. Доля расходов по данному разделу в общем объеме расходов бюджета поселения составила 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46,3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387B85" w:rsidRPr="00DF7B2E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 в 202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87B85" w:rsidRPr="00DF7B2E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функционирование органов местного самоуправления поселения – 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2503,5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87B85" w:rsidRPr="00DF7B2E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функционирование высшего должностного лица муниципального образования – 577,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DF7B2E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функционирование местной администрации 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1925,9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DF7B2E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иные межбюджетные трансферты – 66,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87B85" w:rsidRPr="00DF7B2E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осуществление полномочий контрольно-счетного органа поселения по осуществлению внешнего муниципального финансового контроля – 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66,8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</w:t>
      </w:r>
    </w:p>
    <w:p w:rsidR="00387B85" w:rsidRPr="00DF7B2E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осуществление полномочий в сфере  внутреннего муниципального финансового контроля – </w:t>
      </w:r>
      <w:r w:rsidR="00DF7B2E"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</w:t>
      </w:r>
    </w:p>
    <w:p w:rsidR="00387B85" w:rsidRPr="00DF7B2E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F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общегосударственные вопросы – </w:t>
      </w:r>
      <w:r w:rsidR="00DF7B2E" w:rsidRPr="00DF7B2E">
        <w:rPr>
          <w:rFonts w:ascii="Times New Roman" w:eastAsia="Times New Roman" w:hAnsi="Times New Roman" w:cs="Times New Roman"/>
          <w:sz w:val="28"/>
          <w:szCs w:val="28"/>
          <w:lang w:eastAsia="ru-RU"/>
        </w:rPr>
        <w:t>240,4</w:t>
      </w:r>
      <w:r w:rsidRPr="00DF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387B85" w:rsidRPr="00983A9D" w:rsidRDefault="00387B85" w:rsidP="0038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межбюджетные трансферты</w:t>
      </w:r>
      <w:r w:rsidR="006C6A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передаваемые на уровень района  на осуществление полномочий по составлению и рассмотрению проекта бюджета поселения, утверждению и исполнению бюджета поселения, осуществления </w:t>
      </w:r>
      <w:proofErr w:type="gramStart"/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исполнением,  составлению и утверждению отчета об исполнении бюджета поселения в части ведения бухгалтерского учета – 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237,1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345C8B" w:rsidRDefault="00387B85" w:rsidP="00387B85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4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членские взносы в Ассоциацию «Совет </w:t>
      </w:r>
      <w:r w:rsidR="00345C8B" w:rsidRPr="0034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образований» - 3,3</w:t>
      </w:r>
      <w:r w:rsidRPr="0034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87B85" w:rsidRPr="00983A9D" w:rsidRDefault="00387B85" w:rsidP="00387B85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B85" w:rsidRPr="00983A9D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345C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исполнены в сумме</w:t>
      </w:r>
      <w:r w:rsidRPr="00345C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113,4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100,0 % от годовых назначений. Доля расходов по данному разделу в общем объеме расходов бюджета поселения составила 1,9 %. По данному разделу произведены расходы на осуществление первичного воинского учета на территории поселения, где отсутствуют военные комиссариаты.</w:t>
      </w:r>
    </w:p>
    <w:p w:rsidR="00387B85" w:rsidRPr="00983A9D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87B85" w:rsidRPr="00983A9D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345C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 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выполнение полномочий  по пожарной безопасности направлено 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65,6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утвержденных годовых назначений. Средства направлены на приобретение 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обустройство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пожарных водоемов. Доля расходов по данному разделу в общем объеме расходов бюджета поселения составила 0,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87B85" w:rsidRPr="00983A9D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387B85" w:rsidRPr="00345C8B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345C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335,5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бюджета поселения составила 5,5 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387B85" w:rsidRPr="00345C8B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заключенным Соглашением между администрацией района и администрацией поселения осуществлялись полномочия по содержанию дорог в границах поселения в сумме </w:t>
      </w:r>
      <w:r w:rsidR="00345C8B"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335,7</w:t>
      </w:r>
      <w:r w:rsidRPr="0034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за счет иных межбюджетных трансфертов из бюджета района.    </w:t>
      </w:r>
    </w:p>
    <w:p w:rsidR="00387B85" w:rsidRPr="00983A9D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87B85" w:rsidRPr="00626390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Расходы по </w:t>
      </w:r>
      <w:r w:rsidRPr="006263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868,1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88,6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14,3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 </w:t>
      </w:r>
    </w:p>
    <w:p w:rsidR="00387B85" w:rsidRPr="00626390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 в 202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по подразделу 0503 «Благоустройство» в сумме 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868,2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(согласно пояснительной записке администрации поселения): </w:t>
      </w:r>
    </w:p>
    <w:p w:rsidR="00626390" w:rsidRPr="00626390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уличное освещение -  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429,4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за счет софинансирования  из областного бюджета в сумме 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342,8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бюджета поселения 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86,6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26390"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387B85" w:rsidRPr="00626390" w:rsidRDefault="00626390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электроэнергию – 370,6 тыс. рублей,</w:t>
      </w:r>
    </w:p>
    <w:p w:rsidR="00626390" w:rsidRPr="00626390" w:rsidRDefault="00626390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ремонт и замену светильников – 58,</w:t>
      </w:r>
      <w:r w:rsid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26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004469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на прочие мероприятия по благоустройству – </w:t>
      </w:r>
      <w:r w:rsidR="00004469"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</w:t>
      </w:r>
      <w:r w:rsid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004469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по проекту «Народный бюджет»  на приобретение роторной косилки -      </w:t>
      </w:r>
      <w:r w:rsidR="00004469"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340,0</w:t>
      </w:r>
      <w:r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софинансирования  из областного бюджета в сумме </w:t>
      </w:r>
      <w:r w:rsidR="00004469"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231,0</w:t>
      </w:r>
      <w:r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средств поселения  </w:t>
      </w:r>
      <w:r w:rsidR="00004469"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43,0</w:t>
      </w:r>
      <w:r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за счет пожертвований физических и юридических лиц в сумме </w:t>
      </w:r>
      <w:r w:rsidR="00004469"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66,0</w:t>
      </w:r>
      <w:r w:rsidRPr="0000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387B85" w:rsidRPr="00983A9D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387B85" w:rsidRPr="00B95C11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B95C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0700 «Образование» </w:t>
      </w:r>
      <w:r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AF1351"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F1351"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80,0</w:t>
      </w:r>
      <w:r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F6333E" w:rsidRDefault="00387B85" w:rsidP="000D2592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рассматриваемому разделу в 202</w:t>
      </w:r>
      <w:r w:rsidR="00AF1351"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мероприятий в области молодежной политики – </w:t>
      </w:r>
      <w:r w:rsidR="00AF1351"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B95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(приобретение подарков для первоклассников на 1 сентября 2</w:t>
      </w:r>
      <w:r w:rsid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023 года).</w:t>
      </w:r>
    </w:p>
    <w:p w:rsidR="000D2592" w:rsidRPr="000D2592" w:rsidRDefault="000D2592" w:rsidP="000D2592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D2592" w:rsidRPr="000D2592" w:rsidRDefault="000D2592" w:rsidP="000D2592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0D25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0800 «Культура, кинематография» </w:t>
      </w:r>
      <w:r w:rsidRPr="000D2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исполнены в сумме 60,0 тыс. рублей, или на 100  % от годовых назначений.</w:t>
      </w:r>
    </w:p>
    <w:p w:rsidR="000D2592" w:rsidRPr="000D2592" w:rsidRDefault="000D2592" w:rsidP="000D2592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D2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рассматриваемому разделу в 2022 году осуществлено финансирование на мероприятия по проекту «Народный бюджет» в сумме 60,0 тыс. рублей, из них: софинансирования  из областного бюджета в сумме 42,0 тыс. рублей, за счет средств поселения  6,0 тыс. рублей и  за счет пожертвований физических и юридических лиц в сумме 12,0  тыс. рублей</w:t>
      </w:r>
      <w:r w:rsidR="006C6A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6C6A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 w:rsidRPr="000D2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дминистрацией поселения закуплено световое оборудование для </w:t>
      </w:r>
      <w:r w:rsidR="006C6A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0D2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ома культуры.</w:t>
      </w:r>
    </w:p>
    <w:p w:rsidR="00387B85" w:rsidRPr="00F6333E" w:rsidRDefault="006C6A51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7B85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="00387B85" w:rsidRPr="00F6333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="00387B85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F6333E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175,3</w:t>
      </w:r>
      <w:r w:rsidR="00387B85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на 100,0 % от годовых назначений. Доля расходов по данному разделу в общем объеме расходов бюджета поселения составила </w:t>
      </w:r>
      <w:r w:rsidR="00F6333E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 w:rsidR="00387B85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387B85" w:rsidRPr="0080045B" w:rsidRDefault="0080045B" w:rsidP="008004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387B85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данном разделе отражены расходы  на доплату к пенсиям бывшим  Главе поселения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двум </w:t>
      </w:r>
      <w:r w:rsid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ям </w:t>
      </w:r>
      <w:r w:rsid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лавы поселения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7B85" w:rsidRPr="00F6333E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Расходы по </w:t>
      </w:r>
      <w:r w:rsidRPr="00F6333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 </w:t>
      </w:r>
      <w:r w:rsidR="00F6333E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1688,7</w:t>
      </w:r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</w:t>
      </w:r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расходов по данному разделу в общем объеме расходов бюджета поселения составила </w:t>
      </w:r>
      <w:r w:rsidR="00F6333E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27,9</w:t>
      </w:r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387B85" w:rsidRPr="00F6333E" w:rsidRDefault="00387B85" w:rsidP="00387B8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предоставление субсидий на выполнение муниципального задания МБУ ФОК «Олимп» в сумме </w:t>
      </w:r>
      <w:r w:rsidR="00F6333E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1668,8</w:t>
      </w:r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за счет реализации  расходных обязательств  в части выплаты заработной платы работникам муниципальных учреждений в сумме </w:t>
      </w:r>
      <w:r w:rsidR="00F6333E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823,4</w:t>
      </w:r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физкультурно-оздоровительную работу и проведение мероприятий по физической культуре и спорту в сумме </w:t>
      </w:r>
      <w:r w:rsidR="00F6333E"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20,0</w:t>
      </w:r>
      <w:r w:rsidRPr="00F633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806053" w:rsidRDefault="00951FEB" w:rsidP="00951F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В  приложении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9B6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проекту решения Представительного Собрания Междуреченского муниципального округа «Об исполнении бюджета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Туровецкое</w:t>
      </w:r>
      <w:r w:rsidRPr="009B6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2022 год»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строке «Расходы на выплату персоналу государственных (муниципальных) органов 159 01 04 91 2 00 70030 120 370,9» цифру </w:t>
      </w:r>
      <w:r w:rsidRPr="00951F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«370,9»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заменить цифрой </w:t>
      </w:r>
      <w:r w:rsidRPr="00951F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«488,6»</w:t>
      </w:r>
      <w:r w:rsidR="0080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51FEB" w:rsidRPr="00806053" w:rsidRDefault="00806053" w:rsidP="00951F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</w:t>
      </w:r>
      <w:r w:rsidRPr="0080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0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«Расходы на прочие мероприятия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благоустройству 159 05  03 78 3 00 25040» и «Иные закупки товаров, работ и услуг для обеспечения государственных (муниципальных) нужд 159 05 03 78 3 00 25040 240» цифру  </w:t>
      </w:r>
      <w:r w:rsidRPr="00806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«98,6»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заменить на </w:t>
      </w:r>
      <w:r w:rsidRPr="00806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«98,7»</w:t>
      </w:r>
      <w:r w:rsidR="00951FEB" w:rsidRPr="00806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387B85" w:rsidRDefault="00387B85" w:rsidP="00387B85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1C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80045B" w:rsidRPr="005C1C23" w:rsidRDefault="0080045B" w:rsidP="00387B85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87B85" w:rsidRPr="005C1C2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C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</w:t>
      </w:r>
      <w:r w:rsidR="005C1C23" w:rsidRPr="005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 </w:t>
      </w:r>
      <w:r w:rsidRPr="005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 w:rsidR="005C1C23" w:rsidRPr="005C1C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C1C23" w:rsidRPr="005C1C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1C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Туровецкое  на 202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первоначальный бюджет поселения на 202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без дефицита (профицита).  Решением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округа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 202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 изменений  в решение от 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7»  уточненный бюджет утвержден  с дефицитом в сумме 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144,4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5C1C23">
        <w:rPr>
          <w:rFonts w:eastAsiaTheme="minorEastAsia"/>
          <w:sz w:val="28"/>
          <w:szCs w:val="28"/>
          <w:lang w:eastAsia="ru-RU"/>
        </w:rPr>
        <w:t xml:space="preserve">         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87B85" w:rsidRPr="005C1C2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В результате исполнения  бюджета поселения за 202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получен дефицит в сумме 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16,4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87B85" w:rsidRPr="005C1C2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соответствии с данными  баланса исполнения  бюджета поселения  объем остатков средств  бюджета поселения  по состоянию на 01.01.202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157,4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01.01.202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5C1C23"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141,0</w:t>
      </w:r>
      <w:r w:rsidRPr="005C1C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87B85" w:rsidRPr="00983A9D" w:rsidRDefault="00387B85" w:rsidP="00387B8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387B85" w:rsidRPr="00BE7A00" w:rsidRDefault="00387B85" w:rsidP="00387B8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E7A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387B85" w:rsidRPr="00BE7A00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87B85" w:rsidRPr="00BE7A00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E7A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B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 в поселении Туровецкое долговые обязательства по бюджетным кредитам и муниципальным гарантиям отсутствуют.</w:t>
      </w:r>
      <w:r w:rsidRPr="00B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87B85" w:rsidRPr="00BE7A00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87B85" w:rsidRPr="00BE7A00" w:rsidRDefault="00387B85" w:rsidP="00387B8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E7A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387B85" w:rsidRPr="007809A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Объем кредиторской задолженности  получателей средств бюджета  поселения  по состоянию на 01.01.202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95,7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кредиторская задолженность отсутствует.   На 01.01.202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кредиторская задолженность  составляла 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120,7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кредиторская задолженность также отсутствовала.  По сравнению с 202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годом объем задолженности  уменьшился    на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26,1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кредиторской задолженности имеет следующий вид: </w:t>
      </w:r>
    </w:p>
    <w:p w:rsidR="00387B85" w:rsidRPr="007809A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задолженность по данным налоговой инспекции –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52,5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7809A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задолженность  за услуги связи за декабрь  2021 года –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0,3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задолженность за электроэнергию за декабрь 202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–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42,9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01.01.202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</w:t>
      </w:r>
      <w:r w:rsid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 уменьшилась   на </w:t>
      </w:r>
      <w:r w:rsid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16,7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52,3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Структур дебиторской задолженности имеет следующий вид:</w:t>
      </w:r>
    </w:p>
    <w:p w:rsidR="00387B85" w:rsidRPr="007809A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авансовые платежи за  подписку  (за декабрь 2021 года)  УФПС  «Почта России» -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87B85" w:rsidRPr="007809A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начисленные доходы </w:t>
      </w:r>
      <w:r w:rsid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(налоги)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налоговой инспекции  –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87B85" w:rsidRPr="007809A3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809A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на 01.01.202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составила </w:t>
      </w:r>
      <w:r w:rsidR="007809A3"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налогам.</w:t>
      </w:r>
    </w:p>
    <w:p w:rsidR="00387B85" w:rsidRPr="00983A9D" w:rsidRDefault="00387B85" w:rsidP="00387B85">
      <w:pPr>
        <w:spacing w:after="0" w:line="240" w:lineRule="auto"/>
        <w:ind w:right="-143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87B85" w:rsidRPr="00BE7A00" w:rsidRDefault="00387B85" w:rsidP="00387B8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E7A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387B85" w:rsidRPr="00BE7A00" w:rsidRDefault="00387B85" w:rsidP="00387B8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B85" w:rsidRPr="00BE7A00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202</w:t>
      </w:r>
      <w:r w:rsidR="00BE7A00" w:rsidRPr="00B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202</w:t>
      </w:r>
      <w:r w:rsidR="00BE7A00" w:rsidRPr="00B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E7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Исходя из анализа расходной части бюджета поселения в разделе 0100 «Общегосударственные расходы» расход средств по подразделу 0111«Резервные фонды» не проводился.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87B85" w:rsidRPr="00DF7391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73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9. Выводы  и  предложения</w:t>
      </w:r>
    </w:p>
    <w:p w:rsidR="00387B85" w:rsidRPr="00A04D61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87B85" w:rsidRPr="00A04D61" w:rsidRDefault="00387B85" w:rsidP="0038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поселения за 202</w:t>
      </w:r>
      <w:r w:rsidR="00DF7391"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</w:t>
      </w:r>
      <w:r w:rsidR="00DF7391"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контрольно-счетную комиссию</w:t>
      </w:r>
      <w:r w:rsidR="00A04D61"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D61"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A04D61"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срока. Наличие представленных документов и материалов к отчету об исполнении бюджета поселения за 202</w:t>
      </w:r>
      <w:r w:rsidR="00A04D61"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соответствует перечню, установленному статьей 43  Положения о бюджетном процессе, утвержденного решением Совета поселения от </w:t>
      </w:r>
      <w:r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05 декабря 2014 года №37 </w:t>
      </w:r>
      <w:r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нормам статьи 264.6 Бюджетного кодекса Российской Федерации.  </w:t>
      </w:r>
    </w:p>
    <w:p w:rsidR="00387B85" w:rsidRPr="00A04D61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4D61" w:rsidRPr="00A04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A04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доходов, расходов и дефицита бюджета, отраженные в проекте решения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округа</w:t>
      </w:r>
      <w:r w:rsidRPr="00A04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«Об утверждении отчета об исполнении бюджета  поселения за 202</w:t>
      </w:r>
      <w:r w:rsidR="00A04D61" w:rsidRPr="00A04D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04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387B85" w:rsidRPr="00166E6F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в бюджете поселения на 202</w:t>
      </w:r>
      <w:r w:rsidR="00A04D61"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 доходов в сумме </w:t>
      </w:r>
      <w:r w:rsidR="00711B0E"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5493,7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собственных доходов в 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объеме </w:t>
      </w:r>
      <w:r w:rsidR="00711B0E"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353,0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С учетом изменений в бюджет  поселения  в течение 202</w:t>
      </w:r>
      <w:r w:rsidR="00711B0E"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произошло увеличение доходов на </w:t>
      </w:r>
      <w:r w:rsidR="00711B0E"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575,4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11B0E"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10,5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в части собственных доходов       составило  </w:t>
      </w:r>
      <w:r w:rsidR="00711B0E"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51,0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11B0E"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</w:t>
      </w:r>
      <w:r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безвозмездных поступлений увеличение – </w:t>
      </w:r>
      <w:r w:rsidR="00711B0E"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524,4</w:t>
      </w:r>
      <w:r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11B0E"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10,2</w:t>
      </w:r>
      <w:r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166E6F" w:rsidRPr="00166E6F" w:rsidRDefault="00387B85" w:rsidP="00166E6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бюджет поселения за 202</w:t>
      </w:r>
      <w:r w:rsidR="00166E6F"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166E6F"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6044,3</w:t>
      </w:r>
      <w:r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</w:t>
      </w:r>
      <w:r w:rsidR="00F41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99,6</w:t>
      </w:r>
      <w:r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166E6F"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6069,1</w:t>
      </w:r>
      <w:r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66E6F"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6E6F" w:rsidRPr="00711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собственных доходов       составило  </w:t>
      </w:r>
      <w:r w:rsid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413,0  тыс. рублей, или 102,2% и </w:t>
      </w:r>
      <w:r w:rsidR="00166E6F"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увеличение – </w:t>
      </w:r>
      <w:r w:rsid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5631,3</w:t>
      </w:r>
      <w:r w:rsidR="00166E6F"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99,4 процента</w:t>
      </w:r>
      <w:r w:rsidR="00166E6F" w:rsidRPr="0016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367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 собственных доходов в отчетном периоде  </w:t>
      </w:r>
      <w:r w:rsidR="003676FC" w:rsidRPr="00367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 </w:t>
      </w:r>
      <w:r w:rsidRPr="00367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утвержденных годовых назначений на </w:t>
      </w:r>
      <w:r w:rsidR="003676FC" w:rsidRPr="00367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 w:rsidRPr="00367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2,</w:t>
      </w:r>
      <w:r w:rsidR="003676FC" w:rsidRPr="00367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67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proofErr w:type="gramStart"/>
      <w:r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поселения в 202</w:t>
      </w:r>
      <w:r w:rsidR="003676FC"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увеличилась по сравнению с 202</w:t>
      </w:r>
      <w:r w:rsidR="003676FC"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годом на </w:t>
      </w:r>
      <w:r w:rsidR="003676FC"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>615,0</w:t>
      </w:r>
      <w:r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676FC"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</w:t>
      </w:r>
      <w:r w:rsidR="003676FC"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676FC"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>76,3</w:t>
      </w:r>
      <w:r w:rsidRPr="0036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</w:t>
      </w:r>
      <w:r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 или </w:t>
      </w:r>
      <w:r w:rsidR="003676FC"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>22,7</w:t>
      </w:r>
      <w:r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Наиболее значительное </w:t>
      </w:r>
      <w:r w:rsidR="003676FC" w:rsidRPr="0053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увеличения</w:t>
      </w:r>
      <w:r w:rsidRPr="0053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по доходам </w:t>
      </w:r>
      <w:r w:rsidR="00536F71"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сдачи муниципального имущества на 44,0</w:t>
      </w:r>
      <w:r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100,0 %, по налогу на </w:t>
      </w:r>
      <w:r w:rsid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</w:t>
      </w:r>
      <w:r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 </w:t>
      </w:r>
      <w:r w:rsid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21,6 тыс. рублей</w:t>
      </w:r>
      <w:proofErr w:type="gramEnd"/>
      <w:r w:rsid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30</w:t>
      </w:r>
      <w:r w:rsidR="00536F71"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>,1%,</w:t>
      </w:r>
      <w:r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71"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36F71" w:rsidRPr="00536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налогу на доходы физических лиц – 12,4 тыс. рублей, или на 7,1%</w:t>
      </w:r>
      <w:r w:rsid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 земельному налогу  на 7,8 тыс. рублей, или на 9,8 процента</w:t>
      </w:r>
      <w:r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F71" w:rsidRPr="0053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Снижение </w:t>
      </w:r>
      <w:r w:rsidR="00536F71" w:rsidRPr="005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 по государственной пошлине на 6,0 тыс. рублей (в 5,3 раза), штрафы, санкции возмещение ущерба на 3,7 тыс. рублей (100,0%).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структуре собственных доходов наибольший удельный вес  занимает налог на доходы физических лиц – </w:t>
      </w:r>
      <w:r w:rsidR="00E6240B"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186,6</w:t>
      </w:r>
      <w:r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6240B"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45,2</w:t>
      </w:r>
      <w:r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E6240B"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 на имущество физических лиц – 93,3 тыс. рублей (22,6 %), </w:t>
      </w:r>
      <w:r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земельный налог -</w:t>
      </w:r>
      <w:r w:rsidR="00E6240B"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87,7</w:t>
      </w:r>
      <w:r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6240B"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21,2</w:t>
      </w:r>
      <w:r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</w:t>
      </w:r>
      <w:r w:rsidR="00E6240B"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аренды муниципального имущества – 44,0 тыс. рублей (10,7%) и </w:t>
      </w:r>
      <w:r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пошлина  – </w:t>
      </w:r>
      <w:r w:rsidR="00E6240B"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6240B"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E624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387B85" w:rsidRPr="00126FCE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F412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 безвозмездных поступлений в отчетном 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периоде  составило </w:t>
      </w:r>
      <w:r w:rsidR="00F41239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99,4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утвержденных годовых назначений.</w:t>
      </w:r>
    </w:p>
    <w:p w:rsidR="00387B85" w:rsidRPr="00126FCE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Расходы бюджета поселения произведены в сумме </w:t>
      </w:r>
      <w:r w:rsidR="00DB042C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6060,7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DB042C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97,5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исполнен с дефицитом в размере </w:t>
      </w:r>
      <w:r w:rsidR="00DB042C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16,4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Остаток  бюджетных средств на счете поселения  на 31.12. 202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DB042C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157,4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31.12. 202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141,0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26FCE" w:rsidRPr="00983A9D" w:rsidRDefault="00A24FFA" w:rsidP="00126FC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126FCE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Расходная часть бюджета  поселения в 2022 году по сравнению с 2021 годом  также увеличилась на 515,0  тыс. рублей, или на 9,3  процента, в том числе: по общегосударственным вопросам на 421,9 тыс. рублей (на 17,7%), по национальной  обороне на 8,9 тыс. рублей (на 8,5%), по жилищно-коммунальному хозяйству на 7,1 тыс. рублей (на 0,8%), по культуре и кинематографии  на </w:t>
      </w:r>
      <w:r w:rsid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="00126FCE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proofErr w:type="gramEnd"/>
      <w:r w:rsidR="00126FCE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 </w:t>
      </w:r>
      <w:r w:rsid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26FCE"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,0%), по социальной политике на 10,1 тыс. рублей (на 6,1%),  по физической  культуре и спорту на 109,1 тыс. рублей (на 6,9%).</w:t>
      </w:r>
    </w:p>
    <w:p w:rsidR="00126FCE" w:rsidRPr="00126FCE" w:rsidRDefault="00126FCE" w:rsidP="00126FC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наблюдается 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разделам: «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ациональн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безопасность и правоохранительн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ь»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11,5 тыс. рублей (на 87,8%), по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ациональной экономике на 39,4 тыс. рублей (на 11,7%), по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000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бразованию на 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 тыс. рублей  (</w:t>
      </w:r>
      <w:proofErr w:type="gramStart"/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2,5 раза).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структуре расходов бюджета поселения в 202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общегосударственные вопросы –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46,3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на физическую культуру  и спорт –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27,9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жилищно-коммунальное хозяйство –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14,3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на национальную экономику –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социальную политику –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на национальную оборону, на национальную безопасность и правоохранительную деятельность, на образование и культуру, кинематографию всего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3,1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proofErr w:type="gramEnd"/>
    </w:p>
    <w:p w:rsidR="00387B85" w:rsidRPr="00983A9D" w:rsidRDefault="00387B85" w:rsidP="00126F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принят решением Совета поселения</w:t>
      </w:r>
      <w:r w:rsidRPr="0012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декабря 2021  года № 9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7  «О бюдже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 поселения Туровецкое  на 2022 год и плановый период 2023 и 2024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и утвержден без дефицита (профицита).  Решением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округа от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 202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решение от 2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года  №9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7» уточненный бюджет утвержден  с дефицитом бюджета поселения в сумме </w:t>
      </w:r>
      <w:r w:rsidR="00126FCE"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144,4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Pr="0012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26FCE" w:rsidRPr="00126FCE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Pr="0012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126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26FCE" w:rsidRPr="005B5763" w:rsidRDefault="00387B85" w:rsidP="00126FC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5B57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Кредиторская задолженность бюджета поселения по своим обязательствам составила </w:t>
      </w:r>
      <w:r w:rsidR="00126FCE" w:rsidRPr="005B5763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95,7</w:t>
      </w:r>
      <w:r w:rsidRPr="005B57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Просроченная кредиторская задолженность отсутствует. </w:t>
      </w:r>
      <w:r w:rsidR="00126FCE" w:rsidRPr="005B57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2021 годом объем задолженности  уменьшился    на 25,0  тыс. рублей, или  на 26,1 процента.</w:t>
      </w:r>
    </w:p>
    <w:p w:rsidR="005B5763" w:rsidRDefault="005B5763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01.01.2023 года  составила 31,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 уменьшилась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16,7 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52,3</w:t>
      </w: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87B85" w:rsidRPr="00983A9D" w:rsidRDefault="005B5763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80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7B85"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387B85" w:rsidRPr="005B57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</w:t>
      </w:r>
      <w:r w:rsidRPr="005B57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ская задолженность на 01.01.2023</w:t>
      </w:r>
      <w:r w:rsidR="00387B85" w:rsidRPr="005B57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составила </w:t>
      </w:r>
      <w:r w:rsidRPr="005B57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="00387B85" w:rsidRPr="005B57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налогам.</w:t>
      </w:r>
    </w:p>
    <w:p w:rsidR="00387B85" w:rsidRPr="00983A9D" w:rsidRDefault="00387B85" w:rsidP="00387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51FEB" w:rsidRPr="0080045B" w:rsidRDefault="00387B85" w:rsidP="0095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A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51FEB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="00951FEB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="00951FEB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</w:t>
      </w:r>
      <w:r w:rsid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EB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счетная комиссия округа </w:t>
      </w:r>
      <w:r w:rsidR="00A2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951FEB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51FEB" w:rsidRPr="00F7546D" w:rsidRDefault="00951FEB" w:rsidP="00951FE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F7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нарушение в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проекту решения Представительного собрания Междуреченского муниципального округа «Об исполнении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Туровецкое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2022 год»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отмеченно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заключении;</w:t>
      </w:r>
    </w:p>
    <w:p w:rsidR="00951FEB" w:rsidRDefault="00951FEB" w:rsidP="00951FE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рекомендовать </w:t>
      </w: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Представительному Собранию Междуреченского муниципального округа  </w:t>
      </w:r>
      <w:r w:rsidR="00A24F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рассмотреть  отчет об исполнении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Туровецкое </w:t>
      </w: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2022 год</w:t>
      </w:r>
      <w:r w:rsidRPr="003B2A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 </w:t>
      </w:r>
    </w:p>
    <w:p w:rsidR="0080045B" w:rsidRDefault="0080045B" w:rsidP="005B5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5763" w:rsidRPr="00B64434" w:rsidRDefault="005B5763" w:rsidP="005B576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5B5763" w:rsidRPr="00B64434" w:rsidRDefault="0080045B" w:rsidP="005B576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5B5763"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онтрольно-счетной</w:t>
      </w:r>
    </w:p>
    <w:p w:rsidR="005B5763" w:rsidRPr="00B64434" w:rsidRDefault="005B5763" w:rsidP="005B576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                                                                                  М.И. Шестакова</w:t>
      </w:r>
    </w:p>
    <w:p w:rsidR="005B5763" w:rsidRPr="00CD3AC3" w:rsidRDefault="005B5763" w:rsidP="005B5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4334" w:rsidRPr="00983A9D" w:rsidRDefault="000B4334">
      <w:pPr>
        <w:rPr>
          <w:color w:val="FF0000"/>
        </w:rPr>
      </w:pPr>
    </w:p>
    <w:sectPr w:rsidR="000B4334" w:rsidRPr="00983A9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79" w:rsidRDefault="00633379">
      <w:pPr>
        <w:spacing w:after="0" w:line="240" w:lineRule="auto"/>
      </w:pPr>
      <w:r>
        <w:separator/>
      </w:r>
    </w:p>
  </w:endnote>
  <w:endnote w:type="continuationSeparator" w:id="0">
    <w:p w:rsidR="00633379" w:rsidRDefault="0063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79" w:rsidRDefault="00633379">
      <w:pPr>
        <w:spacing w:after="0" w:line="240" w:lineRule="auto"/>
      </w:pPr>
      <w:r>
        <w:separator/>
      </w:r>
    </w:p>
  </w:footnote>
  <w:footnote w:type="continuationSeparator" w:id="0">
    <w:p w:rsidR="00633379" w:rsidRDefault="0063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82961"/>
      <w:docPartObj>
        <w:docPartGallery w:val="Page Numbers (Top of Page)"/>
        <w:docPartUnique/>
      </w:docPartObj>
    </w:sdtPr>
    <w:sdtEndPr/>
    <w:sdtContent>
      <w:p w:rsidR="009D7C9A" w:rsidRDefault="009D7C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D1">
          <w:rPr>
            <w:noProof/>
          </w:rPr>
          <w:t>20</w:t>
        </w:r>
        <w:r>
          <w:fldChar w:fldCharType="end"/>
        </w:r>
      </w:p>
    </w:sdtContent>
  </w:sdt>
  <w:p w:rsidR="009D7C9A" w:rsidRDefault="009D7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C9"/>
    <w:rsid w:val="0000019D"/>
    <w:rsid w:val="000013D1"/>
    <w:rsid w:val="00001C67"/>
    <w:rsid w:val="00004469"/>
    <w:rsid w:val="00024673"/>
    <w:rsid w:val="00063D0D"/>
    <w:rsid w:val="00090A77"/>
    <w:rsid w:val="000B4334"/>
    <w:rsid w:val="000D2592"/>
    <w:rsid w:val="000F067C"/>
    <w:rsid w:val="0012516A"/>
    <w:rsid w:val="00126FCE"/>
    <w:rsid w:val="00166E6F"/>
    <w:rsid w:val="00170C19"/>
    <w:rsid w:val="00183097"/>
    <w:rsid w:val="0019415D"/>
    <w:rsid w:val="001C39FF"/>
    <w:rsid w:val="00234B74"/>
    <w:rsid w:val="00254CA3"/>
    <w:rsid w:val="0027697C"/>
    <w:rsid w:val="002B66F7"/>
    <w:rsid w:val="00345C8B"/>
    <w:rsid w:val="00353751"/>
    <w:rsid w:val="003676FC"/>
    <w:rsid w:val="00387B85"/>
    <w:rsid w:val="0039683E"/>
    <w:rsid w:val="003968D3"/>
    <w:rsid w:val="003B5A30"/>
    <w:rsid w:val="003D2DDC"/>
    <w:rsid w:val="003F085A"/>
    <w:rsid w:val="004304DE"/>
    <w:rsid w:val="0043114D"/>
    <w:rsid w:val="004914AA"/>
    <w:rsid w:val="004A2260"/>
    <w:rsid w:val="00521595"/>
    <w:rsid w:val="0052321A"/>
    <w:rsid w:val="00536F71"/>
    <w:rsid w:val="005464CA"/>
    <w:rsid w:val="00553B7A"/>
    <w:rsid w:val="005B5763"/>
    <w:rsid w:val="005C1C23"/>
    <w:rsid w:val="006171BD"/>
    <w:rsid w:val="006262D7"/>
    <w:rsid w:val="00626390"/>
    <w:rsid w:val="00633379"/>
    <w:rsid w:val="00656125"/>
    <w:rsid w:val="0065651A"/>
    <w:rsid w:val="0067195E"/>
    <w:rsid w:val="00675767"/>
    <w:rsid w:val="006A3563"/>
    <w:rsid w:val="006A69E7"/>
    <w:rsid w:val="006C6A51"/>
    <w:rsid w:val="00711B0E"/>
    <w:rsid w:val="00715D20"/>
    <w:rsid w:val="00762703"/>
    <w:rsid w:val="0077095C"/>
    <w:rsid w:val="00777B6B"/>
    <w:rsid w:val="007809A3"/>
    <w:rsid w:val="0080045B"/>
    <w:rsid w:val="00806053"/>
    <w:rsid w:val="008910B6"/>
    <w:rsid w:val="008C7BBB"/>
    <w:rsid w:val="008D75B8"/>
    <w:rsid w:val="009052C9"/>
    <w:rsid w:val="00951FEB"/>
    <w:rsid w:val="00967FE0"/>
    <w:rsid w:val="00983A9D"/>
    <w:rsid w:val="009D7C9A"/>
    <w:rsid w:val="009E7CA6"/>
    <w:rsid w:val="009F7682"/>
    <w:rsid w:val="00A04D61"/>
    <w:rsid w:val="00A05053"/>
    <w:rsid w:val="00A24FFA"/>
    <w:rsid w:val="00A549C2"/>
    <w:rsid w:val="00A559C5"/>
    <w:rsid w:val="00A5631A"/>
    <w:rsid w:val="00A66044"/>
    <w:rsid w:val="00AF0D99"/>
    <w:rsid w:val="00AF1351"/>
    <w:rsid w:val="00AF32DD"/>
    <w:rsid w:val="00B95C11"/>
    <w:rsid w:val="00BB6CC3"/>
    <w:rsid w:val="00BE7A00"/>
    <w:rsid w:val="00C02884"/>
    <w:rsid w:val="00C43D2C"/>
    <w:rsid w:val="00C72036"/>
    <w:rsid w:val="00CA1FF6"/>
    <w:rsid w:val="00CC03B7"/>
    <w:rsid w:val="00D12C66"/>
    <w:rsid w:val="00D33F6D"/>
    <w:rsid w:val="00D4337E"/>
    <w:rsid w:val="00DB042C"/>
    <w:rsid w:val="00DF7391"/>
    <w:rsid w:val="00DF7B2E"/>
    <w:rsid w:val="00E3635B"/>
    <w:rsid w:val="00E6240B"/>
    <w:rsid w:val="00E842F6"/>
    <w:rsid w:val="00E90A82"/>
    <w:rsid w:val="00F41239"/>
    <w:rsid w:val="00F6333E"/>
    <w:rsid w:val="00F6520C"/>
    <w:rsid w:val="00F75E0D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B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87B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B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87B85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87B85"/>
  </w:style>
  <w:style w:type="character" w:styleId="a3">
    <w:name w:val="Strong"/>
    <w:qFormat/>
    <w:rsid w:val="00387B85"/>
    <w:rPr>
      <w:b/>
      <w:bCs/>
    </w:rPr>
  </w:style>
  <w:style w:type="paragraph" w:styleId="a4">
    <w:name w:val="Normal (Web)"/>
    <w:basedOn w:val="a"/>
    <w:rsid w:val="00387B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87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87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87B85"/>
  </w:style>
  <w:style w:type="table" w:styleId="a8">
    <w:name w:val="Table Grid"/>
    <w:basedOn w:val="a1"/>
    <w:rsid w:val="0038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87B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387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87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87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387B8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12">
    <w:name w:val="Обычный1"/>
    <w:rsid w:val="00387B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387B8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387B85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87B85"/>
  </w:style>
  <w:style w:type="paragraph" w:styleId="ad">
    <w:name w:val="List Paragraph"/>
    <w:basedOn w:val="a"/>
    <w:uiPriority w:val="34"/>
    <w:qFormat/>
    <w:rsid w:val="00387B8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B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87B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B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87B85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87B85"/>
  </w:style>
  <w:style w:type="character" w:styleId="a3">
    <w:name w:val="Strong"/>
    <w:qFormat/>
    <w:rsid w:val="00387B85"/>
    <w:rPr>
      <w:b/>
      <w:bCs/>
    </w:rPr>
  </w:style>
  <w:style w:type="paragraph" w:styleId="a4">
    <w:name w:val="Normal (Web)"/>
    <w:basedOn w:val="a"/>
    <w:rsid w:val="00387B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87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87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87B85"/>
  </w:style>
  <w:style w:type="table" w:styleId="a8">
    <w:name w:val="Table Grid"/>
    <w:basedOn w:val="a1"/>
    <w:rsid w:val="0038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87B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387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87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87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387B8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12">
    <w:name w:val="Обычный1"/>
    <w:rsid w:val="00387B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387B8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387B85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87B85"/>
  </w:style>
  <w:style w:type="paragraph" w:styleId="ad">
    <w:name w:val="List Paragraph"/>
    <w:basedOn w:val="a"/>
    <w:uiPriority w:val="34"/>
    <w:qFormat/>
    <w:rsid w:val="00387B8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77777777777776E-2"/>
          <c:y val="2.3148148148148147E-2"/>
          <c:w val="0.96747353455818019"/>
          <c:h val="0.9768518518518518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"Общеобразовательные вопросы"  - </a:t>
                    </a:r>
                    <a:r>
                      <a:rPr lang="en-US"/>
                      <a:t>46,3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 - </a:t>
                    </a:r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 </a:t>
                    </a:r>
                    <a:r>
                      <a:rPr lang="en-US"/>
                      <a:t>0,2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 </a:t>
                    </a:r>
                    <a:r>
                      <a:rPr lang="en-US"/>
                      <a:t>5,5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 </a:t>
                    </a:r>
                    <a:r>
                      <a:rPr lang="en-US"/>
                      <a:t>14,3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 </a:t>
                    </a:r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"Культура,</a:t>
                    </a:r>
                    <a:r>
                      <a:rPr lang="ru-RU" baseline="0"/>
                      <a:t> кинематография" - </a:t>
                    </a:r>
                    <a:r>
                      <a:rPr lang="en-US"/>
                      <a:t>0,99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</a:t>
                    </a:r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27,9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Лист1!$A$272:$A$280</c:f>
              <c:strCache>
                <c:ptCount val="9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Лист1!$B$272:$B$280</c:f>
              <c:numCache>
                <c:formatCode>General</c:formatCode>
                <c:ptCount val="9"/>
                <c:pt idx="0">
                  <c:v>46.3</c:v>
                </c:pt>
                <c:pt idx="1">
                  <c:v>1.9</c:v>
                </c:pt>
                <c:pt idx="2">
                  <c:v>0.2</c:v>
                </c:pt>
                <c:pt idx="3">
                  <c:v>5.5</c:v>
                </c:pt>
                <c:pt idx="4">
                  <c:v>14.3</c:v>
                </c:pt>
                <c:pt idx="5">
                  <c:v>0.01</c:v>
                </c:pt>
                <c:pt idx="6">
                  <c:v>0.99</c:v>
                </c:pt>
                <c:pt idx="7">
                  <c:v>2.9</c:v>
                </c:pt>
                <c:pt idx="8">
                  <c:v>27.9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CB5E-439F-4702-9839-D1550AB9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7</cp:revision>
  <cp:lastPrinted>2023-03-22T05:48:00Z</cp:lastPrinted>
  <dcterms:created xsi:type="dcterms:W3CDTF">2023-03-21T06:07:00Z</dcterms:created>
  <dcterms:modified xsi:type="dcterms:W3CDTF">2023-03-22T05:50:00Z</dcterms:modified>
</cp:coreProperties>
</file>